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6A79" w:rsidP="00986A79">
      <w:pPr>
        <w:pStyle w:val="Title"/>
      </w:pPr>
      <w:r>
        <w:fldChar w:fldCharType="begin"/>
      </w:r>
      <w:r>
        <w:instrText xml:space="preserve"> TITLE   \* MERGEFORMAT </w:instrText>
      </w:r>
      <w:r>
        <w:fldChar w:fldCharType="separate"/>
      </w:r>
      <w:r>
        <w:t>ICPCBF2610 Set up machine for basic adhesive, mechanical or thermal fastening</w:t>
      </w:r>
      <w:r>
        <w:fldChar w:fldCharType="end"/>
      </w:r>
    </w:p>
    <w:p w:rsidR="00986A79" w:rsidP="00986A79">
      <w:pPr>
        <w:pStyle w:val="Version"/>
        <w:sectPr w:rsidSect="007B7B7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B7B7E" w:rsidP="007B7B7E">
      <w:pPr>
        <w:pStyle w:val="SuperHeading"/>
      </w:pPr>
      <w:r w:rsidRPr="007B7B7E">
        <w:t>ICPCBF2610 Set up machine for basic adhesive, mechanical or thermal fastening</w:t>
      </w:r>
    </w:p>
    <w:p w:rsidR="00000000" w:rsidRPr="007B7B7E" w:rsidP="007B7B7E">
      <w:pPr>
        <w:pStyle w:val="Heading1"/>
      </w:pPr>
      <w:bookmarkStart w:id="1" w:name="O_1073953"/>
      <w:bookmarkEnd w:id="1"/>
      <w:r w:rsidRPr="007B7B7E">
        <w:t>Modification History</w:t>
      </w:r>
    </w:p>
    <w:tbl>
      <w:tblPr>
        <w:tblW w:w="0" w:type="auto"/>
        <w:tblLayout w:type="fixed"/>
        <w:tblCellMar>
          <w:left w:w="62" w:type="dxa"/>
          <w:right w:w="62" w:type="dxa"/>
        </w:tblCellMar>
        <w:tblLook w:val="0000"/>
      </w:tblPr>
      <w:tblGrid>
        <w:gridCol w:w="2493"/>
        <w:gridCol w:w="6337"/>
      </w:tblGrid>
      <w:tr w:rsidTr="007B7B7E">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7B7E" w:rsidP="007B7B7E">
            <w:pPr>
              <w:pStyle w:val="BodyText"/>
            </w:pPr>
            <w:r w:rsidRPr="007B7B7E">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7B7E">
            <w:pPr>
              <w:pStyle w:val="BodyText"/>
              <w:rPr>
                <w:lang w:val="en-NZ"/>
              </w:rPr>
            </w:pPr>
            <w:r w:rsidRPr="007B7B7E">
              <w:rPr>
                <w:rStyle w:val="SpecialBold"/>
              </w:rPr>
              <w:t>Comments</w:t>
            </w:r>
          </w:p>
        </w:tc>
      </w:tr>
      <w:tr w:rsidTr="007B7B7E">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7B7E">
            <w:pPr>
              <w:pStyle w:val="BodyText"/>
              <w:rPr>
                <w:lang w:val="en-NZ"/>
              </w:rPr>
            </w:pPr>
            <w:r w:rsidRPr="007B7B7E">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7B7E" w:rsidP="007B7B7E">
            <w:pPr>
              <w:pStyle w:val="BodyText"/>
            </w:pPr>
            <w:r w:rsidRPr="007B7B7E">
              <w:t>This version first released with ICP Printing and Graphic Arts Training Package Version 4.0.</w:t>
            </w:r>
          </w:p>
        </w:tc>
      </w:tr>
    </w:tbl>
    <w:p w:rsidR="00000000" w:rsidRPr="007B7B7E" w:rsidP="007B7B7E">
      <w:pPr>
        <w:pStyle w:val="BodyText"/>
      </w:pPr>
    </w:p>
    <w:p w:rsidR="00000000" w:rsidRPr="007B7B7E" w:rsidP="007B7B7E">
      <w:pPr>
        <w:pStyle w:val="AllowPageBreak"/>
      </w:pPr>
    </w:p>
    <w:p w:rsidR="00000000" w:rsidRPr="007B7B7E" w:rsidP="007B7B7E">
      <w:pPr>
        <w:pStyle w:val="Heading1"/>
      </w:pPr>
      <w:bookmarkStart w:id="2" w:name="O_1073959"/>
      <w:bookmarkEnd w:id="2"/>
      <w:r w:rsidRPr="007B7B7E">
        <w:t>Application</w:t>
      </w:r>
    </w:p>
    <w:p w:rsidR="00000000" w:rsidRPr="007B7B7E" w:rsidP="00986A79">
      <w:pPr>
        <w:pStyle w:val="BodyText"/>
      </w:pPr>
      <w:r w:rsidRPr="007B7B7E">
        <w:t>This unit describes the skills and knowledge required to set up a machine for basic adhesive, mechanical or thermal fastening. Some equipment may also involve cutting, trimming, folding and/or gathering (collating) which may be assesse</w:t>
      </w:r>
      <w:r w:rsidRPr="007B7B7E">
        <w:t>d at the same time.</w:t>
      </w:r>
    </w:p>
    <w:p w:rsidR="00000000" w:rsidRPr="007B7B7E" w:rsidP="00986A79">
      <w:pPr>
        <w:pStyle w:val="BodyText"/>
      </w:pPr>
      <w:r w:rsidRPr="007B7B7E">
        <w:t>It applies to individuals who prepare material, monitor and run equipment and machinery, and apply solutions to a defined range of unpredictable problems. They may also provide some guidance to others with some limited responsibility fo</w:t>
      </w:r>
      <w:r w:rsidRPr="007B7B7E">
        <w:t>r the output of others.</w:t>
      </w:r>
    </w:p>
    <w:p w:rsidR="00000000" w:rsidRPr="007B7B7E" w:rsidP="00986A79">
      <w:pPr>
        <w:pStyle w:val="BodyText"/>
      </w:pPr>
      <w:r w:rsidRPr="007B7B7E">
        <w:t>No licensing, legislative or certification requirements apply to this unit at the time of publication.</w:t>
      </w:r>
    </w:p>
    <w:p w:rsidR="00000000" w:rsidRPr="007B7B7E" w:rsidP="007B7B7E">
      <w:pPr>
        <w:pStyle w:val="Heading1"/>
      </w:pPr>
      <w:bookmarkStart w:id="3" w:name="O_1073958"/>
      <w:bookmarkEnd w:id="3"/>
      <w:r w:rsidRPr="007B7B7E">
        <w:t>Unit Sector</w:t>
      </w:r>
    </w:p>
    <w:p w:rsidR="00000000" w:rsidRPr="007B7B7E" w:rsidP="00986A79">
      <w:pPr>
        <w:pStyle w:val="BodyText"/>
      </w:pPr>
      <w:r w:rsidRPr="007B7B7E">
        <w:t>Converting, Binding and Finishing</w:t>
      </w:r>
    </w:p>
    <w:p w:rsidR="00000000" w:rsidRPr="007B7B7E" w:rsidP="007B7B7E">
      <w:pPr>
        <w:pStyle w:val="Heading1"/>
      </w:pPr>
      <w:bookmarkStart w:id="4" w:name="O_1073957"/>
      <w:bookmarkEnd w:id="4"/>
      <w:r w:rsidRPr="007B7B7E">
        <w:t>Elements and Performance Criteria</w:t>
      </w:r>
    </w:p>
    <w:tbl>
      <w:tblPr>
        <w:tblW w:w="9236" w:type="dxa"/>
        <w:tblLayout w:type="fixed"/>
        <w:tblCellMar>
          <w:left w:w="62" w:type="dxa"/>
          <w:right w:w="62" w:type="dxa"/>
        </w:tblCellMar>
        <w:tblLook w:val="0000"/>
      </w:tblPr>
      <w:tblGrid>
        <w:gridCol w:w="2600"/>
        <w:gridCol w:w="6636"/>
      </w:tblGrid>
      <w:tr w:rsidTr="007B7B7E">
        <w:tblPrEx>
          <w:tblW w:w="9236" w:type="dxa"/>
          <w:tblLayout w:type="fixed"/>
          <w:tblCellMar>
            <w:left w:w="62" w:type="dxa"/>
            <w:right w:w="62" w:type="dxa"/>
          </w:tblCellMar>
          <w:tblLook w:val="0000"/>
        </w:tblPrEx>
        <w:trPr>
          <w:tblHeader/>
        </w:trPr>
        <w:tc>
          <w:tcPr>
            <w:tcW w:w="26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B7B7E" w:rsidP="007B7B7E">
            <w:pPr>
              <w:pStyle w:val="BodyText"/>
            </w:pPr>
            <w:r w:rsidRPr="007B7B7E">
              <w:rPr>
                <w:rStyle w:val="SpecialBold"/>
              </w:rPr>
              <w:t>ELEMENT</w:t>
            </w:r>
          </w:p>
        </w:tc>
        <w:tc>
          <w:tcPr>
            <w:tcW w:w="663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B7B7E">
            <w:pPr>
              <w:pStyle w:val="BodyText"/>
              <w:rPr>
                <w:lang w:val="en-NZ"/>
              </w:rPr>
            </w:pPr>
            <w:r w:rsidRPr="007B7B7E">
              <w:rPr>
                <w:rStyle w:val="SpecialBold"/>
              </w:rPr>
              <w:t>PER</w:t>
            </w:r>
            <w:r w:rsidRPr="007B7B7E">
              <w:rPr>
                <w:rStyle w:val="SpecialBold"/>
              </w:rPr>
              <w:t>FORMANCE CRITERIA</w:t>
            </w:r>
          </w:p>
        </w:tc>
      </w:tr>
      <w:tr w:rsidTr="007B7B7E">
        <w:tblPrEx>
          <w:tblW w:w="9236" w:type="dxa"/>
          <w:tblLayout w:type="fixed"/>
          <w:tblCellMar>
            <w:left w:w="62" w:type="dxa"/>
            <w:right w:w="62" w:type="dxa"/>
          </w:tblCellMar>
          <w:tblLook w:val="0000"/>
        </w:tblPrEx>
        <w:tc>
          <w:tcPr>
            <w:tcW w:w="26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B7B7E" w:rsidP="007B7B7E">
            <w:pPr>
              <w:pStyle w:val="BodyText"/>
            </w:pPr>
            <w:r w:rsidRPr="007B7B7E">
              <w:rPr>
                <w:rStyle w:val="Emphasis"/>
              </w:rPr>
              <w:t>Elements describe the essential outcomes.</w:t>
            </w:r>
          </w:p>
        </w:tc>
        <w:tc>
          <w:tcPr>
            <w:tcW w:w="663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B7B7E">
            <w:pPr>
              <w:pStyle w:val="BodyText"/>
              <w:rPr>
                <w:lang w:val="en-NZ"/>
              </w:rPr>
            </w:pPr>
            <w:r w:rsidRPr="007B7B7E">
              <w:rPr>
                <w:rStyle w:val="Emphasis"/>
              </w:rPr>
              <w:t>Performance criteria describe the performance needed to demonstrate achievement of the element.</w:t>
            </w:r>
          </w:p>
        </w:tc>
      </w:tr>
      <w:tr w:rsidTr="007B7B7E">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7B7E">
            <w:pPr>
              <w:pStyle w:val="BodyText"/>
              <w:rPr>
                <w:lang w:val="en-NZ"/>
              </w:rPr>
            </w:pPr>
            <w:r w:rsidRPr="007B7B7E">
              <w:t>1. Prepare for job</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7B7E" w:rsidP="007B7B7E">
            <w:pPr>
              <w:pStyle w:val="BodyText"/>
            </w:pPr>
            <w:r w:rsidRPr="007B7B7E">
              <w:t xml:space="preserve">1.1 Identify job specifications </w:t>
            </w:r>
          </w:p>
          <w:p w:rsidR="00000000" w:rsidRPr="007B7B7E" w:rsidP="007B7B7E">
            <w:pPr>
              <w:pStyle w:val="BodyText"/>
            </w:pPr>
            <w:r w:rsidRPr="007B7B7E">
              <w:t>1.2 Set up required printing machinery according to manufacturer specifications and work health and safety (WHS) requirements</w:t>
            </w:r>
          </w:p>
          <w:p w:rsidR="00000000" w:rsidRPr="007B7B7E" w:rsidP="007B7B7E">
            <w:pPr>
              <w:pStyle w:val="BodyText"/>
            </w:pPr>
            <w:r w:rsidRPr="007B7B7E">
              <w:t>1.3 Confirm availability of all  job components</w:t>
            </w:r>
          </w:p>
          <w:p w:rsidR="00000000" w:rsidRPr="007B7B7E" w:rsidP="007B7B7E">
            <w:pPr>
              <w:pStyle w:val="BodyText"/>
            </w:pPr>
            <w:r w:rsidRPr="007B7B7E">
              <w:t xml:space="preserve">1.4 Set up and adjust delivery system </w:t>
            </w:r>
          </w:p>
          <w:p w:rsidR="00000000" w:rsidP="007B7B7E">
            <w:pPr>
              <w:pStyle w:val="BodyText"/>
              <w:rPr>
                <w:lang w:val="en-NZ"/>
              </w:rPr>
            </w:pPr>
            <w:r w:rsidRPr="007B7B7E">
              <w:t>1.5 Remove substrate from the process accor</w:t>
            </w:r>
            <w:r w:rsidRPr="007B7B7E">
              <w:t>ding to job specifications</w:t>
            </w:r>
          </w:p>
        </w:tc>
      </w:tr>
      <w:tr w:rsidTr="007B7B7E">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7B7E">
            <w:pPr>
              <w:pStyle w:val="BodyText"/>
              <w:rPr>
                <w:lang w:val="en-NZ"/>
              </w:rPr>
            </w:pPr>
            <w:r w:rsidRPr="007B7B7E">
              <w:t>2. Set up equipment and in-line units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7B7E" w:rsidP="007B7B7E">
            <w:pPr>
              <w:pStyle w:val="BodyText"/>
            </w:pPr>
            <w:r w:rsidRPr="007B7B7E">
              <w:t xml:space="preserve">2.1 Set up and adjust fastening system </w:t>
            </w:r>
          </w:p>
          <w:p w:rsidR="00000000" w:rsidRPr="007B7B7E" w:rsidP="007B7B7E">
            <w:pPr>
              <w:pStyle w:val="BodyText"/>
            </w:pPr>
            <w:r w:rsidRPr="007B7B7E">
              <w:t xml:space="preserve">2.2 Set up and adjust minor in- units are set up for basic processes according to machine requirements </w:t>
            </w:r>
          </w:p>
          <w:p w:rsidR="00000000" w:rsidP="007B7B7E">
            <w:pPr>
              <w:pStyle w:val="BodyText"/>
              <w:rPr>
                <w:lang w:val="en-NZ"/>
              </w:rPr>
            </w:pPr>
            <w:r w:rsidRPr="007B7B7E">
              <w:t xml:space="preserve">2.3 Provide assistance in set-up of major in-line units </w:t>
            </w:r>
          </w:p>
        </w:tc>
      </w:tr>
      <w:tr w:rsidTr="007B7B7E">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7B7E">
            <w:pPr>
              <w:pStyle w:val="BodyText"/>
              <w:rPr>
                <w:lang w:val="en-NZ"/>
              </w:rPr>
            </w:pPr>
            <w:r w:rsidRPr="007B7B7E">
              <w:t>3. Conduct sample run</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7B7E" w:rsidP="007B7B7E">
            <w:pPr>
              <w:pStyle w:val="BodyText"/>
            </w:pPr>
            <w:r w:rsidRPr="007B7B7E">
              <w:t>3.1 Operate machine according to manufacturer specifications and enterprise procedures to produce specified sample</w:t>
            </w:r>
          </w:p>
          <w:p w:rsidR="00000000" w:rsidRPr="007B7B7E" w:rsidP="007B7B7E">
            <w:pPr>
              <w:pStyle w:val="BodyText"/>
            </w:pPr>
            <w:r w:rsidRPr="007B7B7E">
              <w:t>3.2 Inspect and test sample as required according to enterpri</w:t>
            </w:r>
            <w:r w:rsidRPr="007B7B7E">
              <w:t>se procedures</w:t>
            </w:r>
          </w:p>
          <w:p w:rsidR="00000000" w:rsidRPr="007B7B7E" w:rsidP="007B7B7E">
            <w:pPr>
              <w:pStyle w:val="BodyText"/>
            </w:pPr>
            <w:r w:rsidRPr="007B7B7E">
              <w:t>3.3 Interpret results and make adjustments according to product and machine specifications as required</w:t>
            </w:r>
          </w:p>
        </w:tc>
      </w:tr>
    </w:tbl>
    <w:p w:rsidR="00000000" w:rsidRPr="007B7B7E" w:rsidP="007B7B7E">
      <w:pPr>
        <w:pStyle w:val="BodyText"/>
      </w:pPr>
    </w:p>
    <w:p w:rsidR="00000000" w:rsidRPr="007B7B7E" w:rsidP="007B7B7E">
      <w:pPr>
        <w:pStyle w:val="AllowPageBreak"/>
      </w:pPr>
    </w:p>
    <w:p w:rsidR="00000000" w:rsidRPr="007B7B7E" w:rsidP="007B7B7E">
      <w:pPr>
        <w:pStyle w:val="Heading1"/>
      </w:pPr>
      <w:bookmarkStart w:id="5" w:name="O_1073956"/>
      <w:bookmarkEnd w:id="5"/>
      <w:r w:rsidRPr="007B7B7E">
        <w:t>Foundation Skills</w:t>
      </w:r>
    </w:p>
    <w:p w:rsidR="00000000" w:rsidRPr="00986A79" w:rsidP="00986A79">
      <w:pPr>
        <w:pStyle w:val="BodyText"/>
        <w:rPr>
          <w:i/>
        </w:rPr>
      </w:pPr>
      <w:r w:rsidRPr="00986A79">
        <w:rPr>
          <w:rStyle w:val="Emphasis"/>
        </w:rPr>
        <w:t>This section describes those language, literacy, numeracy and employment skills that are essential t</w:t>
      </w:r>
      <w:r w:rsidRPr="00986A79">
        <w:rPr>
          <w:rStyle w:val="Emphasis"/>
        </w:rPr>
        <w:t>o performance but not explicit in the performance criteria.</w:t>
      </w:r>
    </w:p>
    <w:tbl>
      <w:tblPr>
        <w:tblW w:w="9288" w:type="dxa"/>
        <w:tblLayout w:type="fixed"/>
        <w:tblCellMar>
          <w:left w:w="62" w:type="dxa"/>
          <w:right w:w="62" w:type="dxa"/>
        </w:tblCellMar>
        <w:tblLook w:val="0000"/>
      </w:tblPr>
      <w:tblGrid>
        <w:gridCol w:w="2610"/>
        <w:gridCol w:w="6678"/>
      </w:tblGrid>
      <w:tr w:rsidTr="007B7B7E">
        <w:tblPrEx>
          <w:tblW w:w="928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7B7E" w:rsidP="007B7B7E">
            <w:pPr>
              <w:pStyle w:val="BodyText"/>
            </w:pPr>
            <w:r w:rsidRPr="007B7B7E">
              <w:rPr>
                <w:rStyle w:val="SpecialBold"/>
              </w:rPr>
              <w:t>Skill</w:t>
            </w:r>
          </w:p>
        </w:tc>
        <w:tc>
          <w:tcPr>
            <w:tcW w:w="66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7B7E">
            <w:pPr>
              <w:pStyle w:val="BodyText"/>
              <w:rPr>
                <w:lang w:val="en-NZ"/>
              </w:rPr>
            </w:pPr>
            <w:r w:rsidRPr="007B7B7E">
              <w:rPr>
                <w:rStyle w:val="SpecialBold"/>
              </w:rPr>
              <w:t>Description</w:t>
            </w:r>
          </w:p>
        </w:tc>
      </w:tr>
      <w:tr w:rsidTr="007B7B7E">
        <w:tblPrEx>
          <w:tblW w:w="928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7B7E">
            <w:pPr>
              <w:pStyle w:val="BodyText"/>
              <w:rPr>
                <w:lang w:val="en-NZ"/>
              </w:rPr>
            </w:pPr>
            <w:r w:rsidRPr="007B7B7E">
              <w:t>Self-management</w:t>
            </w:r>
          </w:p>
        </w:tc>
        <w:tc>
          <w:tcPr>
            <w:tcW w:w="66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7B7E">
            <w:pPr>
              <w:pStyle w:val="ListBullet"/>
              <w:rPr>
                <w:lang w:val="en-NZ"/>
              </w:rPr>
            </w:pPr>
            <w:r w:rsidRPr="007B7B7E">
              <w:t>Complies with enterprise procedures relevant to own role</w:t>
            </w:r>
          </w:p>
        </w:tc>
      </w:tr>
      <w:tr w:rsidTr="007B7B7E">
        <w:tblPrEx>
          <w:tblW w:w="928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7B7E">
            <w:pPr>
              <w:pStyle w:val="BodyText"/>
              <w:rPr>
                <w:lang w:val="en-NZ"/>
              </w:rPr>
            </w:pPr>
            <w:r w:rsidRPr="007B7B7E">
              <w:t>Teamwork</w:t>
            </w:r>
          </w:p>
        </w:tc>
        <w:tc>
          <w:tcPr>
            <w:tcW w:w="66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7B7E">
            <w:pPr>
              <w:pStyle w:val="ListBullet"/>
              <w:rPr>
                <w:lang w:val="en-NZ"/>
              </w:rPr>
            </w:pPr>
            <w:r w:rsidRPr="007B7B7E">
              <w:t xml:space="preserve">Cooperates with others as part of familiar routine activities, and contributes to </w:t>
            </w:r>
            <w:r w:rsidRPr="007B7B7E">
              <w:t>specific activities requiring joint responsibility and accountability</w:t>
            </w:r>
          </w:p>
        </w:tc>
      </w:tr>
      <w:tr w:rsidTr="007B7B7E">
        <w:tblPrEx>
          <w:tblW w:w="928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7B7E">
            <w:pPr>
              <w:pStyle w:val="BodyText"/>
              <w:rPr>
                <w:lang w:val="en-NZ"/>
              </w:rPr>
            </w:pPr>
            <w:r w:rsidRPr="007B7B7E">
              <w:t xml:space="preserve">Planning and organising </w:t>
            </w:r>
          </w:p>
        </w:tc>
        <w:tc>
          <w:tcPr>
            <w:tcW w:w="66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7B7E" w:rsidP="007B7B7E">
            <w:pPr>
              <w:pStyle w:val="ListBullet"/>
            </w:pPr>
            <w:r w:rsidRPr="007B7B7E">
              <w:t>Determines priorities and sequences steps involved in clearly defined tasks</w:t>
            </w:r>
          </w:p>
          <w:p w:rsidR="00000000" w:rsidRPr="007B7B7E" w:rsidP="007B7B7E">
            <w:pPr>
              <w:pStyle w:val="ListBullet"/>
            </w:pPr>
            <w:r w:rsidRPr="007B7B7E">
              <w:t>Implements actions according to  instructions, making slight adjustments if necessa</w:t>
            </w:r>
            <w:r w:rsidRPr="007B7B7E">
              <w:t>ry</w:t>
            </w:r>
          </w:p>
          <w:p w:rsidR="00000000" w:rsidP="007B7B7E">
            <w:pPr>
              <w:pStyle w:val="ListBullet"/>
              <w:rPr>
                <w:lang w:val="en-NZ"/>
              </w:rPr>
            </w:pPr>
            <w:r w:rsidRPr="007B7B7E">
              <w:t>Plans, identifies and assembles resources required to complete tasks</w:t>
            </w:r>
          </w:p>
        </w:tc>
      </w:tr>
      <w:tr w:rsidTr="007B7B7E">
        <w:tblPrEx>
          <w:tblW w:w="928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7B7E">
            <w:pPr>
              <w:pStyle w:val="BodyText"/>
              <w:rPr>
                <w:lang w:val="en-NZ"/>
              </w:rPr>
            </w:pPr>
            <w:r w:rsidRPr="007B7B7E">
              <w:t>Technology</w:t>
            </w:r>
          </w:p>
        </w:tc>
        <w:tc>
          <w:tcPr>
            <w:tcW w:w="66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7B7E" w:rsidP="007B7B7E">
            <w:pPr>
              <w:pStyle w:val="ListBullet"/>
            </w:pPr>
            <w:r w:rsidRPr="007B7B7E">
              <w:t>Follows routine procedures for using digital technology by reading data from electronic monitoring and control systems</w:t>
            </w:r>
          </w:p>
        </w:tc>
      </w:tr>
    </w:tbl>
    <w:p w:rsidR="00000000" w:rsidRPr="007B7B7E" w:rsidP="007B7B7E">
      <w:pPr>
        <w:pStyle w:val="BodyText"/>
      </w:pPr>
    </w:p>
    <w:p w:rsidR="00000000" w:rsidRPr="007B7B7E" w:rsidP="007B7B7E">
      <w:pPr>
        <w:pStyle w:val="AllowPageBreak"/>
      </w:pPr>
    </w:p>
    <w:p w:rsidR="00000000" w:rsidRPr="007B7B7E" w:rsidP="007B7B7E">
      <w:pPr>
        <w:pStyle w:val="Heading1"/>
      </w:pPr>
      <w:bookmarkStart w:id="6" w:name="O_1073955"/>
      <w:bookmarkEnd w:id="6"/>
      <w:r w:rsidRPr="007B7B7E">
        <w:t>Range of Conditions</w:t>
      </w:r>
    </w:p>
    <w:p w:rsidR="00000000" w:rsidRPr="00986A79" w:rsidP="00986A79">
      <w:pPr>
        <w:pStyle w:val="BodyText"/>
        <w:rPr>
          <w:i/>
        </w:rPr>
      </w:pPr>
      <w:r w:rsidRPr="00986A79">
        <w:rPr>
          <w:rStyle w:val="Emphasis"/>
        </w:rPr>
        <w:t xml:space="preserve">This section specifies different work environments and conditions that may affect performance. Essential operating conditions that may be present (depending on the work situation, needs of the candidate, accessibility of the item, and local industry </w:t>
      </w:r>
      <w:r w:rsidRPr="00986A79">
        <w:rPr>
          <w:i/>
        </w:rPr>
        <w:t>and re</w:t>
      </w:r>
      <w:r w:rsidRPr="00986A79">
        <w:rPr>
          <w:i/>
        </w:rPr>
        <w:t xml:space="preserve">gional contexts) </w:t>
      </w:r>
      <w:r w:rsidRPr="00986A79">
        <w:rPr>
          <w:rStyle w:val="Emphasis"/>
        </w:rPr>
        <w:t>are included. It is restricted to essential operating conditions and any other variables essential to the work environment.</w:t>
      </w:r>
    </w:p>
    <w:tbl>
      <w:tblPr>
        <w:tblW w:w="9236" w:type="dxa"/>
        <w:tblLayout w:type="fixed"/>
        <w:tblCellMar>
          <w:left w:w="62" w:type="dxa"/>
          <w:right w:w="62" w:type="dxa"/>
        </w:tblCellMar>
        <w:tblLook w:val="0000"/>
      </w:tblPr>
      <w:tblGrid>
        <w:gridCol w:w="3671"/>
        <w:gridCol w:w="5565"/>
      </w:tblGrid>
      <w:tr w:rsidTr="007B7B7E">
        <w:tblPrEx>
          <w:tblW w:w="9236" w:type="dxa"/>
          <w:tblLayout w:type="fixed"/>
          <w:tblCellMar>
            <w:left w:w="62" w:type="dxa"/>
            <w:right w:w="62" w:type="dxa"/>
          </w:tblCellMar>
          <w:tblLook w:val="0000"/>
        </w:tblPrEx>
        <w:tc>
          <w:tcPr>
            <w:tcW w:w="36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7B7E" w:rsidP="007B7B7E">
            <w:pPr>
              <w:pStyle w:val="BodyText"/>
            </w:pPr>
            <w:r w:rsidRPr="007B7B7E">
              <w:t>Delivery systems must include either:</w:t>
            </w:r>
          </w:p>
          <w:p w:rsidR="00000000" w:rsidP="007B7B7E">
            <w:pPr>
              <w:pStyle w:val="BodyText"/>
              <w:rPr>
                <w:lang w:val="en-NZ"/>
              </w:rPr>
            </w:pPr>
          </w:p>
        </w:tc>
        <w:tc>
          <w:tcPr>
            <w:tcW w:w="55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7B7E" w:rsidP="007B7B7E">
            <w:pPr>
              <w:pStyle w:val="ListBullet"/>
            </w:pPr>
            <w:r w:rsidRPr="007B7B7E">
              <w:t xml:space="preserve">reel </w:t>
            </w:r>
          </w:p>
          <w:p w:rsidR="00000000" w:rsidRPr="007B7B7E" w:rsidP="007B7B7E">
            <w:pPr>
              <w:pStyle w:val="BodyText"/>
            </w:pPr>
            <w:r w:rsidRPr="007B7B7E">
              <w:t>or</w:t>
            </w:r>
          </w:p>
          <w:p w:rsidR="00000000" w:rsidP="007B7B7E">
            <w:pPr>
              <w:pStyle w:val="ListBullet"/>
              <w:rPr>
                <w:lang w:val="en-NZ"/>
              </w:rPr>
            </w:pPr>
            <w:r w:rsidRPr="007B7B7E">
              <w:t>sheet.</w:t>
            </w:r>
          </w:p>
        </w:tc>
      </w:tr>
      <w:tr w:rsidTr="007B7B7E">
        <w:tblPrEx>
          <w:tblW w:w="9236" w:type="dxa"/>
          <w:tblLayout w:type="fixed"/>
          <w:tblCellMar>
            <w:left w:w="62" w:type="dxa"/>
            <w:right w:w="62" w:type="dxa"/>
          </w:tblCellMar>
          <w:tblLook w:val="0000"/>
        </w:tblPrEx>
        <w:tc>
          <w:tcPr>
            <w:tcW w:w="36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7B7E" w:rsidP="007B7B7E">
            <w:pPr>
              <w:pStyle w:val="BodyText"/>
            </w:pPr>
            <w:r w:rsidRPr="007B7B7E">
              <w:t>Setting up and adjusting must include either:</w:t>
            </w:r>
          </w:p>
          <w:p w:rsidR="00000000" w:rsidP="007B7B7E">
            <w:pPr>
              <w:pStyle w:val="BodyText"/>
              <w:rPr>
                <w:lang w:val="en-NZ"/>
              </w:rPr>
            </w:pPr>
          </w:p>
        </w:tc>
        <w:tc>
          <w:tcPr>
            <w:tcW w:w="55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7B7E" w:rsidP="007B7B7E">
            <w:pPr>
              <w:pStyle w:val="ListBullet"/>
            </w:pPr>
            <w:r w:rsidRPr="007B7B7E">
              <w:t>unwind an</w:t>
            </w:r>
            <w:r w:rsidRPr="007B7B7E">
              <w:t>d delivery reels</w:t>
            </w:r>
          </w:p>
          <w:p w:rsidR="00000000" w:rsidRPr="007B7B7E" w:rsidP="007B7B7E">
            <w:pPr>
              <w:pStyle w:val="ListBullet"/>
            </w:pPr>
            <w:r w:rsidRPr="007B7B7E">
              <w:t>webbing procedures</w:t>
            </w:r>
          </w:p>
          <w:p w:rsidR="00000000" w:rsidRPr="007B7B7E" w:rsidP="007B7B7E">
            <w:pPr>
              <w:pStyle w:val="ListBullet"/>
            </w:pPr>
            <w:r w:rsidRPr="007B7B7E">
              <w:t>web control system</w:t>
            </w:r>
          </w:p>
          <w:p w:rsidR="00000000" w:rsidRPr="007B7B7E" w:rsidP="007B7B7E">
            <w:pPr>
              <w:pStyle w:val="BodyText"/>
            </w:pPr>
            <w:r w:rsidRPr="007B7B7E">
              <w:t>or</w:t>
            </w:r>
          </w:p>
          <w:p w:rsidR="00000000" w:rsidRPr="007B7B7E" w:rsidP="007B7B7E">
            <w:pPr>
              <w:pStyle w:val="ListBullet"/>
            </w:pPr>
            <w:r w:rsidRPr="007B7B7E">
              <w:t>feeder and delivery systems</w:t>
            </w:r>
          </w:p>
          <w:p w:rsidR="00000000" w:rsidRPr="007B7B7E" w:rsidP="007B7B7E">
            <w:pPr>
              <w:pStyle w:val="ListBullet"/>
            </w:pPr>
            <w:r w:rsidRPr="007B7B7E">
              <w:t>sheet/section pick-up and transportation systems</w:t>
            </w:r>
          </w:p>
          <w:p w:rsidR="00000000" w:rsidRPr="007B7B7E" w:rsidP="007B7B7E">
            <w:pPr>
              <w:pStyle w:val="ListBullet"/>
            </w:pPr>
            <w:r w:rsidRPr="007B7B7E">
              <w:t>transfer systems</w:t>
            </w:r>
          </w:p>
          <w:p w:rsidR="00000000" w:rsidRPr="007B7B7E" w:rsidP="007B7B7E">
            <w:pPr>
              <w:pStyle w:val="ListBullet"/>
            </w:pPr>
            <w:r w:rsidRPr="007B7B7E">
              <w:t>sheet/section transfer and control system.</w:t>
            </w:r>
          </w:p>
        </w:tc>
      </w:tr>
    </w:tbl>
    <w:p w:rsidR="00000000" w:rsidRPr="007B7B7E" w:rsidP="007B7B7E">
      <w:pPr>
        <w:pStyle w:val="BodyText"/>
      </w:pPr>
    </w:p>
    <w:p w:rsidR="00000000" w:rsidRPr="007B7B7E" w:rsidP="007B7B7E">
      <w:pPr>
        <w:pStyle w:val="AllowPageBreak"/>
      </w:pPr>
    </w:p>
    <w:p w:rsidR="00000000" w:rsidRPr="007B7B7E" w:rsidP="007B7B7E">
      <w:pPr>
        <w:pStyle w:val="Heading1"/>
      </w:pPr>
      <w:bookmarkStart w:id="7" w:name="O_1073954"/>
      <w:bookmarkEnd w:id="7"/>
      <w:r w:rsidRPr="007B7B7E">
        <w:t>Unit Mapping Information</w:t>
      </w:r>
    </w:p>
    <w:p w:rsidR="00000000" w:rsidRPr="007B7B7E" w:rsidP="00986A79">
      <w:pPr>
        <w:pStyle w:val="BodyText"/>
      </w:pPr>
      <w:r w:rsidRPr="007B7B7E">
        <w:t>Supersedes and is equivalent to ICPCBF261 Set up machine for basic adhesive, mechanical or thermal fastening.</w:t>
      </w:r>
    </w:p>
    <w:p w:rsidR="00000000" w:rsidRPr="007B7B7E" w:rsidP="007B7B7E">
      <w:pPr>
        <w:pStyle w:val="Heading1"/>
      </w:pPr>
      <w:bookmarkStart w:id="8" w:name="O_1073947"/>
      <w:bookmarkEnd w:id="8"/>
      <w:r w:rsidRPr="007B7B7E">
        <w:t>Links</w:t>
      </w:r>
    </w:p>
    <w:p w:rsidR="00000000" w:rsidRPr="007B7B7E" w:rsidP="00986A79">
      <w:pPr>
        <w:pStyle w:val="BodyText"/>
      </w:pPr>
      <w:r w:rsidRPr="007B7B7E">
        <w:t xml:space="preserve">Companion Volume Implementation Guide is found on VETNet - </w:t>
      </w:r>
      <w:r>
        <w:fldChar w:fldCharType="begin"/>
      </w:r>
      <w:r>
        <w:instrText xml:space="preserve"> HYPERLINK "https://vetnet.gov.au/Pages/TrainingDocs.aspx?q=a74b7a0f-a253-47e3-8be0-5d426e24131d" </w:instrText>
      </w:r>
      <w:r>
        <w:fldChar w:fldCharType="separate"/>
      </w:r>
      <w:r w:rsidRPr="003770E4">
        <w:rPr>
          <w:rStyle w:val="Hyperlink"/>
        </w:rPr>
        <w:t>https://vetnet.gov.au/Pages/TrainingDocs.aspx?q=a74b7a0f-a253-47e3-8be0-5d426e24131d</w:t>
      </w:r>
      <w:r>
        <w:fldChar w:fldCharType="end"/>
      </w:r>
    </w:p>
    <w:p w:rsidR="00000000" w:rsidRPr="007B7B7E" w:rsidP="007B7B7E"/>
    <w:sectPr w:rsidSect="007B7B7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B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B7E" w:rsidRPr="00986A79" w:rsidP="00986A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B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A79" w:rsidP="007B7B7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86A79" w:rsidP="007B7B7E">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986A79" w:rsidP="007B7B7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B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A7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B7B7E" w:rsidRPr="00986A79" w:rsidP="00986A7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B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A79" w:rsidRPr="002D2AF8" w:rsidP="007B7B7E">
    <w:pPr>
      <w:pStyle w:val="Header"/>
      <w:framePr w:wrap="around"/>
    </w:pPr>
    <w:r>
      <w:fldChar w:fldCharType="begin"/>
    </w:r>
    <w:r>
      <w:instrText xml:space="preserve"> TITLE   \* MERGEFORMAT </w:instrText>
    </w:r>
    <w:r>
      <w:fldChar w:fldCharType="separate"/>
    </w:r>
    <w:r>
      <w:t>ICPCBF2610 Set up machine for basic adhesive, mechanical or thermal fastening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July 2021</w:t>
    </w:r>
    <w:r>
      <w:fldChar w:fldCharType="end"/>
    </w:r>
  </w:p>
  <w:p w:rsidR="00986A79" w:rsidP="007B7B7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21C67A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0D03F8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7B7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B7B7E"/>
    <w:pPr>
      <w:spacing w:before="360" w:after="60"/>
      <w:outlineLvl w:val="0"/>
    </w:pPr>
    <w:rPr>
      <w:sz w:val="32"/>
    </w:rPr>
  </w:style>
  <w:style w:type="paragraph" w:styleId="Heading2">
    <w:name w:val="heading 2"/>
    <w:basedOn w:val="HeadingBase"/>
    <w:next w:val="BodyText"/>
    <w:link w:val="Heading2Char"/>
    <w:qFormat/>
    <w:rsid w:val="007B7B7E"/>
    <w:pPr>
      <w:keepLines/>
      <w:spacing w:before="240" w:after="120"/>
      <w:outlineLvl w:val="1"/>
    </w:pPr>
    <w:rPr>
      <w:sz w:val="28"/>
      <w:szCs w:val="40"/>
    </w:rPr>
  </w:style>
  <w:style w:type="paragraph" w:styleId="Heading3">
    <w:name w:val="heading 3"/>
    <w:basedOn w:val="HeadingBase"/>
    <w:next w:val="BodyText"/>
    <w:link w:val="Heading3Char"/>
    <w:qFormat/>
    <w:rsid w:val="007B7B7E"/>
    <w:pPr>
      <w:spacing w:before="180" w:after="120"/>
      <w:outlineLvl w:val="2"/>
    </w:pPr>
    <w:rPr>
      <w:spacing w:val="-10"/>
      <w:kern w:val="32"/>
    </w:rPr>
  </w:style>
  <w:style w:type="paragraph" w:styleId="Heading4">
    <w:name w:val="heading 4"/>
    <w:basedOn w:val="HeadingBase"/>
    <w:next w:val="BodyText"/>
    <w:link w:val="Heading4Char"/>
    <w:qFormat/>
    <w:rsid w:val="007B7B7E"/>
    <w:pPr>
      <w:spacing w:before="160" w:after="120"/>
      <w:outlineLvl w:val="3"/>
    </w:pPr>
    <w:rPr>
      <w:sz w:val="22"/>
    </w:rPr>
  </w:style>
  <w:style w:type="paragraph" w:styleId="Heading5">
    <w:name w:val="heading 5"/>
    <w:basedOn w:val="HeadingBase"/>
    <w:next w:val="Normal"/>
    <w:link w:val="Heading5Char"/>
    <w:qFormat/>
    <w:rsid w:val="007B7B7E"/>
    <w:pPr>
      <w:spacing w:before="80"/>
      <w:outlineLvl w:val="4"/>
    </w:pPr>
    <w:rPr>
      <w:color w:val="918585"/>
      <w:sz w:val="20"/>
    </w:rPr>
  </w:style>
  <w:style w:type="paragraph" w:styleId="Heading6">
    <w:name w:val="heading 6"/>
    <w:basedOn w:val="HeadingBase"/>
    <w:next w:val="Normal"/>
    <w:link w:val="Heading6Char"/>
    <w:qFormat/>
    <w:rsid w:val="007B7B7E"/>
    <w:pPr>
      <w:spacing w:before="60"/>
      <w:outlineLvl w:val="5"/>
    </w:pPr>
    <w:rPr>
      <w:color w:val="918585"/>
      <w:sz w:val="20"/>
    </w:rPr>
  </w:style>
  <w:style w:type="paragraph" w:styleId="Heading7">
    <w:name w:val="heading 7"/>
    <w:basedOn w:val="Normal"/>
    <w:next w:val="Normal"/>
    <w:link w:val="Heading7Char"/>
    <w:qFormat/>
    <w:rsid w:val="007B7B7E"/>
    <w:pPr>
      <w:ind w:left="720"/>
      <w:outlineLvl w:val="6"/>
    </w:pPr>
    <w:rPr>
      <w:i/>
    </w:rPr>
  </w:style>
  <w:style w:type="paragraph" w:styleId="Heading8">
    <w:name w:val="heading 8"/>
    <w:basedOn w:val="Normal"/>
    <w:next w:val="Normal"/>
    <w:link w:val="Heading8Char"/>
    <w:qFormat/>
    <w:rsid w:val="007B7B7E"/>
    <w:pPr>
      <w:ind w:left="720"/>
      <w:outlineLvl w:val="7"/>
    </w:pPr>
    <w:rPr>
      <w:i/>
    </w:rPr>
  </w:style>
  <w:style w:type="paragraph" w:styleId="Heading9">
    <w:name w:val="heading 9"/>
    <w:basedOn w:val="Normal"/>
    <w:next w:val="Normal"/>
    <w:link w:val="Heading9Char"/>
    <w:qFormat/>
    <w:rsid w:val="007B7B7E"/>
    <w:pPr>
      <w:ind w:left="720"/>
      <w:outlineLvl w:val="8"/>
    </w:pPr>
    <w:rPr>
      <w:i/>
    </w:rPr>
  </w:style>
  <w:style w:type="character" w:default="1" w:styleId="DefaultParagraphFont">
    <w:name w:val="Default Paragraph Font"/>
    <w:uiPriority w:val="1"/>
    <w:unhideWhenUsed/>
    <w:rsid w:val="007B7B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7B7E"/>
  </w:style>
  <w:style w:type="character" w:customStyle="1" w:styleId="Heading1Char">
    <w:name w:val="Heading 1 Char"/>
    <w:basedOn w:val="DefaultParagraphFont"/>
    <w:link w:val="Heading1"/>
    <w:rsid w:val="007B7B7E"/>
    <w:rPr>
      <w:rFonts w:ascii="Times New Roman" w:eastAsia="Times New Roman" w:hAnsi="Times New Roman" w:cs="Times New Roman"/>
      <w:b/>
      <w:sz w:val="32"/>
      <w:szCs w:val="20"/>
      <w:lang w:eastAsia="en-US"/>
    </w:rPr>
  </w:style>
  <w:style w:type="paragraph" w:styleId="BodyText">
    <w:name w:val="Body Text"/>
    <w:basedOn w:val="Normal"/>
    <w:link w:val="BodyTextChar"/>
    <w:rsid w:val="007B7B7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B7B7E"/>
    <w:rPr>
      <w:rFonts w:ascii="Times New Roman" w:eastAsia="Times New Roman" w:hAnsi="Times New Roman" w:cs="Times New Roman"/>
      <w:sz w:val="24"/>
      <w:lang w:eastAsia="en-US"/>
    </w:rPr>
  </w:style>
  <w:style w:type="paragraph" w:styleId="ListBullet">
    <w:name w:val="List Bullet"/>
    <w:basedOn w:val="List"/>
    <w:rsid w:val="007B7B7E"/>
    <w:pPr>
      <w:numPr>
        <w:numId w:val="11"/>
      </w:numPr>
      <w:tabs>
        <w:tab w:val="clear" w:pos="340"/>
      </w:tabs>
      <w:spacing w:before="40" w:after="40"/>
    </w:pPr>
  </w:style>
  <w:style w:type="character" w:customStyle="1" w:styleId="SpecialBold">
    <w:name w:val="Special Bold"/>
    <w:basedOn w:val="DefaultParagraphFont"/>
    <w:rsid w:val="007B7B7E"/>
    <w:rPr>
      <w:b/>
      <w:spacing w:val="0"/>
    </w:rPr>
  </w:style>
  <w:style w:type="character" w:styleId="Emphasis">
    <w:name w:val="Emphasis"/>
    <w:basedOn w:val="DefaultParagraphFont"/>
    <w:qFormat/>
    <w:rsid w:val="007B7B7E"/>
    <w:rPr>
      <w:i/>
    </w:rPr>
  </w:style>
  <w:style w:type="paragraph" w:customStyle="1" w:styleId="SuperHeading">
    <w:name w:val="SuperHeading"/>
    <w:basedOn w:val="Normal"/>
    <w:rsid w:val="007B7B7E"/>
    <w:pPr>
      <w:spacing w:before="240" w:after="120"/>
      <w:outlineLvl w:val="0"/>
    </w:pPr>
    <w:rPr>
      <w:rFonts w:ascii="Times New Roman" w:hAnsi="Times New Roman"/>
      <w:b/>
      <w:sz w:val="32"/>
    </w:rPr>
  </w:style>
  <w:style w:type="paragraph" w:customStyle="1" w:styleId="AllowPageBreak">
    <w:name w:val="AllowPageBreak"/>
    <w:rsid w:val="007B7B7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B7B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B7B7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B7B7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B7B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B7B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7B7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B7B7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B7B7E"/>
    <w:rPr>
      <w:rFonts w:ascii="Courier New" w:eastAsia="Times New Roman" w:hAnsi="Courier New" w:cs="Times New Roman"/>
      <w:i/>
      <w:szCs w:val="20"/>
      <w:lang w:eastAsia="en-US"/>
    </w:rPr>
  </w:style>
  <w:style w:type="paragraph" w:customStyle="1" w:styleId="HeadingBase">
    <w:name w:val="Heading Base"/>
    <w:rsid w:val="007B7B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7B7E"/>
    <w:pPr>
      <w:tabs>
        <w:tab w:val="right" w:leader="dot" w:pos="9072"/>
      </w:tabs>
      <w:ind w:left="567"/>
    </w:pPr>
    <w:rPr>
      <w:szCs w:val="22"/>
    </w:rPr>
  </w:style>
  <w:style w:type="paragraph" w:customStyle="1" w:styleId="TOCBase">
    <w:name w:val="TOC Base"/>
    <w:rsid w:val="007B7B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7B7E"/>
    <w:pPr>
      <w:tabs>
        <w:tab w:val="right" w:leader="dot" w:pos="9072"/>
      </w:tabs>
      <w:spacing w:before="40" w:after="40"/>
      <w:ind w:left="284"/>
    </w:pPr>
    <w:rPr>
      <w:rFonts w:ascii="Times New Roman" w:hAnsi="Times New Roman"/>
    </w:rPr>
  </w:style>
  <w:style w:type="paragraph" w:styleId="TOC1">
    <w:name w:val="toc 1"/>
    <w:basedOn w:val="TOCBase"/>
    <w:next w:val="Normal"/>
    <w:rsid w:val="007B7B7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B7B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B7B7E"/>
    <w:rPr>
      <w:rFonts w:ascii="Times New Roman" w:eastAsia="Times New Roman" w:hAnsi="Times New Roman" w:cs="Times New Roman"/>
      <w:sz w:val="16"/>
      <w:lang w:eastAsia="en-US"/>
    </w:rPr>
  </w:style>
  <w:style w:type="paragraph" w:styleId="Title">
    <w:name w:val="Title"/>
    <w:basedOn w:val="HeadingBase"/>
    <w:link w:val="TitleChar"/>
    <w:qFormat/>
    <w:rsid w:val="007B7B7E"/>
    <w:pPr>
      <w:spacing w:before="5040"/>
      <w:jc w:val="center"/>
    </w:pPr>
    <w:rPr>
      <w:sz w:val="48"/>
      <w:szCs w:val="72"/>
      <w:lang w:val="en-US"/>
    </w:rPr>
  </w:style>
  <w:style w:type="character" w:customStyle="1" w:styleId="TitleChar">
    <w:name w:val="Title Char"/>
    <w:basedOn w:val="DefaultParagraphFont"/>
    <w:link w:val="Title"/>
    <w:rsid w:val="007B7B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7B7E"/>
    <w:pPr>
      <w:tabs>
        <w:tab w:val="left" w:pos="3600"/>
        <w:tab w:val="left" w:pos="3958"/>
      </w:tabs>
    </w:pPr>
  </w:style>
  <w:style w:type="paragraph" w:styleId="List">
    <w:name w:val="List"/>
    <w:basedOn w:val="BodyText"/>
    <w:next w:val="BodyText"/>
    <w:rsid w:val="007B7B7E"/>
    <w:pPr>
      <w:tabs>
        <w:tab w:val="left" w:pos="340"/>
      </w:tabs>
      <w:spacing w:before="60" w:after="60"/>
      <w:ind w:left="340" w:hanging="340"/>
    </w:pPr>
  </w:style>
  <w:style w:type="paragraph" w:customStyle="1" w:styleId="Note">
    <w:name w:val="Note"/>
    <w:basedOn w:val="BodyText"/>
    <w:rsid w:val="007B7B7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B7B7E"/>
    <w:pPr>
      <w:framePr w:wrap="auto" w:hAnchor="text" w:y="6049"/>
    </w:pPr>
    <w:rPr>
      <w:color w:val="000000"/>
      <w:sz w:val="40"/>
    </w:rPr>
  </w:style>
  <w:style w:type="paragraph" w:customStyle="1" w:styleId="TOCTitle">
    <w:name w:val="TOCTitle"/>
    <w:basedOn w:val="Heading1"/>
    <w:rsid w:val="007B7B7E"/>
    <w:pPr>
      <w:spacing w:after="240"/>
      <w:jc w:val="center"/>
      <w:outlineLvl w:val="9"/>
    </w:pPr>
    <w:rPr>
      <w:caps/>
    </w:rPr>
  </w:style>
  <w:style w:type="paragraph" w:customStyle="1" w:styleId="Version">
    <w:name w:val="Version"/>
    <w:rsid w:val="007B7B7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B7B7E"/>
    <w:pPr>
      <w:numPr>
        <w:numId w:val="12"/>
      </w:numPr>
      <w:tabs>
        <w:tab w:val="clear" w:pos="680"/>
      </w:tabs>
    </w:pPr>
  </w:style>
  <w:style w:type="paragraph" w:styleId="Index1">
    <w:name w:val="index 1"/>
    <w:basedOn w:val="Normal"/>
    <w:next w:val="Normal"/>
    <w:semiHidden/>
    <w:rsid w:val="007B7B7E"/>
    <w:pPr>
      <w:keepNext w:val="0"/>
      <w:tabs>
        <w:tab w:val="right" w:pos="4176"/>
      </w:tabs>
      <w:ind w:left="198" w:hanging="198"/>
    </w:pPr>
    <w:rPr>
      <w:rFonts w:ascii="Garamond" w:hAnsi="Garamond"/>
    </w:rPr>
  </w:style>
  <w:style w:type="paragraph" w:styleId="IndexHeading">
    <w:name w:val="index heading"/>
    <w:basedOn w:val="Normal"/>
    <w:next w:val="Index1"/>
    <w:semiHidden/>
    <w:rsid w:val="007B7B7E"/>
    <w:pPr>
      <w:spacing w:before="120" w:after="120"/>
    </w:pPr>
    <w:rPr>
      <w:rFonts w:ascii="Arial" w:hAnsi="Arial"/>
      <w:b/>
      <w:color w:val="918585"/>
      <w:sz w:val="24"/>
    </w:rPr>
  </w:style>
  <w:style w:type="paragraph" w:styleId="Header">
    <w:name w:val="header"/>
    <w:basedOn w:val="Normal"/>
    <w:link w:val="HeaderChar"/>
    <w:rsid w:val="007B7B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B7B7E"/>
    <w:rPr>
      <w:rFonts w:ascii="Times New Roman" w:eastAsia="Times New Roman" w:hAnsi="Times New Roman" w:cs="Times New Roman"/>
      <w:sz w:val="16"/>
      <w:szCs w:val="20"/>
      <w:lang w:val="en-GB" w:eastAsia="en-US"/>
    </w:rPr>
  </w:style>
  <w:style w:type="paragraph" w:customStyle="1" w:styleId="Chapter">
    <w:name w:val="Chapter"/>
    <w:basedOn w:val="Normal"/>
    <w:rsid w:val="007B7B7E"/>
    <w:pPr>
      <w:spacing w:before="240"/>
    </w:pPr>
    <w:rPr>
      <w:rFonts w:ascii="Times New Roman" w:hAnsi="Times New Roman"/>
      <w:smallCaps/>
      <w:spacing w:val="80"/>
      <w:sz w:val="28"/>
    </w:rPr>
  </w:style>
  <w:style w:type="paragraph" w:customStyle="1" w:styleId="InChapter">
    <w:name w:val="InChapter"/>
    <w:basedOn w:val="Heading3"/>
    <w:rsid w:val="007B7B7E"/>
    <w:pPr>
      <w:spacing w:after="240"/>
      <w:outlineLvl w:val="9"/>
    </w:pPr>
    <w:rPr>
      <w:noProof/>
    </w:rPr>
  </w:style>
  <w:style w:type="paragraph" w:styleId="Index2">
    <w:name w:val="index 2"/>
    <w:basedOn w:val="Normal"/>
    <w:next w:val="Normal"/>
    <w:semiHidden/>
    <w:rsid w:val="007B7B7E"/>
    <w:pPr>
      <w:tabs>
        <w:tab w:val="right" w:pos="4176"/>
      </w:tabs>
      <w:ind w:left="568" w:hanging="284"/>
    </w:pPr>
    <w:rPr>
      <w:rFonts w:ascii="Garamond" w:hAnsi="Garamond"/>
    </w:rPr>
  </w:style>
  <w:style w:type="paragraph" w:customStyle="1" w:styleId="Byline">
    <w:name w:val="Byline"/>
    <w:rsid w:val="007B7B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7B7E"/>
    <w:pPr>
      <w:tabs>
        <w:tab w:val="clear" w:pos="3600"/>
        <w:tab w:val="clear" w:pos="3958"/>
      </w:tabs>
      <w:jc w:val="right"/>
    </w:pPr>
  </w:style>
  <w:style w:type="paragraph" w:styleId="Caption">
    <w:name w:val="caption"/>
    <w:basedOn w:val="BodyText"/>
    <w:next w:val="Normal"/>
    <w:qFormat/>
    <w:rsid w:val="007B7B7E"/>
    <w:pPr>
      <w:framePr w:w="2268" w:hSpace="181" w:vSpace="181" w:wrap="around" w:vAnchor="text" w:hAnchor="page" w:x="1135" w:y="285" w:anchorLock="1"/>
    </w:pPr>
    <w:rPr>
      <w:i/>
    </w:rPr>
  </w:style>
  <w:style w:type="paragraph" w:customStyle="1" w:styleId="MiniTOCTitle">
    <w:name w:val="MiniTOCTitle"/>
    <w:basedOn w:val="Heading4"/>
    <w:rsid w:val="007B7B7E"/>
    <w:pPr>
      <w:spacing w:before="240"/>
      <w:outlineLvl w:val="9"/>
    </w:pPr>
    <w:rPr>
      <w:noProof/>
      <w:sz w:val="24"/>
    </w:rPr>
  </w:style>
  <w:style w:type="paragraph" w:customStyle="1" w:styleId="MiniTOCItem">
    <w:name w:val="MiniTOCItem"/>
    <w:basedOn w:val="ListBullet"/>
    <w:rsid w:val="007B7B7E"/>
    <w:pPr>
      <w:numPr>
        <w:numId w:val="0"/>
      </w:numPr>
      <w:tabs>
        <w:tab w:val="right" w:leader="dot" w:pos="6521"/>
      </w:tabs>
      <w:spacing w:before="0" w:after="0"/>
    </w:pPr>
  </w:style>
  <w:style w:type="paragraph" w:customStyle="1" w:styleId="TOFTitle">
    <w:name w:val="TOFTitle"/>
    <w:basedOn w:val="TOCTitle"/>
    <w:rsid w:val="007B7B7E"/>
  </w:style>
  <w:style w:type="paragraph" w:styleId="TableofFigures">
    <w:name w:val="table of figures"/>
    <w:basedOn w:val="Normal"/>
    <w:next w:val="Normal"/>
    <w:semiHidden/>
    <w:rsid w:val="007B7B7E"/>
    <w:pPr>
      <w:tabs>
        <w:tab w:val="right" w:leader="dot" w:pos="9072"/>
      </w:tabs>
      <w:ind w:left="970" w:hanging="403"/>
    </w:pPr>
    <w:rPr>
      <w:rFonts w:ascii="Times New Roman" w:hAnsi="Times New Roman"/>
      <w:b/>
    </w:rPr>
  </w:style>
  <w:style w:type="paragraph" w:styleId="ListNumber">
    <w:name w:val="List Number"/>
    <w:basedOn w:val="List"/>
    <w:rsid w:val="007B7B7E"/>
    <w:pPr>
      <w:numPr>
        <w:numId w:val="14"/>
      </w:numPr>
      <w:tabs>
        <w:tab w:val="clear" w:pos="340"/>
      </w:tabs>
    </w:pPr>
  </w:style>
  <w:style w:type="character" w:customStyle="1" w:styleId="WingdingSymbols">
    <w:name w:val="Wingding Symbols"/>
    <w:rsid w:val="007B7B7E"/>
    <w:rPr>
      <w:rFonts w:ascii="Wingdings" w:hAnsi="Wingdings"/>
    </w:rPr>
  </w:style>
  <w:style w:type="paragraph" w:customStyle="1" w:styleId="TableHeading">
    <w:name w:val="Table Heading"/>
    <w:basedOn w:val="HeadingBase"/>
    <w:rsid w:val="007B7B7E"/>
    <w:pPr>
      <w:keepLines/>
      <w:pBdr>
        <w:bottom w:val="single" w:sz="6" w:space="1" w:color="918585"/>
      </w:pBdr>
      <w:spacing w:before="240"/>
    </w:pPr>
  </w:style>
  <w:style w:type="character" w:customStyle="1" w:styleId="HotSpot">
    <w:name w:val="HotSpot"/>
    <w:rsid w:val="007B7B7E"/>
    <w:rPr>
      <w:color w:val="0033CC"/>
      <w:u w:val="none"/>
    </w:rPr>
  </w:style>
  <w:style w:type="paragraph" w:customStyle="1" w:styleId="BodyTextRight">
    <w:name w:val="Body Text Right"/>
    <w:basedOn w:val="BodyText"/>
    <w:rsid w:val="007B7B7E"/>
    <w:pPr>
      <w:spacing w:before="0" w:after="0"/>
      <w:jc w:val="right"/>
    </w:pPr>
  </w:style>
  <w:style w:type="paragraph" w:styleId="Index3">
    <w:name w:val="index 3"/>
    <w:basedOn w:val="ListNumber2"/>
    <w:next w:val="Normal"/>
    <w:semiHidden/>
    <w:rsid w:val="007B7B7E"/>
    <w:pPr>
      <w:numPr>
        <w:numId w:val="0"/>
      </w:numPr>
      <w:tabs>
        <w:tab w:val="right" w:leader="dot" w:pos="4176"/>
      </w:tabs>
    </w:pPr>
  </w:style>
  <w:style w:type="paragraph" w:styleId="ListNumber2">
    <w:name w:val="List Number 2"/>
    <w:basedOn w:val="List2"/>
    <w:rsid w:val="007B7B7E"/>
    <w:pPr>
      <w:numPr>
        <w:numId w:val="9"/>
      </w:numPr>
      <w:tabs>
        <w:tab w:val="clear" w:pos="1060"/>
      </w:tabs>
    </w:pPr>
  </w:style>
  <w:style w:type="paragraph" w:customStyle="1" w:styleId="MarginNote">
    <w:name w:val="Margin Note"/>
    <w:basedOn w:val="BodyText"/>
    <w:rsid w:val="007B7B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7B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B7B7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B7B7E"/>
    <w:rPr>
      <w:sz w:val="32"/>
    </w:rPr>
  </w:style>
  <w:style w:type="paragraph" w:customStyle="1" w:styleId="HeadingProcedure">
    <w:name w:val="Heading Procedure"/>
    <w:basedOn w:val="HeadingBase"/>
    <w:next w:val="Normal"/>
    <w:rsid w:val="007B7B7E"/>
    <w:pPr>
      <w:tabs>
        <w:tab w:val="left" w:pos="0"/>
      </w:tabs>
      <w:spacing w:before="120" w:after="60"/>
    </w:pPr>
    <w:rPr>
      <w:i/>
      <w:color w:val="918585"/>
      <w:sz w:val="22"/>
    </w:rPr>
  </w:style>
  <w:style w:type="paragraph" w:customStyle="1" w:styleId="TableBodyText">
    <w:name w:val="Table Body Text"/>
    <w:basedOn w:val="BodyText"/>
    <w:rsid w:val="007B7B7E"/>
    <w:pPr>
      <w:spacing w:before="60" w:after="60"/>
    </w:pPr>
  </w:style>
  <w:style w:type="paragraph" w:styleId="ListContinue">
    <w:name w:val="List Continue"/>
    <w:basedOn w:val="List"/>
    <w:rsid w:val="007B7B7E"/>
    <w:pPr>
      <w:ind w:firstLine="0"/>
    </w:pPr>
  </w:style>
  <w:style w:type="paragraph" w:customStyle="1" w:styleId="ListNote">
    <w:name w:val="List Note"/>
    <w:basedOn w:val="List"/>
    <w:rsid w:val="007B7B7E"/>
    <w:pPr>
      <w:pBdr>
        <w:top w:val="single" w:sz="6" w:space="2" w:color="918585"/>
        <w:bottom w:val="single" w:sz="6" w:space="2" w:color="918585"/>
      </w:pBdr>
      <w:tabs>
        <w:tab w:val="left" w:pos="1021"/>
      </w:tabs>
      <w:ind w:firstLine="0"/>
    </w:pPr>
  </w:style>
  <w:style w:type="paragraph" w:customStyle="1" w:styleId="Warning">
    <w:name w:val="Warning"/>
    <w:basedOn w:val="BodyText"/>
    <w:rsid w:val="007B7B7E"/>
    <w:pPr>
      <w:shd w:val="clear" w:color="auto" w:fill="D9D9D9"/>
      <w:tabs>
        <w:tab w:val="left" w:pos="992"/>
      </w:tabs>
      <w:ind w:left="119" w:right="119"/>
    </w:pPr>
    <w:rPr>
      <w:sz w:val="20"/>
    </w:rPr>
  </w:style>
  <w:style w:type="paragraph" w:customStyle="1" w:styleId="MarginIcons">
    <w:name w:val="Margin Icons"/>
    <w:basedOn w:val="BodyText"/>
    <w:rsid w:val="007B7B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B7B7E"/>
    <w:rPr>
      <w:rFonts w:ascii="Courier New" w:hAnsi="Courier New"/>
    </w:rPr>
  </w:style>
  <w:style w:type="paragraph" w:customStyle="1" w:styleId="NoteBullet">
    <w:name w:val="Note Bullet"/>
    <w:basedOn w:val="Note"/>
    <w:rsid w:val="007B7B7E"/>
    <w:pPr>
      <w:tabs>
        <w:tab w:val="clear" w:pos="680"/>
      </w:tabs>
      <w:spacing w:before="60" w:after="60"/>
    </w:pPr>
  </w:style>
  <w:style w:type="paragraph" w:customStyle="1" w:styleId="SubHeading2">
    <w:name w:val="SubHeading2"/>
    <w:basedOn w:val="HeadingBase"/>
    <w:rsid w:val="007B7B7E"/>
    <w:pPr>
      <w:spacing w:before="240" w:after="60"/>
    </w:pPr>
    <w:rPr>
      <w:sz w:val="20"/>
    </w:rPr>
  </w:style>
  <w:style w:type="paragraph" w:customStyle="1" w:styleId="SubHeading1">
    <w:name w:val="SubHeading1"/>
    <w:basedOn w:val="HeadingBase"/>
    <w:rsid w:val="007B7B7E"/>
    <w:pPr>
      <w:spacing w:before="240" w:after="60"/>
    </w:pPr>
    <w:rPr>
      <w:color w:val="918585"/>
      <w:sz w:val="22"/>
    </w:rPr>
  </w:style>
  <w:style w:type="paragraph" w:customStyle="1" w:styleId="SideHeading">
    <w:name w:val="Side Heading"/>
    <w:basedOn w:val="HeadingBase"/>
    <w:rsid w:val="007B7B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7B7E"/>
    <w:pPr>
      <w:numPr>
        <w:numId w:val="10"/>
      </w:numPr>
    </w:pPr>
  </w:style>
  <w:style w:type="paragraph" w:styleId="PlainText">
    <w:name w:val="Plain Text"/>
    <w:basedOn w:val="Normal"/>
    <w:link w:val="PlainTextChar"/>
    <w:rsid w:val="007B7B7E"/>
    <w:rPr>
      <w:sz w:val="20"/>
    </w:rPr>
  </w:style>
  <w:style w:type="character" w:customStyle="1" w:styleId="PlainTextChar">
    <w:name w:val="Plain Text Char"/>
    <w:basedOn w:val="DefaultParagraphFont"/>
    <w:link w:val="PlainText"/>
    <w:rsid w:val="007B7B7E"/>
    <w:rPr>
      <w:rFonts w:ascii="Courier New" w:eastAsia="Times New Roman" w:hAnsi="Courier New" w:cs="Times New Roman"/>
      <w:sz w:val="20"/>
      <w:szCs w:val="20"/>
      <w:lang w:eastAsia="en-US"/>
    </w:rPr>
  </w:style>
  <w:style w:type="character" w:customStyle="1" w:styleId="MenuOption">
    <w:name w:val="Menu Option"/>
    <w:basedOn w:val="DefaultParagraphFont"/>
    <w:rsid w:val="007B7B7E"/>
    <w:rPr>
      <w:b/>
      <w:smallCaps/>
    </w:rPr>
  </w:style>
  <w:style w:type="paragraph" w:customStyle="1" w:styleId="TableListNumber">
    <w:name w:val="Table List Number"/>
    <w:basedOn w:val="ListNumber"/>
    <w:rsid w:val="007B7B7E"/>
    <w:pPr>
      <w:numPr>
        <w:numId w:val="0"/>
      </w:numPr>
    </w:pPr>
  </w:style>
  <w:style w:type="paragraph" w:styleId="TOC4">
    <w:name w:val="toc 4"/>
    <w:basedOn w:val="TOCBase"/>
    <w:next w:val="Normal"/>
    <w:semiHidden/>
    <w:rsid w:val="007B7B7E"/>
    <w:pPr>
      <w:tabs>
        <w:tab w:val="right" w:leader="dot" w:pos="9071"/>
      </w:tabs>
      <w:ind w:left="1701"/>
    </w:pPr>
  </w:style>
  <w:style w:type="paragraph" w:customStyle="1" w:styleId="ListAlpha">
    <w:name w:val="List Alpha"/>
    <w:basedOn w:val="List"/>
    <w:rsid w:val="007B7B7E"/>
    <w:pPr>
      <w:numPr>
        <w:numId w:val="8"/>
      </w:numPr>
    </w:pPr>
  </w:style>
  <w:style w:type="paragraph" w:customStyle="1" w:styleId="ListAlpha2">
    <w:name w:val="List Alpha 2"/>
    <w:basedOn w:val="List2"/>
    <w:rsid w:val="007B7B7E"/>
    <w:pPr>
      <w:numPr>
        <w:numId w:val="7"/>
      </w:numPr>
    </w:pPr>
  </w:style>
  <w:style w:type="paragraph" w:styleId="List2">
    <w:name w:val="List 2"/>
    <w:basedOn w:val="BodyText"/>
    <w:rsid w:val="007B7B7E"/>
    <w:pPr>
      <w:tabs>
        <w:tab w:val="left" w:pos="680"/>
      </w:tabs>
      <w:spacing w:before="60" w:after="60"/>
      <w:ind w:left="680" w:hanging="340"/>
    </w:pPr>
  </w:style>
  <w:style w:type="paragraph" w:styleId="List3">
    <w:name w:val="List 3"/>
    <w:basedOn w:val="BodyText"/>
    <w:rsid w:val="007B7B7E"/>
    <w:pPr>
      <w:tabs>
        <w:tab w:val="left" w:pos="1021"/>
      </w:tabs>
      <w:spacing w:before="60" w:after="60"/>
      <w:ind w:left="1020" w:hanging="340"/>
    </w:pPr>
  </w:style>
  <w:style w:type="paragraph" w:styleId="List4">
    <w:name w:val="List 4"/>
    <w:basedOn w:val="BodyText"/>
    <w:rsid w:val="007B7B7E"/>
    <w:pPr>
      <w:tabs>
        <w:tab w:val="left" w:pos="1361"/>
      </w:tabs>
      <w:spacing w:before="60" w:after="60"/>
      <w:ind w:left="1361" w:hanging="340"/>
    </w:pPr>
  </w:style>
  <w:style w:type="paragraph" w:styleId="List5">
    <w:name w:val="List 5"/>
    <w:basedOn w:val="BodyText"/>
    <w:rsid w:val="007B7B7E"/>
    <w:pPr>
      <w:tabs>
        <w:tab w:val="left" w:pos="1701"/>
      </w:tabs>
      <w:spacing w:before="60" w:after="60"/>
      <w:ind w:left="1701" w:hanging="340"/>
    </w:pPr>
  </w:style>
  <w:style w:type="paragraph" w:styleId="ListBullet3">
    <w:name w:val="List Bullet 3"/>
    <w:basedOn w:val="List3"/>
    <w:rsid w:val="007B7B7E"/>
    <w:pPr>
      <w:numPr>
        <w:numId w:val="13"/>
      </w:numPr>
      <w:tabs>
        <w:tab w:val="clear" w:pos="1021"/>
      </w:tabs>
      <w:ind w:left="1037" w:hanging="357"/>
    </w:pPr>
  </w:style>
  <w:style w:type="paragraph" w:styleId="ListBullet4">
    <w:name w:val="List Bullet 4"/>
    <w:basedOn w:val="List4"/>
    <w:rsid w:val="007B7B7E"/>
    <w:pPr>
      <w:numPr>
        <w:numId w:val="2"/>
      </w:numPr>
      <w:tabs>
        <w:tab w:val="clear" w:pos="1361"/>
      </w:tabs>
    </w:pPr>
  </w:style>
  <w:style w:type="paragraph" w:styleId="ListBullet5">
    <w:name w:val="List Bullet 5"/>
    <w:basedOn w:val="List5"/>
    <w:rsid w:val="007B7B7E"/>
    <w:pPr>
      <w:numPr>
        <w:numId w:val="3"/>
      </w:numPr>
    </w:pPr>
  </w:style>
  <w:style w:type="paragraph" w:styleId="ListContinue2">
    <w:name w:val="List Continue 2"/>
    <w:basedOn w:val="List2"/>
    <w:rsid w:val="007B7B7E"/>
    <w:pPr>
      <w:ind w:firstLine="0"/>
    </w:pPr>
  </w:style>
  <w:style w:type="paragraph" w:styleId="ListContinue3">
    <w:name w:val="List Continue 3"/>
    <w:basedOn w:val="List3"/>
    <w:rsid w:val="007B7B7E"/>
    <w:pPr>
      <w:ind w:left="1021" w:firstLine="0"/>
    </w:pPr>
  </w:style>
  <w:style w:type="paragraph" w:styleId="ListContinue4">
    <w:name w:val="List Continue 4"/>
    <w:basedOn w:val="List4"/>
    <w:rsid w:val="007B7B7E"/>
    <w:pPr>
      <w:ind w:firstLine="0"/>
    </w:pPr>
  </w:style>
  <w:style w:type="paragraph" w:styleId="ListContinue5">
    <w:name w:val="List Continue 5"/>
    <w:basedOn w:val="List5"/>
    <w:rsid w:val="007B7B7E"/>
    <w:pPr>
      <w:ind w:firstLine="0"/>
    </w:pPr>
  </w:style>
  <w:style w:type="paragraph" w:styleId="ListNumber3">
    <w:name w:val="List Number 3"/>
    <w:basedOn w:val="List3"/>
    <w:rsid w:val="007B7B7E"/>
    <w:pPr>
      <w:numPr>
        <w:numId w:val="4"/>
      </w:numPr>
    </w:pPr>
  </w:style>
  <w:style w:type="paragraph" w:styleId="ListNumber4">
    <w:name w:val="List Number 4"/>
    <w:basedOn w:val="List4"/>
    <w:rsid w:val="007B7B7E"/>
    <w:pPr>
      <w:numPr>
        <w:numId w:val="5"/>
      </w:numPr>
    </w:pPr>
  </w:style>
  <w:style w:type="paragraph" w:styleId="ListNumber5">
    <w:name w:val="List Number 5"/>
    <w:basedOn w:val="List5"/>
    <w:rsid w:val="007B7B7E"/>
    <w:pPr>
      <w:numPr>
        <w:numId w:val="6"/>
      </w:numPr>
    </w:pPr>
  </w:style>
  <w:style w:type="paragraph" w:styleId="BlockText">
    <w:name w:val="Block Text"/>
    <w:basedOn w:val="Normal"/>
    <w:rsid w:val="007B7B7E"/>
    <w:pPr>
      <w:spacing w:after="120"/>
      <w:ind w:left="1440" w:right="1440"/>
    </w:pPr>
  </w:style>
  <w:style w:type="character" w:customStyle="1" w:styleId="Subscript">
    <w:name w:val="Subscript"/>
    <w:basedOn w:val="DefaultParagraphFont"/>
    <w:rsid w:val="007B7B7E"/>
    <w:rPr>
      <w:sz w:val="16"/>
      <w:vertAlign w:val="subscript"/>
    </w:rPr>
  </w:style>
  <w:style w:type="character" w:customStyle="1" w:styleId="Superscript">
    <w:name w:val="Superscript"/>
    <w:basedOn w:val="DefaultParagraphFont"/>
    <w:rsid w:val="007B7B7E"/>
    <w:rPr>
      <w:sz w:val="16"/>
      <w:vertAlign w:val="superscript"/>
    </w:rPr>
  </w:style>
  <w:style w:type="character" w:customStyle="1" w:styleId="Symbols">
    <w:name w:val="Symbols"/>
    <w:basedOn w:val="DefaultParagraphFont"/>
    <w:rsid w:val="007B7B7E"/>
    <w:rPr>
      <w:rFonts w:ascii="Symbol" w:hAnsi="Symbol"/>
    </w:rPr>
  </w:style>
  <w:style w:type="character" w:customStyle="1" w:styleId="MenuOptions">
    <w:name w:val="Menu Options"/>
    <w:basedOn w:val="DefaultParagraphFont"/>
    <w:rsid w:val="007B7B7E"/>
    <w:rPr>
      <w:rFonts w:ascii="Arial Narrow" w:hAnsi="Arial Narrow"/>
      <w:smallCaps/>
    </w:rPr>
  </w:style>
  <w:style w:type="character" w:customStyle="1" w:styleId="Buttons">
    <w:name w:val="Buttons"/>
    <w:basedOn w:val="DefaultParagraphFont"/>
    <w:rsid w:val="007B7B7E"/>
    <w:rPr>
      <w:b/>
    </w:rPr>
  </w:style>
  <w:style w:type="character" w:customStyle="1" w:styleId="Underlined">
    <w:name w:val="Underlined"/>
    <w:basedOn w:val="DefaultParagraphFont"/>
    <w:rsid w:val="007B7B7E"/>
    <w:rPr>
      <w:u w:val="single"/>
    </w:rPr>
  </w:style>
  <w:style w:type="paragraph" w:customStyle="1" w:styleId="TableBodyTextRight">
    <w:name w:val="Table Body Text Right"/>
    <w:basedOn w:val="TableBodyText"/>
    <w:rsid w:val="007B7B7E"/>
    <w:pPr>
      <w:widowControl w:val="0"/>
      <w:autoSpaceDE w:val="0"/>
      <w:autoSpaceDN w:val="0"/>
      <w:adjustRightInd w:val="0"/>
      <w:jc w:val="right"/>
    </w:pPr>
    <w:rPr>
      <w:rFonts w:cs="Arial"/>
      <w:szCs w:val="18"/>
    </w:rPr>
  </w:style>
  <w:style w:type="paragraph" w:customStyle="1" w:styleId="CopyrightText">
    <w:name w:val="Copyright Text"/>
    <w:basedOn w:val="BodyText"/>
    <w:rsid w:val="007B7B7E"/>
    <w:rPr>
      <w:sz w:val="18"/>
    </w:rPr>
  </w:style>
  <w:style w:type="paragraph" w:customStyle="1" w:styleId="BodySmallRight">
    <w:name w:val="Body Small Right"/>
    <w:basedOn w:val="BodyTextRight"/>
    <w:rsid w:val="007B7B7E"/>
    <w:rPr>
      <w:sz w:val="18"/>
      <w:szCs w:val="18"/>
    </w:rPr>
  </w:style>
  <w:style w:type="paragraph" w:customStyle="1" w:styleId="MarginEdition">
    <w:name w:val="Margin Edition"/>
    <w:basedOn w:val="MarginNote"/>
    <w:rsid w:val="007B7B7E"/>
    <w:pPr>
      <w:spacing w:before="0" w:after="0"/>
    </w:pPr>
    <w:rPr>
      <w:rFonts w:ascii="Times New Roman" w:hAnsi="Times New Roman"/>
      <w:color w:val="999999"/>
    </w:rPr>
  </w:style>
  <w:style w:type="paragraph" w:customStyle="1" w:styleId="Spacer">
    <w:name w:val="Spacer"/>
    <w:basedOn w:val="Normal"/>
    <w:rsid w:val="007B7B7E"/>
    <w:rPr>
      <w:sz w:val="2"/>
      <w:szCs w:val="2"/>
    </w:rPr>
  </w:style>
  <w:style w:type="character" w:customStyle="1" w:styleId="Small">
    <w:name w:val="Small"/>
    <w:basedOn w:val="DefaultParagraphFont"/>
    <w:rsid w:val="007B7B7E"/>
    <w:rPr>
      <w:sz w:val="16"/>
    </w:rPr>
  </w:style>
  <w:style w:type="paragraph" w:customStyle="1" w:styleId="WideTable">
    <w:name w:val="Wide Table"/>
    <w:basedOn w:val="Normal"/>
    <w:rsid w:val="007B7B7E"/>
    <w:pPr>
      <w:ind w:left="-1418"/>
    </w:pPr>
    <w:rPr>
      <w:sz w:val="2"/>
      <w:szCs w:val="2"/>
    </w:rPr>
  </w:style>
  <w:style w:type="character" w:styleId="PageNumber">
    <w:name w:val="page number"/>
    <w:basedOn w:val="DefaultParagraphFont"/>
    <w:rsid w:val="007B7B7E"/>
  </w:style>
  <w:style w:type="paragraph" w:styleId="Quote">
    <w:name w:val="Quote"/>
    <w:basedOn w:val="Heading1"/>
    <w:link w:val="QuoteChar"/>
    <w:qFormat/>
    <w:rsid w:val="007B7B7E"/>
    <w:rPr>
      <w:b w:val="0"/>
      <w:sz w:val="72"/>
      <w:szCs w:val="72"/>
      <w:lang w:val="en-NZ"/>
    </w:rPr>
  </w:style>
  <w:style w:type="character" w:customStyle="1" w:styleId="QuoteChar">
    <w:name w:val="Quote Char"/>
    <w:basedOn w:val="DefaultParagraphFont"/>
    <w:link w:val="Quote"/>
    <w:rsid w:val="007B7B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7B7E"/>
    <w:pPr>
      <w:pageBreakBefore/>
    </w:pPr>
  </w:style>
  <w:style w:type="paragraph" w:customStyle="1" w:styleId="Border">
    <w:name w:val="Border"/>
    <w:basedOn w:val="Normal"/>
    <w:qFormat/>
    <w:rsid w:val="007B7B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B7B7E"/>
    <w:rPr>
      <w:b/>
      <w:bCs/>
      <w:i/>
      <w:iCs/>
      <w:color w:val="auto"/>
    </w:rPr>
  </w:style>
  <w:style w:type="paragraph" w:styleId="IntenseQuote">
    <w:name w:val="Intense Quote"/>
    <w:basedOn w:val="Normal"/>
    <w:next w:val="Normal"/>
    <w:link w:val="IntenseQuoteChar"/>
    <w:uiPriority w:val="30"/>
    <w:qFormat/>
    <w:rsid w:val="007B7B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B7B7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B7B7E"/>
    <w:rPr>
      <w:smallCaps/>
      <w:color w:val="auto"/>
      <w:u w:val="single"/>
    </w:rPr>
  </w:style>
  <w:style w:type="character" w:styleId="IntenseReference">
    <w:name w:val="Intense Reference"/>
    <w:basedOn w:val="DefaultParagraphFont"/>
    <w:uiPriority w:val="32"/>
    <w:qFormat/>
    <w:rsid w:val="007B7B7E"/>
    <w:rPr>
      <w:b/>
      <w:bCs/>
      <w:smallCaps/>
      <w:color w:val="auto"/>
      <w:spacing w:val="5"/>
      <w:u w:val="single"/>
    </w:rPr>
  </w:style>
  <w:style w:type="paragraph" w:customStyle="1" w:styleId="2ColumnHeading">
    <w:name w:val="2Column Heading"/>
    <w:basedOn w:val="BodyText"/>
    <w:qFormat/>
    <w:rsid w:val="007B7B7E"/>
    <w:pPr>
      <w:spacing w:after="60"/>
      <w:ind w:left="-2268"/>
    </w:pPr>
    <w:rPr>
      <w:b/>
    </w:rPr>
  </w:style>
  <w:style w:type="paragraph" w:customStyle="1" w:styleId="Heading1TOC">
    <w:name w:val="Heading1 TOC"/>
    <w:basedOn w:val="Normal"/>
    <w:qFormat/>
    <w:rsid w:val="007B7B7E"/>
    <w:pPr>
      <w:spacing w:before="240" w:after="120"/>
    </w:pPr>
    <w:rPr>
      <w:rFonts w:ascii="Times New Roman" w:hAnsi="Times New Roman"/>
      <w:b/>
      <w:sz w:val="32"/>
    </w:rPr>
  </w:style>
  <w:style w:type="paragraph" w:customStyle="1" w:styleId="Heading2TOC">
    <w:name w:val="Heading2 TOC"/>
    <w:basedOn w:val="Normal"/>
    <w:qFormat/>
    <w:rsid w:val="007B7B7E"/>
    <w:pPr>
      <w:spacing w:before="240" w:after="60"/>
    </w:pPr>
    <w:rPr>
      <w:rFonts w:ascii="Times New Roman" w:hAnsi="Times New Roman"/>
      <w:b/>
      <w:sz w:val="28"/>
    </w:rPr>
  </w:style>
  <w:style w:type="character" w:customStyle="1" w:styleId="Underline">
    <w:name w:val="Underline"/>
    <w:basedOn w:val="DefaultParagraphFont"/>
    <w:qFormat/>
    <w:rsid w:val="007B7B7E"/>
    <w:rPr>
      <w:u w:val="single"/>
    </w:rPr>
  </w:style>
  <w:style w:type="character" w:customStyle="1" w:styleId="BoldandItalics">
    <w:name w:val="Bold and Italics"/>
    <w:qFormat/>
    <w:rsid w:val="007B7B7E"/>
    <w:rPr>
      <w:b/>
      <w:i/>
      <w:u w:val="none"/>
    </w:rPr>
  </w:style>
  <w:style w:type="paragraph" w:styleId="BalloonText">
    <w:name w:val="Balloon Text"/>
    <w:basedOn w:val="Normal"/>
    <w:link w:val="BalloonTextChar"/>
    <w:rsid w:val="007B7B7E"/>
    <w:rPr>
      <w:rFonts w:ascii="Tahoma" w:hAnsi="Tahoma" w:cs="Tahoma"/>
      <w:sz w:val="16"/>
      <w:szCs w:val="16"/>
    </w:rPr>
  </w:style>
  <w:style w:type="character" w:customStyle="1" w:styleId="BalloonTextChar">
    <w:name w:val="Balloon Text Char"/>
    <w:basedOn w:val="DefaultParagraphFont"/>
    <w:link w:val="BalloonText"/>
    <w:rsid w:val="007B7B7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B7B7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B7B7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B7B7E"/>
    <w:rPr>
      <w:b/>
      <w:color w:val="660033"/>
      <w:spacing w:val="0"/>
    </w:rPr>
  </w:style>
  <w:style w:type="paragraph" w:customStyle="1" w:styleId="Nameditemlist">
    <w:name w:val="Named item list"/>
    <w:basedOn w:val="BodyText"/>
    <w:qFormat/>
    <w:rsid w:val="007B7B7E"/>
    <w:pPr>
      <w:tabs>
        <w:tab w:val="left" w:pos="2835"/>
      </w:tabs>
      <w:ind w:left="2835" w:hanging="2835"/>
    </w:pPr>
  </w:style>
  <w:style w:type="paragraph" w:customStyle="1" w:styleId="BodyTextnopadding">
    <w:name w:val="Body Text no padding"/>
    <w:basedOn w:val="BodyText"/>
    <w:qFormat/>
    <w:rsid w:val="007B7B7E"/>
    <w:pPr>
      <w:spacing w:before="0" w:after="0"/>
    </w:pPr>
  </w:style>
  <w:style w:type="paragraph" w:customStyle="1" w:styleId="BodyTextBold">
    <w:name w:val="Body Text Bold"/>
    <w:basedOn w:val="BodyText"/>
    <w:qFormat/>
    <w:rsid w:val="007B7B7E"/>
    <w:rPr>
      <w:b/>
    </w:rPr>
  </w:style>
  <w:style w:type="character" w:styleId="Hyperlink">
    <w:name w:val="Hyperlink"/>
    <w:basedOn w:val="DefaultParagraphFont"/>
    <w:uiPriority w:val="99"/>
    <w:unhideWhenUsed/>
    <w:rsid w:val="00986A7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562</Words>
  <Characters>3529</Characters>
  <Application>Microsoft Office Word</Application>
  <DocSecurity>0</DocSecurity>
  <Lines>117</Lines>
  <Paragraphs>78</Paragraphs>
  <ScaleCrop>false</ScaleCrop>
  <Company>Author-it Software Corporation Ltd.</Company>
  <LinksUpToDate>false</LinksUpToDate>
  <CharactersWithSpaces>4013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ICPCBF2610 Set up machine for basic adhesive, mechanical or thermal fastening</dc:title>
  <dc:subject>Approved</dc:subject>
  <dc:creator>PwC’s Skills for Australia</dc:creator>
  <cp:keywords>Release: 1</cp:keywords>
  <dc:description>Review Date: 12 April 2008</dc:description>
  <cp:lastModifiedBy>HSD_TPCMSd.prod</cp:lastModifiedBy>
  <cp:revision>3</cp:revision>
  <dcterms:created xsi:type="dcterms:W3CDTF">2021-07-20T05:44:00Z</dcterms:created>
  <dcterms:modified xsi:type="dcterms:W3CDTF">2021-07-20T05:44:00Z</dcterms:modified>
</cp:coreProperties>
</file>