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4DD" w:rsidP="001434DD">
      <w:pPr>
        <w:pStyle w:val="Title"/>
      </w:pPr>
      <w:r>
        <w:fldChar w:fldCharType="begin"/>
      </w:r>
      <w:r>
        <w:instrText xml:space="preserve"> TITLE   \* MERGEFORMAT </w:instrText>
      </w:r>
      <w:r>
        <w:fldChar w:fldCharType="separate"/>
      </w:r>
      <w:r>
        <w:t>ICAT5079B Perform integration test</w:t>
      </w:r>
      <w:r>
        <w:fldChar w:fldCharType="end"/>
      </w:r>
    </w:p>
    <w:p w:rsidR="001434DD" w:rsidP="001434DD">
      <w:pPr>
        <w:pStyle w:val="Version"/>
        <w:sectPr w:rsidSect="00D12A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A5A" w:rsidP="00D12A5A">
      <w:pPr>
        <w:pStyle w:val="SuperHeading"/>
      </w:pPr>
      <w:r w:rsidRPr="00D12A5A">
        <w:t>ICAT5079B Perform integration test</w:t>
      </w:r>
    </w:p>
    <w:p w:rsidR="00000000" w:rsidRPr="00D12A5A" w:rsidP="00D12A5A">
      <w:pPr>
        <w:pStyle w:val="Heading1"/>
      </w:pPr>
      <w:bookmarkStart w:id="1" w:name="O_271696"/>
      <w:bookmarkEnd w:id="1"/>
      <w:r w:rsidRPr="00D12A5A">
        <w:t>Modification History</w:t>
      </w:r>
    </w:p>
    <w:p w:rsidR="00000000" w:rsidRPr="00D12A5A" w:rsidP="00D12A5A">
      <w:pPr>
        <w:pStyle w:val="BodyText"/>
      </w:pPr>
      <w:r w:rsidRPr="00D12A5A">
        <w:t>Not Applicable</w:t>
      </w:r>
    </w:p>
    <w:p w:rsidR="00000000" w:rsidRPr="00D12A5A" w:rsidP="00D12A5A">
      <w:pPr>
        <w:pStyle w:val="AllowPageBreak"/>
      </w:pPr>
    </w:p>
    <w:p w:rsidR="00000000" w:rsidRPr="00D12A5A" w:rsidP="00D12A5A">
      <w:pPr>
        <w:pStyle w:val="Heading1"/>
      </w:pPr>
      <w:bookmarkStart w:id="2" w:name="O_208311"/>
      <w:bookmarkEnd w:id="2"/>
      <w:r w:rsidRPr="00D12A5A">
        <w:t>Unit Descriptor</w:t>
      </w:r>
    </w:p>
    <w:tbl>
      <w:tblPr>
        <w:tblW w:w="0" w:type="auto"/>
        <w:tblLayout w:type="fixed"/>
        <w:tblCellMar>
          <w:left w:w="62" w:type="dxa"/>
          <w:right w:w="62" w:type="dxa"/>
        </w:tblCellMar>
        <w:tblLook w:val="0000"/>
      </w:tblPr>
      <w:tblGrid>
        <w:gridCol w:w="2651"/>
        <w:gridCol w:w="5871"/>
      </w:tblGrid>
      <w:tr w:rsidTr="001434D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This unit defines the competency required to ensure that the components of the system operate together to the expected</w:t>
            </w:r>
            <w:r w:rsidRPr="00D12A5A">
              <w:t xml:space="preserve"> standard.</w:t>
            </w:r>
          </w:p>
          <w:p w:rsidR="00000000" w:rsidRPr="00D12A5A" w:rsidP="00D12A5A">
            <w:pPr>
              <w:pStyle w:val="BodyText"/>
            </w:pPr>
          </w:p>
          <w:p w:rsidR="00000000" w:rsidRPr="00D12A5A" w:rsidP="00D12A5A">
            <w:pPr>
              <w:pStyle w:val="BodyText"/>
            </w:pPr>
            <w:r w:rsidRPr="00D12A5A">
              <w:t>These units are linked and form an appropriate cluster:</w:t>
            </w:r>
          </w:p>
          <w:p w:rsidR="00000000" w:rsidRPr="00D12A5A" w:rsidP="00D12A5A">
            <w:pPr>
              <w:pStyle w:val="ListBullet"/>
            </w:pPr>
            <w:r w:rsidRPr="00D12A5A">
              <w:t>ICAA5050B Develop detailed component specifications from project specifications</w:t>
            </w:r>
          </w:p>
          <w:p w:rsidR="00000000" w:rsidRPr="00D12A5A" w:rsidP="00D12A5A">
            <w:pPr>
              <w:pStyle w:val="BodyText"/>
            </w:pPr>
          </w:p>
          <w:p w:rsidR="00000000" w:rsidRPr="00D12A5A" w:rsidP="00D12A5A">
            <w:pPr>
              <w:pStyle w:val="BodyText"/>
            </w:pPr>
            <w:r w:rsidRPr="00D12A5A">
              <w:t>No licensing, legislative, regulatory or certification requirements apply to this unit at the time of publication.</w:t>
            </w:r>
          </w:p>
        </w:tc>
      </w:tr>
    </w:tbl>
    <w:p w:rsidR="001434DD" w:rsidP="00D12A5A">
      <w:pPr>
        <w:pStyle w:val="BodyText"/>
      </w:pPr>
    </w:p>
    <w:p w:rsidR="001434DD" w:rsidP="00D12A5A">
      <w:pPr>
        <w:pStyle w:val="BodyText"/>
      </w:pPr>
    </w:p>
    <w:p w:rsidR="00000000" w:rsidRPr="00D12A5A" w:rsidP="00D12A5A">
      <w:pPr>
        <w:pStyle w:val="Heading1"/>
      </w:pPr>
      <w:bookmarkStart w:id="3" w:name="O_208315"/>
      <w:bookmarkEnd w:id="3"/>
      <w:r w:rsidRPr="00D12A5A">
        <w:t>Application of the Unit</w:t>
      </w:r>
    </w:p>
    <w:tbl>
      <w:tblPr>
        <w:tblW w:w="0" w:type="auto"/>
        <w:tblLayout w:type="fixed"/>
        <w:tblCellMar>
          <w:left w:w="62" w:type="dxa"/>
          <w:right w:w="62" w:type="dxa"/>
        </w:tblCellMar>
        <w:tblLook w:val="0000"/>
      </w:tblPr>
      <w:tblGrid>
        <w:gridCol w:w="2764"/>
        <w:gridCol w:w="5758"/>
      </w:tblGrid>
      <w:tr w:rsidTr="001434D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p>
        </w:tc>
      </w:tr>
    </w:tbl>
    <w:p w:rsidR="001434DD" w:rsidP="00D12A5A">
      <w:pPr>
        <w:pStyle w:val="BodyText"/>
      </w:pPr>
    </w:p>
    <w:p w:rsidR="001434DD" w:rsidP="00D12A5A">
      <w:pPr>
        <w:pStyle w:val="BodyText"/>
      </w:pPr>
    </w:p>
    <w:p w:rsidR="00000000" w:rsidRPr="00D12A5A" w:rsidP="00D12A5A">
      <w:pPr>
        <w:pStyle w:val="Heading1"/>
      </w:pPr>
      <w:bookmarkStart w:id="4" w:name="O_279956"/>
      <w:bookmarkEnd w:id="4"/>
      <w:r w:rsidRPr="00D12A5A">
        <w:t>Licensing/Regulatory Information</w:t>
      </w:r>
    </w:p>
    <w:p w:rsidR="00000000" w:rsidRPr="00D12A5A" w:rsidP="00D12A5A">
      <w:pPr>
        <w:pStyle w:val="BodyText"/>
      </w:pPr>
      <w:r w:rsidRPr="00D12A5A">
        <w:t>Refer to Unit Descriptor</w:t>
      </w:r>
    </w:p>
    <w:p w:rsidR="00000000" w:rsidRPr="00D12A5A" w:rsidP="00D12A5A">
      <w:pPr>
        <w:pStyle w:val="AllowPageBreak"/>
      </w:pPr>
    </w:p>
    <w:p w:rsidR="00000000" w:rsidRPr="00D12A5A" w:rsidP="00D12A5A">
      <w:pPr>
        <w:pStyle w:val="Heading1"/>
      </w:pPr>
      <w:bookmarkStart w:id="5" w:name="O_208313"/>
      <w:bookmarkEnd w:id="5"/>
      <w:r w:rsidRPr="00D12A5A">
        <w:t>Pre-Requisites</w:t>
      </w:r>
    </w:p>
    <w:tbl>
      <w:tblPr>
        <w:tblW w:w="0" w:type="auto"/>
        <w:tblLayout w:type="fixed"/>
        <w:tblCellMar>
          <w:left w:w="62" w:type="dxa"/>
          <w:right w:w="62" w:type="dxa"/>
        </w:tblCellMar>
        <w:tblLook w:val="0000"/>
      </w:tblPr>
      <w:tblGrid>
        <w:gridCol w:w="2775"/>
        <w:gridCol w:w="1295"/>
        <w:gridCol w:w="4452"/>
      </w:tblGrid>
      <w:tr w:rsidTr="001434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p>
        </w:tc>
      </w:tr>
      <w:tr w:rsidTr="001434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p>
        </w:tc>
      </w:tr>
      <w:tr w:rsidTr="001434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p>
        </w:tc>
      </w:tr>
    </w:tbl>
    <w:p w:rsidR="001434DD" w:rsidP="00D12A5A">
      <w:pPr>
        <w:pStyle w:val="BodyText"/>
      </w:pPr>
    </w:p>
    <w:p w:rsidR="001434DD" w:rsidP="00D12A5A">
      <w:pPr>
        <w:pStyle w:val="BodyText"/>
      </w:pPr>
    </w:p>
    <w:p w:rsidR="00000000" w:rsidRPr="00D12A5A" w:rsidP="00D12A5A">
      <w:pPr>
        <w:pStyle w:val="Heading1"/>
      </w:pPr>
      <w:bookmarkStart w:id="6" w:name="O_208312"/>
      <w:bookmarkEnd w:id="6"/>
      <w:r w:rsidRPr="00D12A5A">
        <w:t>Employability Skills Information</w:t>
      </w:r>
    </w:p>
    <w:tbl>
      <w:tblPr>
        <w:tblW w:w="0" w:type="auto"/>
        <w:tblLayout w:type="fixed"/>
        <w:tblCellMar>
          <w:left w:w="62" w:type="dxa"/>
          <w:right w:w="62" w:type="dxa"/>
        </w:tblCellMar>
        <w:tblLook w:val="0000"/>
      </w:tblPr>
      <w:tblGrid>
        <w:gridCol w:w="2802"/>
        <w:gridCol w:w="5720"/>
      </w:tblGrid>
      <w:tr w:rsidTr="001434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This unit contains employability skills.</w:t>
            </w:r>
          </w:p>
        </w:tc>
      </w:tr>
    </w:tbl>
    <w:p w:rsidR="001434DD" w:rsidP="00D12A5A">
      <w:pPr>
        <w:pStyle w:val="BodyText"/>
      </w:pPr>
    </w:p>
    <w:p w:rsidR="001434DD" w:rsidP="00D12A5A">
      <w:pPr>
        <w:pStyle w:val="BodyText"/>
      </w:pPr>
    </w:p>
    <w:p w:rsidR="00000000" w:rsidRPr="00D12A5A" w:rsidP="00D12A5A">
      <w:pPr>
        <w:pStyle w:val="Heading1"/>
      </w:pPr>
      <w:bookmarkStart w:id="7" w:name="O_289742"/>
      <w:bookmarkEnd w:id="7"/>
      <w:r w:rsidRPr="00D12A5A">
        <w:t>Elements and Performance Criteria Pre-Content</w:t>
      </w:r>
    </w:p>
    <w:tbl>
      <w:tblPr>
        <w:tblW w:w="0" w:type="auto"/>
        <w:tblLayout w:type="fixed"/>
        <w:tblCellMar>
          <w:left w:w="62" w:type="dxa"/>
          <w:right w:w="62" w:type="dxa"/>
        </w:tblCellMar>
        <w:tblLook w:val="0000"/>
      </w:tblPr>
      <w:tblGrid>
        <w:gridCol w:w="2548"/>
        <w:gridCol w:w="5974"/>
      </w:tblGrid>
      <w:tr w:rsidTr="001434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Performance criteria describe the performance needed to demonstrate achievement of the element. Where bold italicised text is used, further info</w:t>
            </w:r>
            <w:r w:rsidRPr="00D12A5A">
              <w:t>rmation is detailed in the required skills and knowledge section and the range statement. Assessment of performance is to be consistent with the evidence guide.</w:t>
            </w:r>
          </w:p>
        </w:tc>
      </w:tr>
    </w:tbl>
    <w:p w:rsidR="00000000" w:rsidRPr="00D12A5A" w:rsidP="00D12A5A">
      <w:pPr>
        <w:pStyle w:val="BodyText"/>
      </w:pPr>
    </w:p>
    <w:p w:rsidR="00000000" w:rsidRPr="00D12A5A" w:rsidP="00D12A5A">
      <w:pPr>
        <w:pStyle w:val="AllowPageBreak"/>
      </w:pPr>
    </w:p>
    <w:p w:rsidR="00000000" w:rsidRPr="00D12A5A" w:rsidP="00D12A5A">
      <w:pPr>
        <w:pStyle w:val="Heading1"/>
      </w:pPr>
      <w:bookmarkStart w:id="8" w:name="O_236409"/>
      <w:bookmarkEnd w:id="8"/>
      <w:r w:rsidRPr="00D12A5A">
        <w:t>Elements and Performance Criteria</w:t>
      </w:r>
    </w:p>
    <w:tbl>
      <w:tblPr>
        <w:tblW w:w="0" w:type="auto"/>
        <w:tblLayout w:type="fixed"/>
        <w:tblCellMar>
          <w:left w:w="62" w:type="dxa"/>
          <w:right w:w="62" w:type="dxa"/>
        </w:tblCellMar>
        <w:tblLook w:val="0000"/>
      </w:tblPr>
      <w:tblGrid>
        <w:gridCol w:w="2548"/>
        <w:gridCol w:w="5974"/>
      </w:tblGrid>
      <w:tr w:rsidTr="001434DD">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PERFORMANCE CRITERIA</w:t>
            </w:r>
          </w:p>
        </w:tc>
      </w:tr>
      <w:tr w:rsidTr="001434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List"/>
              <w:rPr>
                <w:lang w:val="en-NZ"/>
              </w:rPr>
            </w:pPr>
            <w:r w:rsidRPr="00D12A5A">
              <w:t>1.</w:t>
            </w:r>
            <w:r w:rsidRPr="00D12A5A">
              <w:tab/>
              <w:t>Prepare f</w:t>
            </w:r>
            <w:r w:rsidRPr="00D12A5A">
              <w:t>or test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2"/>
            </w:pPr>
            <w:r w:rsidRPr="00D12A5A">
              <w:t>1.1.</w:t>
            </w:r>
            <w:r w:rsidRPr="00D12A5A">
              <w:tab/>
              <w:t xml:space="preserve">Prepare the </w:t>
            </w:r>
            <w:r w:rsidRPr="00D12A5A">
              <w:rPr>
                <w:rStyle w:val="BoldandItalics"/>
              </w:rPr>
              <w:t>test environment</w:t>
            </w:r>
          </w:p>
          <w:p w:rsidR="00000000" w:rsidRPr="00D12A5A" w:rsidP="00D12A5A">
            <w:pPr>
              <w:pStyle w:val="List2"/>
            </w:pPr>
            <w:r w:rsidRPr="00D12A5A">
              <w:t>1.2.</w:t>
            </w:r>
            <w:r w:rsidRPr="00D12A5A">
              <w:tab/>
              <w:t>Prepare the test scripts (online test) or test run (batch test) for running</w:t>
            </w:r>
          </w:p>
          <w:p w:rsidR="00000000" w:rsidRPr="00D12A5A" w:rsidP="00D12A5A">
            <w:pPr>
              <w:pStyle w:val="List2"/>
            </w:pPr>
            <w:r w:rsidRPr="00D12A5A">
              <w:t>1.3.</w:t>
            </w:r>
            <w:r w:rsidRPr="00D12A5A">
              <w:tab/>
              <w:t xml:space="preserve">Review expected results against </w:t>
            </w:r>
            <w:r w:rsidRPr="00D12A5A">
              <w:rPr>
                <w:rStyle w:val="BoldandItalics"/>
              </w:rPr>
              <w:t>test and acceptance criteria</w:t>
            </w:r>
          </w:p>
          <w:p w:rsidR="00000000" w:rsidRPr="00D12A5A" w:rsidP="00D12A5A">
            <w:pPr>
              <w:pStyle w:val="List2"/>
            </w:pPr>
            <w:r w:rsidRPr="00D12A5A">
              <w:t>1.4.</w:t>
            </w:r>
            <w:r w:rsidRPr="00D12A5A">
              <w:tab/>
              <w:t>Confirm pre-existing modules and compile modification logs</w:t>
            </w:r>
          </w:p>
          <w:p w:rsidR="00000000" w:rsidRPr="00D12A5A" w:rsidP="00D12A5A">
            <w:pPr>
              <w:pStyle w:val="List2"/>
            </w:pPr>
            <w:r w:rsidRPr="00D12A5A">
              <w:t>1.5.</w:t>
            </w:r>
            <w:r w:rsidRPr="00D12A5A">
              <w:tab/>
              <w:t>Perform static tests of each point of integration and verify correctness of arguments, positional parameters and return values in each integration suite</w:t>
            </w:r>
          </w:p>
          <w:p w:rsidR="00000000" w:rsidP="00D12A5A">
            <w:pPr>
              <w:pStyle w:val="List2"/>
              <w:rPr>
                <w:lang w:val="en-NZ"/>
              </w:rPr>
            </w:pPr>
            <w:r w:rsidRPr="00D12A5A">
              <w:t>1.6.</w:t>
            </w:r>
            <w:r w:rsidRPr="00D12A5A">
              <w:tab/>
              <w:t>Review results of earlier component testing and ensure critical issues are identified and tak</w:t>
            </w:r>
            <w:r w:rsidRPr="00D12A5A">
              <w:t>en into account</w:t>
            </w:r>
          </w:p>
        </w:tc>
      </w:tr>
      <w:tr w:rsidTr="001434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List"/>
              <w:rPr>
                <w:lang w:val="en-NZ"/>
              </w:rPr>
            </w:pPr>
            <w:r w:rsidRPr="00D12A5A">
              <w:t>2.</w:t>
            </w:r>
            <w:r w:rsidRPr="00D12A5A">
              <w:tab/>
              <w:t>Conduct test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2"/>
            </w:pPr>
            <w:r w:rsidRPr="00D12A5A">
              <w:t>2.1.</w:t>
            </w:r>
            <w:r w:rsidRPr="00D12A5A">
              <w:tab/>
              <w:t xml:space="preserve">Select appropriate </w:t>
            </w:r>
            <w:r w:rsidRPr="00D12A5A">
              <w:rPr>
                <w:rStyle w:val="BoldandItalics"/>
              </w:rPr>
              <w:t>test tools</w:t>
            </w:r>
          </w:p>
          <w:p w:rsidR="00000000" w:rsidRPr="00D12A5A" w:rsidP="00D12A5A">
            <w:pPr>
              <w:pStyle w:val="List2"/>
            </w:pPr>
            <w:r w:rsidRPr="00D12A5A">
              <w:t>2.2.</w:t>
            </w:r>
            <w:r w:rsidRPr="00D12A5A">
              <w:tab/>
              <w:t xml:space="preserve">Run test scripts and document the results against </w:t>
            </w:r>
            <w:r w:rsidRPr="00D12A5A">
              <w:rPr>
                <w:rStyle w:val="BoldandItalics"/>
              </w:rPr>
              <w:t>software</w:t>
            </w:r>
            <w:r w:rsidRPr="00D12A5A">
              <w:t xml:space="preserve"> </w:t>
            </w:r>
            <w:r w:rsidRPr="00D12A5A">
              <w:rPr>
                <w:rStyle w:val="BoldandItalics"/>
              </w:rPr>
              <w:t>life cycle</w:t>
            </w:r>
            <w:r w:rsidRPr="00D12A5A">
              <w:t xml:space="preserve"> model</w:t>
            </w:r>
          </w:p>
          <w:p w:rsidR="00000000" w:rsidRPr="00D12A5A" w:rsidP="00D12A5A">
            <w:pPr>
              <w:pStyle w:val="List2"/>
            </w:pPr>
            <w:r w:rsidRPr="00D12A5A">
              <w:t>2.3.</w:t>
            </w:r>
            <w:r w:rsidRPr="00D12A5A">
              <w:tab/>
              <w:t>Ensure that memory leakage, global name space pollution and static variables are specifically addresse</w:t>
            </w:r>
            <w:r w:rsidRPr="00D12A5A">
              <w:t xml:space="preserve">d for each integration unit in line with </w:t>
            </w:r>
            <w:r w:rsidRPr="00D12A5A">
              <w:rPr>
                <w:rStyle w:val="BoldandItalics"/>
              </w:rPr>
              <w:t>test and acceptance criteria</w:t>
            </w:r>
          </w:p>
          <w:p w:rsidR="00000000" w:rsidRPr="00D12A5A" w:rsidP="00D12A5A">
            <w:pPr>
              <w:pStyle w:val="List2"/>
            </w:pPr>
            <w:r w:rsidRPr="00D12A5A">
              <w:t>2.4.</w:t>
            </w:r>
            <w:r w:rsidRPr="00D12A5A">
              <w:tab/>
              <w:t xml:space="preserve">Follow and adopt integration standards where appropriate in line with </w:t>
            </w:r>
            <w:r w:rsidRPr="00D12A5A">
              <w:rPr>
                <w:rStyle w:val="BoldandItalics"/>
              </w:rPr>
              <w:t>quality benchmarks</w:t>
            </w:r>
          </w:p>
          <w:p w:rsidR="00000000" w:rsidP="00D12A5A">
            <w:pPr>
              <w:pStyle w:val="List2"/>
              <w:rPr>
                <w:lang w:val="en-NZ"/>
              </w:rPr>
            </w:pPr>
            <w:r w:rsidRPr="00D12A5A">
              <w:t>2.5.</w:t>
            </w:r>
            <w:r w:rsidRPr="00D12A5A">
              <w:tab/>
              <w:t>Compare test results to requirements on completion of each integration component</w:t>
            </w:r>
          </w:p>
        </w:tc>
      </w:tr>
      <w:tr w:rsidTr="001434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List"/>
              <w:rPr>
                <w:lang w:val="en-NZ"/>
              </w:rPr>
            </w:pPr>
            <w:r w:rsidRPr="00D12A5A">
              <w:t>3.</w:t>
            </w:r>
            <w:r w:rsidRPr="00D12A5A">
              <w:tab/>
              <w:t>An</w:t>
            </w:r>
            <w:r w:rsidRPr="00D12A5A">
              <w:t>alyse and classify results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2"/>
            </w:pPr>
            <w:r w:rsidRPr="00D12A5A">
              <w:t>3.1.</w:t>
            </w:r>
            <w:r w:rsidRPr="00D12A5A">
              <w:tab/>
              <w:t>Summarise and classify test results and highlight areas of concern</w:t>
            </w:r>
          </w:p>
          <w:p w:rsidR="00000000" w:rsidRPr="00D12A5A" w:rsidP="00D12A5A">
            <w:pPr>
              <w:pStyle w:val="List2"/>
            </w:pPr>
            <w:r w:rsidRPr="00D12A5A">
              <w:t>3.2.</w:t>
            </w:r>
            <w:r w:rsidRPr="00D12A5A">
              <w:tab/>
              <w:t>Compare the test results against the requirements and design specification and prepare report</w:t>
            </w:r>
          </w:p>
          <w:p w:rsidR="00000000" w:rsidRPr="00D12A5A" w:rsidP="00D12A5A">
            <w:pPr>
              <w:pStyle w:val="List2"/>
            </w:pPr>
            <w:r w:rsidRPr="00D12A5A">
              <w:t>3.3.</w:t>
            </w:r>
            <w:r w:rsidRPr="00D12A5A">
              <w:tab/>
              <w:t>Notify operations of completion of the testing</w:t>
            </w:r>
          </w:p>
          <w:p w:rsidR="00000000" w:rsidRPr="00D12A5A" w:rsidP="00D12A5A">
            <w:pPr>
              <w:pStyle w:val="List2"/>
            </w:pPr>
            <w:r w:rsidRPr="00D12A5A">
              <w:t>3.4.</w:t>
            </w:r>
            <w:r w:rsidRPr="00D12A5A">
              <w:tab/>
              <w:t>E</w:t>
            </w:r>
            <w:r w:rsidRPr="00D12A5A">
              <w:t>nsure attendees' details/comments are logged and signatures gained</w:t>
            </w:r>
          </w:p>
          <w:p w:rsidR="00000000" w:rsidRPr="00D12A5A" w:rsidP="00D12A5A">
            <w:pPr>
              <w:pStyle w:val="List2"/>
            </w:pPr>
            <w:r w:rsidRPr="00D12A5A">
              <w:t>3.5.</w:t>
            </w:r>
            <w:r w:rsidRPr="00D12A5A">
              <w:tab/>
              <w:t>Schedule a feedback meeting to discuss report and possible next actions with stakeholders if necessary</w:t>
            </w:r>
          </w:p>
          <w:p w:rsidR="00000000" w:rsidRPr="00D12A5A" w:rsidP="00D12A5A">
            <w:pPr>
              <w:pStyle w:val="List2"/>
            </w:pPr>
            <w:r w:rsidRPr="00D12A5A">
              <w:t>3.6.</w:t>
            </w:r>
            <w:r w:rsidRPr="00D12A5A">
              <w:tab/>
              <w:t xml:space="preserve">Ensure test reporting compliance with </w:t>
            </w:r>
            <w:r w:rsidRPr="00D12A5A">
              <w:rPr>
                <w:rStyle w:val="BoldandItalics"/>
              </w:rPr>
              <w:t>documentation</w:t>
            </w:r>
            <w:r w:rsidRPr="00D12A5A">
              <w:t xml:space="preserve"> </w:t>
            </w:r>
            <w:r w:rsidRPr="00D12A5A">
              <w:rPr>
                <w:rStyle w:val="BoldandItalics"/>
              </w:rPr>
              <w:t>and</w:t>
            </w:r>
            <w:r w:rsidRPr="00D12A5A">
              <w:t xml:space="preserve"> </w:t>
            </w:r>
            <w:r w:rsidRPr="00D12A5A">
              <w:rPr>
                <w:rStyle w:val="BoldandItalics"/>
              </w:rPr>
              <w:t>reporting</w:t>
            </w:r>
            <w:r w:rsidRPr="00D12A5A">
              <w:t xml:space="preserve"> standards</w:t>
            </w:r>
          </w:p>
        </w:tc>
      </w:tr>
    </w:tbl>
    <w:p w:rsidR="001434DD" w:rsidP="00D12A5A">
      <w:pPr>
        <w:pStyle w:val="BodyText"/>
      </w:pPr>
    </w:p>
    <w:p w:rsidR="001434DD" w:rsidP="00D12A5A">
      <w:pPr>
        <w:pStyle w:val="BodyText"/>
      </w:pPr>
    </w:p>
    <w:p w:rsidR="00000000" w:rsidRPr="00D12A5A" w:rsidP="00D12A5A">
      <w:pPr>
        <w:pStyle w:val="Heading1"/>
      </w:pPr>
      <w:bookmarkStart w:id="9" w:name="O_260359"/>
      <w:bookmarkEnd w:id="9"/>
      <w:r w:rsidRPr="00D12A5A">
        <w:t>Required Skills and Knowledge</w:t>
      </w:r>
    </w:p>
    <w:tbl>
      <w:tblPr>
        <w:tblW w:w="0" w:type="auto"/>
        <w:tblLayout w:type="fixed"/>
        <w:tblCellMar>
          <w:left w:w="62" w:type="dxa"/>
          <w:right w:w="62" w:type="dxa"/>
        </w:tblCellMar>
        <w:tblLook w:val="0000"/>
      </w:tblPr>
      <w:tblGrid>
        <w:gridCol w:w="8522"/>
      </w:tblGrid>
      <w:tr w:rsidTr="001434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REQUIRED SKILLS AND KNOWLEDGE</w:t>
            </w:r>
          </w:p>
        </w:tc>
      </w:tr>
      <w:tr w:rsidTr="001434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t>This section describes the skills and knowledge required for this unit.</w:t>
            </w:r>
          </w:p>
        </w:tc>
      </w:tr>
      <w:tr w:rsidTr="001434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Required skills</w:t>
            </w:r>
          </w:p>
        </w:tc>
      </w:tr>
      <w:tr w:rsidTr="001434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Bullet"/>
            </w:pPr>
            <w:r w:rsidRPr="00D12A5A">
              <w:t xml:space="preserve">Problem solving skills for a defined range of unpredictable problems involving participation in the development of strategic initiatives (e.g. when static tests of each point of integration are performed and correctness of arguments, positional parameters </w:t>
            </w:r>
            <w:r w:rsidRPr="00D12A5A">
              <w:t>and return values in each integration suite are verified)</w:t>
            </w:r>
          </w:p>
          <w:p w:rsidR="00000000" w:rsidRPr="00D12A5A" w:rsidP="00D12A5A">
            <w:pPr>
              <w:pStyle w:val="ListBullet"/>
            </w:pPr>
            <w:r w:rsidRPr="00D12A5A">
              <w:t>Plain English literacy and communication skills in relation to analysis, evaluation and presentation of information (e.g. when attendees' details/comments are logged and signatures are gained)</w:t>
            </w:r>
          </w:p>
          <w:p w:rsidR="00000000" w:rsidRPr="00D12A5A" w:rsidP="00D12A5A">
            <w:pPr>
              <w:pStyle w:val="ListBullet"/>
            </w:pPr>
            <w:r w:rsidRPr="00D12A5A">
              <w:t xml:space="preserve">Data analysis skills in relation to analysis, evaluation and presentation of information (e.g. when static tests of each point of integration are performed and correctness of arguments, positional parameters and return values in each integration suite are </w:t>
            </w:r>
            <w:r w:rsidRPr="00D12A5A">
              <w:t>verified, and when each test script is run and results are documented, and when memory leakage, global name space pollution, static variables are specifically addressed for each integration unit)</w:t>
            </w:r>
          </w:p>
          <w:p w:rsidR="00000000" w:rsidRPr="00D12A5A" w:rsidP="00D12A5A">
            <w:pPr>
              <w:pStyle w:val="ListBullet"/>
            </w:pPr>
            <w:r w:rsidRPr="00D12A5A">
              <w:t>Research skills for identifying, analysing and evaluating br</w:t>
            </w:r>
            <w:r w:rsidRPr="00D12A5A">
              <w:t>oad features of system testing and best practice in system testing; high-order problem solving skills (e.g. when results of earlier unit testing are reviewed and critical issues to take into account are identified)</w:t>
            </w:r>
          </w:p>
          <w:p w:rsidR="00000000" w:rsidP="00D12A5A">
            <w:pPr>
              <w:pStyle w:val="ListBullet"/>
              <w:rPr>
                <w:lang w:val="en-NZ"/>
              </w:rPr>
            </w:pPr>
            <w:r w:rsidRPr="00D12A5A">
              <w:t>Programming skills in programming languag</w:t>
            </w:r>
            <w:r w:rsidRPr="00D12A5A">
              <w:t>e/s relevant to project (e.g. when static tests of each point of integration are performed and correctness of arguments, positional parameters and return values in each integration suite are verified, and when each test script is run and results are docume</w:t>
            </w:r>
            <w:r w:rsidRPr="00D12A5A">
              <w:t>nted)</w:t>
            </w:r>
          </w:p>
        </w:tc>
      </w:tr>
      <w:tr w:rsidTr="001434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Required knowledge</w:t>
            </w:r>
          </w:p>
        </w:tc>
      </w:tr>
      <w:tr w:rsidTr="001434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Bullet"/>
            </w:pPr>
            <w:r w:rsidRPr="00D12A5A">
              <w:t>Broad knowledge of at least two programming languages, with detailed knowledge of programming languages required by system</w:t>
            </w:r>
          </w:p>
          <w:p w:rsidR="00000000" w:rsidRPr="00D12A5A" w:rsidP="00D12A5A">
            <w:pPr>
              <w:pStyle w:val="ListBullet"/>
            </w:pPr>
            <w:r w:rsidRPr="00D12A5A">
              <w:t>Detailed knowledge of system/application being tested</w:t>
            </w:r>
          </w:p>
          <w:p w:rsidR="00000000" w:rsidRPr="00D12A5A" w:rsidP="00D12A5A">
            <w:pPr>
              <w:pStyle w:val="ListBullet"/>
            </w:pPr>
            <w:r w:rsidRPr="00D12A5A">
              <w:t>Broad knowledge of testing techniques, with detaile</w:t>
            </w:r>
            <w:r w:rsidRPr="00D12A5A">
              <w:t>d knowledge of features and processes in some areas</w:t>
            </w:r>
          </w:p>
          <w:p w:rsidR="00000000" w:rsidRPr="00D12A5A" w:rsidP="00D12A5A">
            <w:pPr>
              <w:pStyle w:val="ListBullet"/>
            </w:pPr>
            <w:r w:rsidRPr="00D12A5A">
              <w:t>Broad knowledge of automated test tools, with detailed knowledge of features and processes in some areas</w:t>
            </w:r>
          </w:p>
          <w:p w:rsidR="00000000" w:rsidRPr="00D12A5A" w:rsidP="00D12A5A">
            <w:pPr>
              <w:pStyle w:val="ListBullet"/>
            </w:pPr>
            <w:r w:rsidRPr="00D12A5A">
              <w:t>Detailed knowledge of underlying test data</w:t>
            </w:r>
          </w:p>
          <w:p w:rsidR="00000000" w:rsidRPr="00D12A5A" w:rsidP="00D12A5A">
            <w:pPr>
              <w:pStyle w:val="ListBullet"/>
            </w:pPr>
            <w:r w:rsidRPr="00D12A5A">
              <w:t>Detailed knowledge of input/output requirements</w:t>
            </w:r>
          </w:p>
        </w:tc>
      </w:tr>
    </w:tbl>
    <w:p w:rsidR="001434DD" w:rsidP="00D12A5A">
      <w:pPr>
        <w:pStyle w:val="BodyText"/>
      </w:pPr>
    </w:p>
    <w:p w:rsidR="001434DD" w:rsidP="00D12A5A">
      <w:pPr>
        <w:pStyle w:val="BodyText"/>
      </w:pPr>
    </w:p>
    <w:p w:rsidR="00000000" w:rsidRPr="00D12A5A" w:rsidP="00D12A5A">
      <w:pPr>
        <w:pStyle w:val="AllowPageBreak"/>
      </w:pPr>
    </w:p>
    <w:p w:rsidR="00000000" w:rsidRPr="00D12A5A" w:rsidP="00D12A5A">
      <w:pPr>
        <w:pStyle w:val="Heading1"/>
      </w:pPr>
      <w:bookmarkStart w:id="10" w:name="O_244393"/>
      <w:bookmarkEnd w:id="10"/>
      <w:r w:rsidRPr="00D12A5A">
        <w:t>Evidence Guide</w:t>
      </w:r>
    </w:p>
    <w:tbl>
      <w:tblPr>
        <w:tblW w:w="9570" w:type="dxa"/>
        <w:tblLayout w:type="fixed"/>
        <w:tblCellMar>
          <w:left w:w="62" w:type="dxa"/>
          <w:right w:w="62" w:type="dxa"/>
        </w:tblCellMar>
        <w:tblLook w:val="0000"/>
      </w:tblPr>
      <w:tblGrid>
        <w:gridCol w:w="3908"/>
        <w:gridCol w:w="5662"/>
      </w:tblGrid>
      <w:tr w:rsidTr="001434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EVIDENCE GUIDE</w:t>
            </w:r>
          </w:p>
        </w:tc>
      </w:tr>
      <w:tr w:rsidTr="001434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t xml:space="preserve">The evidence guide provides advice on assessment and must be read in conjunction with the performance criteria, required skills and knowledge, </w:t>
            </w:r>
            <w:r w:rsidRPr="00D12A5A">
              <w:t>range statement and the Assessment Guidelines for the Training Package.</w:t>
            </w:r>
          </w:p>
        </w:tc>
      </w:tr>
      <w:tr w:rsidTr="001434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p>
        </w:tc>
      </w:tr>
      <w:tr w:rsidTr="001434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Evidence of the following is essential:</w:t>
            </w:r>
          </w:p>
          <w:p w:rsidR="00000000" w:rsidRPr="00D12A5A" w:rsidP="00D12A5A">
            <w:pPr>
              <w:pStyle w:val="ListBullet"/>
            </w:pPr>
            <w:r w:rsidRPr="00D12A5A">
              <w:t>Assessment must confirm sufficient knowledge of the integration requirements for the units of the particular system.</w:t>
            </w:r>
          </w:p>
          <w:p w:rsidR="00000000" w:rsidRPr="00D12A5A" w:rsidP="00D12A5A">
            <w:pPr>
              <w:pStyle w:val="ListBullet"/>
            </w:pPr>
            <w:r w:rsidRPr="00D12A5A">
              <w:t>Assessment must confirm the ability to determine whether the units of the system operate according to requirements specifications.</w:t>
            </w:r>
          </w:p>
          <w:p w:rsidR="00000000" w:rsidRPr="00D12A5A" w:rsidP="00D12A5A">
            <w:pPr>
              <w:pStyle w:val="BodyText"/>
            </w:pPr>
          </w:p>
          <w:p w:rsidR="00000000" w:rsidRPr="00D12A5A" w:rsidP="00D12A5A">
            <w:pPr>
              <w:pStyle w:val="BodyText"/>
            </w:pPr>
            <w:r w:rsidRPr="00D12A5A">
              <w:t>To demonstrate competency in this unit the person will require access to:</w:t>
            </w:r>
          </w:p>
          <w:p w:rsidR="00000000" w:rsidRPr="00D12A5A" w:rsidP="00D12A5A">
            <w:pPr>
              <w:pStyle w:val="ListBullet"/>
            </w:pPr>
            <w:r w:rsidRPr="00D12A5A">
              <w:t>Acceptance criteria</w:t>
            </w:r>
          </w:p>
          <w:p w:rsidR="00000000" w:rsidRPr="00D12A5A" w:rsidP="00D12A5A">
            <w:pPr>
              <w:pStyle w:val="ListBullet"/>
            </w:pPr>
            <w:r w:rsidRPr="00D12A5A">
              <w:t>Test plan</w:t>
            </w:r>
          </w:p>
          <w:p w:rsidR="00000000" w:rsidRPr="00D12A5A" w:rsidP="00D12A5A">
            <w:pPr>
              <w:pStyle w:val="ListBullet"/>
            </w:pPr>
            <w:r w:rsidRPr="00D12A5A">
              <w:t>Integration standards</w:t>
            </w:r>
          </w:p>
          <w:p w:rsidR="00000000" w:rsidRPr="00D12A5A" w:rsidP="00D12A5A">
            <w:pPr>
              <w:pStyle w:val="ListBullet"/>
            </w:pPr>
            <w:r w:rsidRPr="00D12A5A">
              <w:t>Requirements and design documents used in the analysis of the test</w:t>
            </w:r>
          </w:p>
          <w:p w:rsidR="00000000" w:rsidRPr="00D12A5A" w:rsidP="00D12A5A">
            <w:pPr>
              <w:pStyle w:val="ListBullet"/>
            </w:pPr>
            <w:r w:rsidRPr="00D12A5A">
              <w:t>System/application suitable for testing</w:t>
            </w:r>
          </w:p>
          <w:p w:rsidR="00000000" w:rsidRPr="00D12A5A" w:rsidP="00D12A5A">
            <w:pPr>
              <w:pStyle w:val="BodyText"/>
            </w:pPr>
          </w:p>
          <w:p w:rsidR="00000000" w:rsidRPr="00D12A5A" w:rsidP="00D12A5A">
            <w:pPr>
              <w:pStyle w:val="BodyText"/>
            </w:pPr>
            <w:r w:rsidRPr="00D12A5A">
              <w:t xml:space="preserve">The person will need </w:t>
            </w:r>
            <w:r w:rsidRPr="00D12A5A">
              <w:t>to ensure that:</w:t>
            </w:r>
          </w:p>
          <w:p w:rsidR="00000000" w:rsidRPr="00D12A5A" w:rsidP="00D12A5A">
            <w:pPr>
              <w:pStyle w:val="ListBullet"/>
            </w:pPr>
            <w:r w:rsidRPr="00D12A5A">
              <w:t>Components have been compiled, linked, and loaded together</w:t>
            </w:r>
          </w:p>
          <w:p w:rsidR="00000000" w:rsidP="00D12A5A">
            <w:pPr>
              <w:pStyle w:val="ListBullet"/>
              <w:rPr>
                <w:lang w:val="en-NZ"/>
              </w:rPr>
            </w:pPr>
            <w:r w:rsidRPr="00D12A5A">
              <w:t>Components have successfully passed the integration tests at the interface level between each component</w:t>
            </w:r>
          </w:p>
        </w:tc>
      </w:tr>
      <w:tr w:rsidTr="001434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It should be noted that th</w:t>
            </w:r>
            <w:r w:rsidRPr="00D12A5A">
              <w:t>e quality of code is not being assessed, but the competency of testing the components.</w:t>
            </w:r>
          </w:p>
          <w:p w:rsidR="00000000" w:rsidRPr="00D12A5A" w:rsidP="00D12A5A">
            <w:pPr>
              <w:pStyle w:val="BodyText"/>
            </w:pPr>
          </w:p>
          <w:p w:rsidR="00000000" w:rsidRPr="00D12A5A" w:rsidP="00D12A5A">
            <w:pPr>
              <w:pStyle w:val="BodyText"/>
            </w:pPr>
            <w:r w:rsidRPr="00D12A5A">
              <w:t>Integration testing involves formal testing of the combined parts of an application to determine if they function together correctly an</w:t>
            </w:r>
            <w:r w:rsidRPr="00D12A5A">
              <w:t>d is usually performed after unit and functional testing. This type of testing is especially relevant to client/server and distributed systems.</w:t>
            </w:r>
          </w:p>
          <w:p w:rsidR="00000000" w:rsidRPr="00D12A5A" w:rsidP="00D12A5A">
            <w:pPr>
              <w:pStyle w:val="BodyText"/>
            </w:pPr>
          </w:p>
          <w:p w:rsidR="00000000" w:rsidRPr="00D12A5A" w:rsidP="00D12A5A">
            <w:pPr>
              <w:pStyle w:val="BodyText"/>
            </w:pPr>
            <w:r w:rsidRPr="00D12A5A">
              <w:t>The breadth, depth and complexity covering planning and initiation of alternative approaches to skills or knowl</w:t>
            </w:r>
            <w:r w:rsidRPr="00D12A5A">
              <w:t>edge applications across a broad range of technical and/or management requirements, evaluation and coordination would be characteristic.</w:t>
            </w:r>
          </w:p>
          <w:p w:rsidR="00000000" w:rsidRPr="00D12A5A" w:rsidP="00D12A5A">
            <w:pPr>
              <w:pStyle w:val="BodyText"/>
            </w:pPr>
          </w:p>
          <w:p w:rsidR="00000000" w:rsidRPr="00D12A5A" w:rsidP="00D12A5A">
            <w:pPr>
              <w:pStyle w:val="BodyText"/>
            </w:pPr>
            <w:r w:rsidRPr="00D12A5A">
              <w:t>Assessment must ensure:</w:t>
            </w:r>
          </w:p>
          <w:p w:rsidR="00000000" w:rsidRPr="00D12A5A" w:rsidP="00D12A5A">
            <w:pPr>
              <w:pStyle w:val="ListBullet"/>
            </w:pPr>
            <w:r w:rsidRPr="00D12A5A">
              <w:t>The demonstration of competency may also require self-directed application of knowledge and s</w:t>
            </w:r>
            <w:r w:rsidRPr="00D12A5A">
              <w:t>kills, with substantial depth in some areas where judgement is required in planning and selecting appropriate equipment, services and techniques for self and others.</w:t>
            </w:r>
          </w:p>
          <w:p w:rsidR="00000000" w:rsidRPr="00D12A5A" w:rsidP="00D12A5A">
            <w:pPr>
              <w:pStyle w:val="BodyText"/>
            </w:pPr>
          </w:p>
          <w:p w:rsidR="00000000" w:rsidP="00D12A5A">
            <w:pPr>
              <w:pStyle w:val="ListBullet"/>
              <w:rPr>
                <w:lang w:val="en-NZ"/>
              </w:rPr>
            </w:pPr>
            <w:r w:rsidRPr="00D12A5A">
              <w:t>Applications involve participation in development of strategic initiatives as well as pe</w:t>
            </w:r>
            <w:r w:rsidRPr="00D12A5A">
              <w:t>rsonal responsibility and autonomy in performing complex technical operations or organising others. It may include participation in teams including teams concerned with planning and evaluation functions. Group or team coordination may also be involved.</w:t>
            </w:r>
          </w:p>
        </w:tc>
      </w:tr>
      <w:tr w:rsidTr="001434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Me</w:t>
            </w:r>
            <w:r w:rsidRPr="00D12A5A">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The purpose of this unit is to define the standard of performance to be achieved in the workplace. In undertaking training and assessment activities related to this unit, consideration should be given to the implementation of appropriate</w:t>
            </w:r>
            <w:r w:rsidRPr="00D12A5A">
              <w:t xml:space="preserve"> diversity and accessibility practices in order to accommodate people who may have special needs. Additional guidance on these and related matters is provided in ICA05 Section 1.</w:t>
            </w:r>
          </w:p>
          <w:p w:rsidR="00000000" w:rsidRPr="00D12A5A" w:rsidP="00D12A5A">
            <w:pPr>
              <w:pStyle w:val="BodyText"/>
            </w:pPr>
          </w:p>
          <w:p w:rsidR="00000000" w:rsidRPr="00D12A5A" w:rsidP="00D12A5A">
            <w:pPr>
              <w:pStyle w:val="ListBullet"/>
            </w:pPr>
            <w:r w:rsidRPr="00D12A5A">
              <w:t>Competency in this unit should be assessed using summative assessment to en</w:t>
            </w:r>
            <w:r w:rsidRPr="00D12A5A">
              <w:t>sure consistency of performance in a range of contexts. This unit can be assessed either in the workplace or in a simulated environment. However, simulated activities must closely reflect the workplace to enable full demonstration of competency.</w:t>
            </w:r>
          </w:p>
          <w:p w:rsidR="00000000" w:rsidRPr="00D12A5A" w:rsidP="00D12A5A">
            <w:pPr>
              <w:pStyle w:val="BodyText"/>
            </w:pPr>
          </w:p>
          <w:p w:rsidR="00000000" w:rsidP="00D12A5A">
            <w:pPr>
              <w:pStyle w:val="ListBullet"/>
              <w:rPr>
                <w:lang w:val="en-NZ"/>
              </w:rPr>
            </w:pPr>
            <w:r w:rsidRPr="00D12A5A">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D12A5A">
              <w:t>peers and clients where appropriate may provide valuable input to the assessment process. The interdependence of units for assessment purposes may vary with the particular project or scenario.</w:t>
            </w:r>
          </w:p>
        </w:tc>
      </w:tr>
      <w:tr w:rsidTr="001434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p>
          <w:p w:rsidR="00000000" w:rsidRPr="00D12A5A" w:rsidP="00D12A5A">
            <w:pPr>
              <w:pStyle w:val="BodyText"/>
            </w:pPr>
            <w:r w:rsidRPr="00D12A5A">
              <w:t xml:space="preserve">Holistic assessment with </w:t>
            </w:r>
            <w:r w:rsidRPr="00D12A5A">
              <w:t>other units relevant to the industry sector, workplace and job role is recommended, for example:</w:t>
            </w:r>
          </w:p>
          <w:p w:rsidR="00000000" w:rsidRPr="00D12A5A" w:rsidP="00D12A5A">
            <w:pPr>
              <w:pStyle w:val="ListBullet"/>
            </w:pPr>
            <w:r w:rsidRPr="00D12A5A">
              <w:t>ICAA5050B Develop detailed component specification from project specification</w:t>
            </w:r>
          </w:p>
          <w:p w:rsidR="00000000" w:rsidRPr="00D12A5A" w:rsidP="00D12A5A">
            <w:pPr>
              <w:pStyle w:val="BodyText"/>
            </w:pPr>
          </w:p>
          <w:p w:rsidR="00000000" w:rsidRPr="00D12A5A" w:rsidP="00D12A5A">
            <w:pPr>
              <w:pStyle w:val="BodyText"/>
            </w:pPr>
            <w:r w:rsidRPr="00D12A5A">
              <w:t>An individual demonstrating this competency would be able to:</w:t>
            </w:r>
          </w:p>
          <w:p w:rsidR="00000000" w:rsidRPr="00D12A5A" w:rsidP="00D12A5A">
            <w:pPr>
              <w:pStyle w:val="ListBullet"/>
            </w:pPr>
            <w:r w:rsidRPr="00D12A5A">
              <w:t>Demonstrate unde</w:t>
            </w:r>
            <w:r w:rsidRPr="00D12A5A">
              <w:t>rstanding of a broad knowledge base incorporating theoretical concepts, with substantial depth in some areas</w:t>
            </w:r>
          </w:p>
          <w:p w:rsidR="00000000" w:rsidRPr="00D12A5A" w:rsidP="00D12A5A">
            <w:pPr>
              <w:pStyle w:val="ListBullet"/>
            </w:pPr>
            <w:r w:rsidRPr="00D12A5A">
              <w:t>Analyse and plan approaches to technical problems or management requirements</w:t>
            </w:r>
          </w:p>
          <w:p w:rsidR="00000000" w:rsidRPr="00D12A5A" w:rsidP="00D12A5A">
            <w:pPr>
              <w:pStyle w:val="ListBullet"/>
            </w:pPr>
            <w:r w:rsidRPr="00D12A5A">
              <w:t>Transfer and apply theoretical concepts and/or technical or creative s</w:t>
            </w:r>
            <w:r w:rsidRPr="00D12A5A">
              <w:t>kills to a range of situations</w:t>
            </w:r>
          </w:p>
          <w:p w:rsidR="00000000" w:rsidRPr="00D12A5A" w:rsidP="00D12A5A">
            <w:pPr>
              <w:pStyle w:val="ListBullet"/>
            </w:pPr>
            <w:r w:rsidRPr="00D12A5A">
              <w:t>Evaluate information, using it to forecast for planning or research purposes</w:t>
            </w:r>
          </w:p>
          <w:p w:rsidR="00000000" w:rsidRPr="00D12A5A" w:rsidP="00D12A5A">
            <w:pPr>
              <w:pStyle w:val="ListBullet"/>
            </w:pPr>
            <w:r w:rsidRPr="00D12A5A">
              <w:t>Take responsibility for own outputs in relation to broad quantity and quality parameters</w:t>
            </w:r>
          </w:p>
          <w:p w:rsidR="00000000" w:rsidRPr="00D12A5A" w:rsidP="00D12A5A">
            <w:pPr>
              <w:pStyle w:val="ListBullet"/>
            </w:pPr>
            <w:r w:rsidRPr="00D12A5A">
              <w:t>Take some responsibility for the achievement of group outco</w:t>
            </w:r>
            <w:r w:rsidRPr="00D12A5A">
              <w:t>mes</w:t>
            </w:r>
          </w:p>
          <w:p w:rsidR="00000000" w:rsidRPr="00D12A5A" w:rsidP="00D12A5A">
            <w:pPr>
              <w:pStyle w:val="ListBullet"/>
            </w:pPr>
            <w:r w:rsidRPr="00D12A5A">
              <w:t>Maintain knowledge of industry products and services</w:t>
            </w:r>
          </w:p>
        </w:tc>
      </w:tr>
    </w:tbl>
    <w:p w:rsidR="001434DD" w:rsidP="00D12A5A">
      <w:pPr>
        <w:pStyle w:val="BodyText"/>
      </w:pPr>
    </w:p>
    <w:p w:rsidR="001434DD" w:rsidP="00D12A5A">
      <w:pPr>
        <w:pStyle w:val="BodyText"/>
      </w:pPr>
    </w:p>
    <w:p w:rsidR="00000000" w:rsidRPr="00D12A5A" w:rsidP="00D12A5A">
      <w:pPr>
        <w:pStyle w:val="Heading1"/>
      </w:pPr>
      <w:bookmarkStart w:id="11" w:name="O_252376"/>
      <w:bookmarkEnd w:id="11"/>
      <w:r w:rsidRPr="00D12A5A">
        <w:t>Range Statement</w:t>
      </w:r>
    </w:p>
    <w:tbl>
      <w:tblPr>
        <w:tblW w:w="0" w:type="auto"/>
        <w:tblLayout w:type="fixed"/>
        <w:tblCellMar>
          <w:left w:w="62" w:type="dxa"/>
          <w:right w:w="62" w:type="dxa"/>
        </w:tblCellMar>
        <w:tblLook w:val="0000"/>
      </w:tblPr>
      <w:tblGrid>
        <w:gridCol w:w="3442"/>
        <w:gridCol w:w="5080"/>
      </w:tblGrid>
      <w:tr w:rsidTr="001434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RANGE STATEMENT</w:t>
            </w:r>
          </w:p>
        </w:tc>
      </w:tr>
      <w:tr w:rsidTr="001434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t xml:space="preserve">The range statement relates to the unit of competency as a whole. It allows for different work environments and situations that may affect </w:t>
            </w:r>
            <w:r w:rsidRPr="00D12A5A">
              <w:t>performance. Bold italicised wording, if used in the performance criteria, is detailed below. Essential operating conditions that may be present with training and assessment (depending on the work situation, needs of the candidate, accessibility of the ite</w:t>
            </w:r>
            <w:r w:rsidRPr="00D12A5A">
              <w:t>m, and local industry and regional contexts) may also be included.</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Test environment</w:t>
            </w:r>
            <w:r w:rsidRPr="00D12A5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Bullet"/>
            </w:pPr>
            <w:r w:rsidRPr="00D12A5A">
              <w:t>data</w:t>
            </w:r>
          </w:p>
          <w:p w:rsidR="00000000" w:rsidRPr="00D12A5A" w:rsidP="00D12A5A">
            <w:pPr>
              <w:pStyle w:val="ListBullet"/>
            </w:pPr>
            <w:r w:rsidRPr="00D12A5A">
              <w:t>program libraries</w:t>
            </w:r>
          </w:p>
          <w:p w:rsidR="00000000" w:rsidRPr="00D12A5A" w:rsidP="00D12A5A">
            <w:pPr>
              <w:pStyle w:val="ListBullet"/>
            </w:pPr>
            <w:r w:rsidRPr="00D12A5A">
              <w:t>network/communications and other equipment</w:t>
            </w:r>
          </w:p>
          <w:p w:rsidR="00000000" w:rsidRPr="00D12A5A" w:rsidP="00D12A5A">
            <w:pPr>
              <w:pStyle w:val="ListBullet"/>
            </w:pPr>
            <w:r w:rsidRPr="00D12A5A">
              <w:t>operating system</w:t>
            </w:r>
          </w:p>
          <w:p w:rsidR="00000000" w:rsidP="00D12A5A">
            <w:pPr>
              <w:pStyle w:val="ListBullet"/>
              <w:rPr>
                <w:lang w:val="en-NZ"/>
              </w:rPr>
            </w:pPr>
            <w:r w:rsidRPr="00D12A5A">
              <w:t>other support software</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Software</w:t>
            </w:r>
            <w:r w:rsidRPr="00D12A5A">
              <w:t xml:space="preserve"> </w:t>
            </w:r>
            <w:r w:rsidRPr="00D12A5A">
              <w:rPr>
                <w:rStyle w:val="BoldandItalics"/>
              </w:rPr>
              <w:t>life</w:t>
            </w:r>
            <w:r w:rsidRPr="00D12A5A">
              <w:t xml:space="preserve"> </w:t>
            </w:r>
            <w:r w:rsidRPr="00D12A5A">
              <w:rPr>
                <w:rStyle w:val="BoldandItalics"/>
              </w:rPr>
              <w:t>cycle</w:t>
            </w:r>
            <w:r w:rsidRPr="00D12A5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Bullet"/>
            </w:pPr>
            <w:r w:rsidRPr="00D12A5A">
              <w:t>AS/NZS ISO/IEC 12207:1997 Information technology - Software life cycle processes</w:t>
            </w:r>
          </w:p>
          <w:p w:rsidR="00000000" w:rsidP="00D12A5A">
            <w:pPr>
              <w:pStyle w:val="ListBullet"/>
              <w:rPr>
                <w:lang w:val="en-NZ"/>
              </w:rPr>
            </w:pPr>
            <w:r w:rsidRPr="00D12A5A">
              <w:t>AS/NZS 15271:1999 Guide for AS/NZS ISO/IEC 12207 Information technology - software life cycle processes)</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Test and acceptance processes</w:t>
            </w:r>
            <w:r w:rsidRPr="00D12A5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Bullet"/>
            </w:pPr>
            <w:r w:rsidRPr="00D12A5A">
              <w:t>AS 4006-1992 Software tes</w:t>
            </w:r>
            <w:r w:rsidRPr="00D12A5A">
              <w:t>t documentation</w:t>
            </w:r>
          </w:p>
          <w:p w:rsidR="00000000" w:rsidRPr="00D12A5A" w:rsidP="00D12A5A">
            <w:pPr>
              <w:pStyle w:val="ListBullet"/>
            </w:pPr>
            <w:r w:rsidRPr="00D12A5A">
              <w:t>AS/NZS 14143.1:1999 Information technology - software measurement - functional size measurement - definition of concepts</w:t>
            </w:r>
          </w:p>
          <w:p w:rsidR="00000000" w:rsidRPr="00D12A5A" w:rsidP="00D12A5A">
            <w:pPr>
              <w:pStyle w:val="ListBullet"/>
            </w:pPr>
            <w:r w:rsidRPr="00D12A5A">
              <w:t>AS/NZS 15026:1999 Information technology - system and software integrity levels</w:t>
            </w:r>
          </w:p>
          <w:p w:rsidR="00000000" w:rsidRPr="00D12A5A" w:rsidP="00D12A5A">
            <w:pPr>
              <w:pStyle w:val="ListBullet"/>
            </w:pPr>
            <w:r w:rsidRPr="00D12A5A">
              <w:t>AS 4006-1992 Software test documentatio</w:t>
            </w:r>
            <w:r w:rsidRPr="00D12A5A">
              <w:t>n, IEEE Standard for software unit testing</w:t>
            </w:r>
          </w:p>
          <w:p w:rsidR="00000000" w:rsidP="00D12A5A">
            <w:pPr>
              <w:pStyle w:val="ListBullet"/>
              <w:rPr>
                <w:lang w:val="en-NZ"/>
              </w:rPr>
            </w:pPr>
            <w:r w:rsidRPr="00D12A5A">
              <w:t>International and Australian Standards are updated and changed on a regular basis. It is therefore important to check the Standards Australia website on a regular basis for new standards: http://www.standards.com.</w:t>
            </w:r>
            <w:r w:rsidRPr="00D12A5A">
              <w:t>au</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Quality benchmarks</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There are several organisations that have developed standards for software review mainly: US Department of Defence (DoD) standards, IEEE, the Software Engineering Institute (SEI), and ISO standards.</w:t>
            </w:r>
          </w:p>
          <w:p w:rsidR="00000000" w:rsidRPr="00D12A5A" w:rsidP="00D12A5A">
            <w:pPr>
              <w:pStyle w:val="BodyText"/>
            </w:pPr>
            <w:r w:rsidRPr="00D12A5A">
              <w:t>Relevant quality standards include:</w:t>
            </w:r>
          </w:p>
          <w:p w:rsidR="00000000" w:rsidRPr="00D12A5A" w:rsidP="00D12A5A">
            <w:pPr>
              <w:pStyle w:val="ListBullet"/>
            </w:pPr>
            <w:r w:rsidRPr="00D12A5A">
              <w:t>AS 4043-1992 Software configuration management</w:t>
            </w:r>
          </w:p>
          <w:p w:rsidR="00000000" w:rsidRPr="00D12A5A" w:rsidP="00D12A5A">
            <w:pPr>
              <w:pStyle w:val="ListBullet"/>
            </w:pPr>
            <w:r w:rsidRPr="00D12A5A">
              <w:t>AS 4042-1992 Software configuration management plans</w:t>
            </w:r>
          </w:p>
          <w:p w:rsidR="00000000" w:rsidRPr="00D12A5A" w:rsidP="00D12A5A">
            <w:pPr>
              <w:pStyle w:val="ListBullet"/>
            </w:pPr>
            <w:r w:rsidRPr="00D12A5A">
              <w:t>AS 3925.1-1994 Software quality assurance - plans</w:t>
            </w:r>
          </w:p>
          <w:p w:rsidR="00000000" w:rsidRPr="00D12A5A" w:rsidP="00D12A5A">
            <w:pPr>
              <w:pStyle w:val="ListBullet"/>
            </w:pPr>
            <w:r w:rsidRPr="00D12A5A">
              <w:t>AS/NZS 4258:1994 Software user documentation process</w:t>
            </w:r>
          </w:p>
          <w:p w:rsidR="00000000" w:rsidRPr="00D12A5A" w:rsidP="00D12A5A">
            <w:pPr>
              <w:pStyle w:val="ListBullet"/>
            </w:pPr>
            <w:r w:rsidRPr="00D12A5A">
              <w:t>AS/NZS ISO/IEC 1</w:t>
            </w:r>
            <w:r w:rsidRPr="00D12A5A">
              <w:t>2207:1997 Information technology - software life cycle processes</w:t>
            </w:r>
          </w:p>
          <w:p w:rsidR="00000000" w:rsidRPr="00D12A5A" w:rsidP="00D12A5A">
            <w:pPr>
              <w:pStyle w:val="ListBullet"/>
            </w:pPr>
            <w:r w:rsidRPr="00D12A5A">
              <w:t>AS/NZS 14102:1998 Information technology - guideline for evaluation and selection of CASE tools</w:t>
            </w:r>
          </w:p>
          <w:p w:rsidR="00000000" w:rsidRPr="00D12A5A" w:rsidP="00D12A5A">
            <w:pPr>
              <w:pStyle w:val="BodyText"/>
            </w:pPr>
          </w:p>
          <w:p w:rsidR="00000000" w:rsidP="00D12A5A">
            <w:pPr>
              <w:pStyle w:val="BodyText"/>
              <w:rPr>
                <w:lang w:val="en-NZ"/>
              </w:rPr>
            </w:pPr>
            <w:r w:rsidRPr="00D12A5A">
              <w:t>International and Australian Standards are updated and changed on a regular basis. It is there</w:t>
            </w:r>
            <w:r w:rsidRPr="00D12A5A">
              <w:t>fore important to check the Standards Australia website on a regular basis for new standards: http://www.standards.com.au</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Test and acceptance criteria</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ListBullet"/>
              <w:rPr>
                <w:lang w:val="en-NZ"/>
              </w:rPr>
            </w:pPr>
            <w:r w:rsidRPr="00D12A5A">
              <w:t>Dependent on the type of test (e.g. functional, efficiency, cohesion)</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Documentation and reporting</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ListBullet"/>
              <w:rPr>
                <w:lang w:val="en-NZ"/>
              </w:rPr>
            </w:pPr>
            <w:r w:rsidRPr="00D12A5A">
              <w:t>Doc</w:t>
            </w:r>
            <w:r w:rsidRPr="00D12A5A">
              <w:t>umentation for version control may follow ISO/IEC/AS standards. Audit trails, naming standards, version control, project management templates and report writing styles will vary according to organisational approach. Information gathering processes may have</w:t>
            </w:r>
            <w:r w:rsidRPr="00D12A5A">
              <w:t xml:space="preserve"> associated templates</w:t>
            </w:r>
          </w:p>
        </w:tc>
      </w:tr>
      <w:tr w:rsidTr="001434D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BoldandItalics"/>
              </w:rPr>
              <w:t>Test tools may include</w:t>
            </w:r>
            <w:r w:rsidRPr="00D12A5A">
              <w:t>:</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ListBullet"/>
            </w:pPr>
            <w:r w:rsidRPr="00D12A5A">
              <w:t>Code/unit/class testing: AssertMate, BoundsChecker, C-Cover, CodeReview, CodeWizard, DeepCover, FailSafe, Hindsight, Insure++, JCAST, Logiscope, JavaPureCheck</w:t>
            </w:r>
          </w:p>
          <w:p w:rsidR="00000000" w:rsidRPr="00D12A5A" w:rsidP="00D12A5A">
            <w:pPr>
              <w:pStyle w:val="ListBullet"/>
            </w:pPr>
            <w:r w:rsidRPr="00D12A5A">
              <w:t>Stress load testing: automated test facilities, e-Load, E-TEST Suite, e-MONITO, Astra SiteManager, Astra SiteTest, AutoTester Web, LoadRunner, JavaLoad</w:t>
            </w:r>
          </w:p>
          <w:p w:rsidR="00000000" w:rsidRPr="00D12A5A" w:rsidP="00D12A5A">
            <w:pPr>
              <w:pStyle w:val="ListBullet"/>
            </w:pPr>
            <w:r w:rsidRPr="00D12A5A">
              <w:t>Applications testing: DataShark, Cyrano Suite, Datatect, preVue-C/S</w:t>
            </w:r>
          </w:p>
        </w:tc>
      </w:tr>
    </w:tbl>
    <w:p w:rsidR="001434DD" w:rsidP="00D12A5A">
      <w:pPr>
        <w:pStyle w:val="BodyText"/>
      </w:pPr>
    </w:p>
    <w:p w:rsidR="001434DD" w:rsidP="00D12A5A">
      <w:pPr>
        <w:pStyle w:val="BodyText"/>
      </w:pPr>
    </w:p>
    <w:p w:rsidR="00000000" w:rsidRPr="00D12A5A" w:rsidP="00D12A5A">
      <w:pPr>
        <w:pStyle w:val="Heading1"/>
      </w:pPr>
      <w:bookmarkStart w:id="12" w:name="O_208317"/>
      <w:bookmarkEnd w:id="12"/>
      <w:r w:rsidRPr="00D12A5A">
        <w:t>Unit Sector(s)</w:t>
      </w:r>
    </w:p>
    <w:tbl>
      <w:tblPr>
        <w:tblW w:w="0" w:type="auto"/>
        <w:tblLayout w:type="fixed"/>
        <w:tblCellMar>
          <w:left w:w="62" w:type="dxa"/>
          <w:right w:w="62" w:type="dxa"/>
        </w:tblCellMar>
        <w:tblLook w:val="0000"/>
      </w:tblPr>
      <w:tblGrid>
        <w:gridCol w:w="2628"/>
        <w:gridCol w:w="5894"/>
      </w:tblGrid>
      <w:tr w:rsidTr="001434DD">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r w:rsidRPr="00D12A5A">
              <w:t>Test</w:t>
            </w:r>
          </w:p>
        </w:tc>
      </w:tr>
    </w:tbl>
    <w:p w:rsidR="001434DD" w:rsidP="00D12A5A">
      <w:pPr>
        <w:pStyle w:val="BodyText"/>
      </w:pPr>
    </w:p>
    <w:p w:rsidR="001434DD" w:rsidP="00D12A5A">
      <w:pPr>
        <w:pStyle w:val="BodyText"/>
      </w:pPr>
    </w:p>
    <w:p w:rsidR="00000000" w:rsidRPr="00D12A5A" w:rsidP="00D12A5A">
      <w:pPr>
        <w:pStyle w:val="Heading1"/>
      </w:pPr>
      <w:bookmarkStart w:id="13" w:name="O_208314"/>
      <w:bookmarkEnd w:id="13"/>
      <w:r w:rsidRPr="00D12A5A">
        <w:t>Co-requisite units</w:t>
      </w:r>
    </w:p>
    <w:tbl>
      <w:tblPr>
        <w:tblW w:w="0" w:type="auto"/>
        <w:tblLayout w:type="fixed"/>
        <w:tblCellMar>
          <w:left w:w="62" w:type="dxa"/>
          <w:right w:w="62" w:type="dxa"/>
        </w:tblCellMar>
        <w:tblLook w:val="0000"/>
      </w:tblPr>
      <w:tblGrid>
        <w:gridCol w:w="2641"/>
        <w:gridCol w:w="1322"/>
        <w:gridCol w:w="4559"/>
      </w:tblGrid>
      <w:tr w:rsidTr="001434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p>
        </w:tc>
      </w:tr>
      <w:tr w:rsidTr="001434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p>
        </w:tc>
      </w:tr>
      <w:tr w:rsidTr="001434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p>
        </w:tc>
      </w:tr>
    </w:tbl>
    <w:p w:rsidR="001434DD" w:rsidP="00D12A5A">
      <w:pPr>
        <w:pStyle w:val="BodyText"/>
      </w:pPr>
    </w:p>
    <w:p w:rsidR="001434DD" w:rsidP="00D12A5A">
      <w:pPr>
        <w:pStyle w:val="BodyText"/>
      </w:pPr>
    </w:p>
    <w:p w:rsidR="00000000" w:rsidRPr="00D12A5A" w:rsidP="00D12A5A">
      <w:pPr>
        <w:pStyle w:val="Heading1"/>
      </w:pPr>
      <w:bookmarkStart w:id="14" w:name="O_208316"/>
      <w:bookmarkEnd w:id="14"/>
      <w:r w:rsidRPr="00D12A5A">
        <w:t>Competency field</w:t>
      </w:r>
    </w:p>
    <w:tbl>
      <w:tblPr>
        <w:tblW w:w="0" w:type="auto"/>
        <w:tblLayout w:type="fixed"/>
        <w:tblCellMar>
          <w:left w:w="62" w:type="dxa"/>
          <w:right w:w="62" w:type="dxa"/>
        </w:tblCellMar>
        <w:tblLook w:val="0000"/>
      </w:tblPr>
      <w:tblGrid>
        <w:gridCol w:w="2784"/>
        <w:gridCol w:w="5738"/>
      </w:tblGrid>
      <w:tr w:rsidTr="001434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A5A">
            <w:pPr>
              <w:pStyle w:val="BodyText"/>
              <w:rPr>
                <w:lang w:val="en-NZ"/>
              </w:rPr>
            </w:pPr>
            <w:r w:rsidRPr="00D12A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A5A" w:rsidP="00D12A5A">
            <w:pPr>
              <w:pStyle w:val="BodyText"/>
            </w:pPr>
          </w:p>
        </w:tc>
      </w:tr>
    </w:tbl>
    <w:p w:rsidR="001434DD" w:rsidP="00D12A5A">
      <w:pPr>
        <w:pStyle w:val="BodyText"/>
      </w:pPr>
    </w:p>
    <w:p w:rsidR="001434DD" w:rsidP="00D12A5A">
      <w:pPr>
        <w:pStyle w:val="BodyText"/>
      </w:pPr>
    </w:p>
    <w:p w:rsidR="00000000" w:rsidRPr="00D12A5A" w:rsidP="00D12A5A"/>
    <w:sectPr w:rsidSect="00D12A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4DD" w:rsidP="00143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DD" w:rsidP="00D12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434DD" w:rsidP="00D12A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34DD" w:rsidP="00D12A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4DD" w:rsidP="001434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DD" w:rsidP="00D12A5A">
    <w:pPr>
      <w:pStyle w:val="Header"/>
      <w:framePr w:wrap="around"/>
    </w:pPr>
    <w:r>
      <w:fldChar w:fldCharType="begin"/>
    </w:r>
    <w:r>
      <w:instrText xml:space="preserve"> TITLE   \* MERGEFORMAT </w:instrText>
    </w:r>
    <w:r>
      <w:fldChar w:fldCharType="separate"/>
    </w:r>
    <w:r>
      <w:t>ICAT5079B Perform integration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34DD" w:rsidP="00D12A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22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266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A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A5A"/>
    <w:pPr>
      <w:spacing w:before="360" w:after="60"/>
      <w:outlineLvl w:val="0"/>
    </w:pPr>
    <w:rPr>
      <w:sz w:val="32"/>
    </w:rPr>
  </w:style>
  <w:style w:type="paragraph" w:styleId="Heading2">
    <w:name w:val="heading 2"/>
    <w:basedOn w:val="HeadingBase"/>
    <w:next w:val="BodyText"/>
    <w:link w:val="Heading2Char"/>
    <w:qFormat/>
    <w:rsid w:val="00D12A5A"/>
    <w:pPr>
      <w:keepLines/>
      <w:spacing w:before="240" w:after="120"/>
      <w:outlineLvl w:val="1"/>
    </w:pPr>
    <w:rPr>
      <w:sz w:val="28"/>
      <w:szCs w:val="40"/>
    </w:rPr>
  </w:style>
  <w:style w:type="paragraph" w:styleId="Heading3">
    <w:name w:val="heading 3"/>
    <w:basedOn w:val="HeadingBase"/>
    <w:next w:val="BodyText"/>
    <w:link w:val="Heading3Char"/>
    <w:qFormat/>
    <w:rsid w:val="00D12A5A"/>
    <w:pPr>
      <w:spacing w:before="180" w:after="120"/>
      <w:outlineLvl w:val="2"/>
    </w:pPr>
    <w:rPr>
      <w:spacing w:val="-10"/>
      <w:kern w:val="32"/>
    </w:rPr>
  </w:style>
  <w:style w:type="paragraph" w:styleId="Heading4">
    <w:name w:val="heading 4"/>
    <w:basedOn w:val="HeadingBase"/>
    <w:next w:val="BodyText"/>
    <w:link w:val="Heading4Char"/>
    <w:qFormat/>
    <w:rsid w:val="00D12A5A"/>
    <w:pPr>
      <w:spacing w:before="160" w:after="120"/>
      <w:outlineLvl w:val="3"/>
    </w:pPr>
    <w:rPr>
      <w:sz w:val="22"/>
    </w:rPr>
  </w:style>
  <w:style w:type="paragraph" w:styleId="Heading5">
    <w:name w:val="heading 5"/>
    <w:basedOn w:val="HeadingBase"/>
    <w:next w:val="Normal"/>
    <w:link w:val="Heading5Char"/>
    <w:qFormat/>
    <w:rsid w:val="00D12A5A"/>
    <w:pPr>
      <w:spacing w:before="80"/>
      <w:outlineLvl w:val="4"/>
    </w:pPr>
    <w:rPr>
      <w:color w:val="918585"/>
      <w:sz w:val="20"/>
    </w:rPr>
  </w:style>
  <w:style w:type="paragraph" w:styleId="Heading6">
    <w:name w:val="heading 6"/>
    <w:basedOn w:val="HeadingBase"/>
    <w:next w:val="Normal"/>
    <w:link w:val="Heading6Char"/>
    <w:qFormat/>
    <w:rsid w:val="00D12A5A"/>
    <w:pPr>
      <w:spacing w:before="60"/>
      <w:outlineLvl w:val="5"/>
    </w:pPr>
    <w:rPr>
      <w:color w:val="918585"/>
      <w:sz w:val="20"/>
    </w:rPr>
  </w:style>
  <w:style w:type="paragraph" w:styleId="Heading7">
    <w:name w:val="heading 7"/>
    <w:basedOn w:val="Normal"/>
    <w:next w:val="Normal"/>
    <w:link w:val="Heading7Char"/>
    <w:qFormat/>
    <w:rsid w:val="00D12A5A"/>
    <w:pPr>
      <w:ind w:left="720"/>
      <w:outlineLvl w:val="6"/>
    </w:pPr>
    <w:rPr>
      <w:i/>
    </w:rPr>
  </w:style>
  <w:style w:type="paragraph" w:styleId="Heading8">
    <w:name w:val="heading 8"/>
    <w:basedOn w:val="Normal"/>
    <w:next w:val="Normal"/>
    <w:link w:val="Heading8Char"/>
    <w:qFormat/>
    <w:rsid w:val="00D12A5A"/>
    <w:pPr>
      <w:ind w:left="720"/>
      <w:outlineLvl w:val="7"/>
    </w:pPr>
    <w:rPr>
      <w:i/>
    </w:rPr>
  </w:style>
  <w:style w:type="paragraph" w:styleId="Heading9">
    <w:name w:val="heading 9"/>
    <w:basedOn w:val="Normal"/>
    <w:next w:val="Normal"/>
    <w:link w:val="Heading9Char"/>
    <w:qFormat/>
    <w:rsid w:val="00D12A5A"/>
    <w:pPr>
      <w:ind w:left="720"/>
      <w:outlineLvl w:val="8"/>
    </w:pPr>
    <w:rPr>
      <w:i/>
    </w:rPr>
  </w:style>
  <w:style w:type="character" w:default="1" w:styleId="DefaultParagraphFont">
    <w:name w:val="Default Paragraph Font"/>
    <w:uiPriority w:val="1"/>
    <w:unhideWhenUsed/>
    <w:rsid w:val="00D12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A5A"/>
  </w:style>
  <w:style w:type="character" w:customStyle="1" w:styleId="Heading1Char">
    <w:name w:val="Heading 1 Char"/>
    <w:basedOn w:val="DefaultParagraphFont"/>
    <w:link w:val="Heading1"/>
    <w:rsid w:val="00D12A5A"/>
    <w:rPr>
      <w:rFonts w:ascii="Times New Roman" w:eastAsia="Times New Roman" w:hAnsi="Times New Roman" w:cs="Times New Roman"/>
      <w:b/>
      <w:sz w:val="32"/>
      <w:szCs w:val="20"/>
      <w:lang w:eastAsia="en-US"/>
    </w:rPr>
  </w:style>
  <w:style w:type="paragraph" w:styleId="BodyText">
    <w:name w:val="Body Text"/>
    <w:basedOn w:val="Normal"/>
    <w:link w:val="BodyTextChar"/>
    <w:rsid w:val="00D12A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A5A"/>
    <w:rPr>
      <w:rFonts w:ascii="Times New Roman" w:eastAsia="Times New Roman" w:hAnsi="Times New Roman" w:cs="Times New Roman"/>
      <w:sz w:val="24"/>
      <w:lang w:val="en-US" w:eastAsia="en-US"/>
    </w:rPr>
  </w:style>
  <w:style w:type="paragraph" w:styleId="Footer">
    <w:name w:val="footer"/>
    <w:basedOn w:val="Normal"/>
    <w:link w:val="FooterChar"/>
    <w:rsid w:val="00D12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A5A"/>
    <w:rPr>
      <w:rFonts w:ascii="Times New Roman" w:eastAsia="Times New Roman" w:hAnsi="Times New Roman" w:cs="Times New Roman"/>
      <w:sz w:val="16"/>
      <w:lang w:val="en-US" w:eastAsia="en-US"/>
    </w:rPr>
  </w:style>
  <w:style w:type="paragraph" w:styleId="List">
    <w:name w:val="List"/>
    <w:basedOn w:val="BodyText"/>
    <w:next w:val="BodyText"/>
    <w:rsid w:val="00D12A5A"/>
    <w:pPr>
      <w:tabs>
        <w:tab w:val="left" w:pos="340"/>
      </w:tabs>
      <w:spacing w:before="60" w:after="60"/>
      <w:ind w:left="340" w:hanging="340"/>
    </w:pPr>
  </w:style>
  <w:style w:type="paragraph" w:styleId="ListBullet">
    <w:name w:val="List Bullet"/>
    <w:basedOn w:val="List"/>
    <w:rsid w:val="00D12A5A"/>
    <w:pPr>
      <w:numPr>
        <w:numId w:val="12"/>
      </w:numPr>
      <w:tabs>
        <w:tab w:val="clear" w:pos="340"/>
      </w:tabs>
      <w:spacing w:before="40" w:after="40"/>
    </w:pPr>
  </w:style>
  <w:style w:type="character" w:customStyle="1" w:styleId="SpecialBold">
    <w:name w:val="Special Bold"/>
    <w:basedOn w:val="DefaultParagraphFont"/>
    <w:rsid w:val="00D12A5A"/>
    <w:rPr>
      <w:b/>
      <w:spacing w:val="0"/>
    </w:rPr>
  </w:style>
  <w:style w:type="paragraph" w:styleId="Header">
    <w:name w:val="header"/>
    <w:basedOn w:val="Normal"/>
    <w:link w:val="HeaderChar"/>
    <w:rsid w:val="00D12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A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A5A"/>
    <w:pPr>
      <w:spacing w:before="240" w:after="120"/>
      <w:outlineLvl w:val="0"/>
    </w:pPr>
    <w:rPr>
      <w:rFonts w:ascii="Times New Roman" w:hAnsi="Times New Roman"/>
      <w:b/>
      <w:sz w:val="28"/>
    </w:rPr>
  </w:style>
  <w:style w:type="paragraph" w:customStyle="1" w:styleId="AllowPageBreak">
    <w:name w:val="AllowPageBreak"/>
    <w:rsid w:val="00D12A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2A5A"/>
    <w:pPr>
      <w:tabs>
        <w:tab w:val="left" w:pos="680"/>
      </w:tabs>
      <w:spacing w:before="60" w:after="60"/>
      <w:ind w:left="680" w:hanging="340"/>
    </w:pPr>
  </w:style>
  <w:style w:type="character" w:customStyle="1" w:styleId="BoldandItalics">
    <w:name w:val="Bold and Italics"/>
    <w:qFormat/>
    <w:rsid w:val="00D12A5A"/>
    <w:rPr>
      <w:b/>
      <w:i/>
      <w:u w:val="none"/>
    </w:rPr>
  </w:style>
  <w:style w:type="character" w:customStyle="1" w:styleId="Heading2Char">
    <w:name w:val="Heading 2 Char"/>
    <w:basedOn w:val="DefaultParagraphFont"/>
    <w:link w:val="Heading2"/>
    <w:rsid w:val="00D12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A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A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A5A"/>
    <w:rPr>
      <w:rFonts w:ascii="Courier New" w:eastAsia="Times New Roman" w:hAnsi="Courier New" w:cs="Times New Roman"/>
      <w:i/>
      <w:szCs w:val="20"/>
      <w:lang w:val="en-US" w:eastAsia="en-US"/>
    </w:rPr>
  </w:style>
  <w:style w:type="paragraph" w:customStyle="1" w:styleId="HeadingBase">
    <w:name w:val="Heading Base"/>
    <w:rsid w:val="00D12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A5A"/>
    <w:pPr>
      <w:tabs>
        <w:tab w:val="right" w:leader="dot" w:pos="9072"/>
      </w:tabs>
      <w:ind w:left="567"/>
    </w:pPr>
    <w:rPr>
      <w:szCs w:val="22"/>
    </w:rPr>
  </w:style>
  <w:style w:type="paragraph" w:customStyle="1" w:styleId="TOCBase">
    <w:name w:val="TOC Base"/>
    <w:rsid w:val="00D12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A5A"/>
    <w:pPr>
      <w:tabs>
        <w:tab w:val="right" w:leader="dot" w:pos="9072"/>
      </w:tabs>
      <w:spacing w:before="40" w:after="40"/>
      <w:ind w:left="284"/>
    </w:pPr>
    <w:rPr>
      <w:rFonts w:ascii="Times New Roman" w:hAnsi="Times New Roman"/>
    </w:rPr>
  </w:style>
  <w:style w:type="paragraph" w:styleId="TOC1">
    <w:name w:val="toc 1"/>
    <w:basedOn w:val="TOCBase"/>
    <w:next w:val="Normal"/>
    <w:rsid w:val="00D12A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A5A"/>
    <w:pPr>
      <w:spacing w:before="5040"/>
      <w:jc w:val="center"/>
    </w:pPr>
    <w:rPr>
      <w:sz w:val="48"/>
      <w:szCs w:val="72"/>
      <w:lang w:val="en-US"/>
    </w:rPr>
  </w:style>
  <w:style w:type="character" w:customStyle="1" w:styleId="TitleChar">
    <w:name w:val="Title Char"/>
    <w:basedOn w:val="DefaultParagraphFont"/>
    <w:link w:val="Title"/>
    <w:rsid w:val="00D12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A5A"/>
    <w:pPr>
      <w:tabs>
        <w:tab w:val="left" w:pos="3600"/>
        <w:tab w:val="left" w:pos="3958"/>
      </w:tabs>
    </w:pPr>
  </w:style>
  <w:style w:type="paragraph" w:customStyle="1" w:styleId="Note">
    <w:name w:val="Note"/>
    <w:basedOn w:val="BodyText"/>
    <w:rsid w:val="00D12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A5A"/>
    <w:pPr>
      <w:framePr w:wrap="auto" w:hAnchor="text" w:y="6049"/>
    </w:pPr>
    <w:rPr>
      <w:color w:val="000000"/>
      <w:sz w:val="40"/>
    </w:rPr>
  </w:style>
  <w:style w:type="paragraph" w:customStyle="1" w:styleId="TOCTitle">
    <w:name w:val="TOCTitle"/>
    <w:basedOn w:val="Heading1"/>
    <w:rsid w:val="00D12A5A"/>
    <w:pPr>
      <w:spacing w:after="240"/>
      <w:jc w:val="center"/>
      <w:outlineLvl w:val="9"/>
    </w:pPr>
    <w:rPr>
      <w:caps/>
    </w:rPr>
  </w:style>
  <w:style w:type="paragraph" w:customStyle="1" w:styleId="Version">
    <w:name w:val="Version"/>
    <w:rsid w:val="00D12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A5A"/>
    <w:pPr>
      <w:numPr>
        <w:numId w:val="13"/>
      </w:numPr>
      <w:tabs>
        <w:tab w:val="clear" w:pos="680"/>
      </w:tabs>
    </w:pPr>
  </w:style>
  <w:style w:type="paragraph" w:styleId="Index1">
    <w:name w:val="index 1"/>
    <w:basedOn w:val="Normal"/>
    <w:next w:val="Normal"/>
    <w:semiHidden/>
    <w:rsid w:val="00D12A5A"/>
    <w:pPr>
      <w:keepNext w:val="0"/>
      <w:tabs>
        <w:tab w:val="right" w:pos="4176"/>
      </w:tabs>
      <w:ind w:left="198" w:hanging="198"/>
    </w:pPr>
    <w:rPr>
      <w:rFonts w:ascii="Garamond" w:hAnsi="Garamond"/>
    </w:rPr>
  </w:style>
  <w:style w:type="paragraph" w:styleId="IndexHeading">
    <w:name w:val="index heading"/>
    <w:basedOn w:val="Normal"/>
    <w:next w:val="Index1"/>
    <w:semiHidden/>
    <w:rsid w:val="00D12A5A"/>
    <w:pPr>
      <w:spacing w:before="120" w:after="120"/>
    </w:pPr>
    <w:rPr>
      <w:rFonts w:ascii="Arial" w:hAnsi="Arial"/>
      <w:b/>
      <w:color w:val="918585"/>
      <w:sz w:val="24"/>
    </w:rPr>
  </w:style>
  <w:style w:type="paragraph" w:customStyle="1" w:styleId="Chapter">
    <w:name w:val="Chapter"/>
    <w:basedOn w:val="Normal"/>
    <w:rsid w:val="00D12A5A"/>
    <w:pPr>
      <w:spacing w:before="240"/>
    </w:pPr>
    <w:rPr>
      <w:rFonts w:ascii="Times New Roman" w:hAnsi="Times New Roman"/>
      <w:smallCaps/>
      <w:spacing w:val="80"/>
      <w:sz w:val="28"/>
    </w:rPr>
  </w:style>
  <w:style w:type="paragraph" w:customStyle="1" w:styleId="InChapter">
    <w:name w:val="InChapter"/>
    <w:basedOn w:val="Heading3"/>
    <w:rsid w:val="00D12A5A"/>
    <w:pPr>
      <w:spacing w:after="240"/>
      <w:outlineLvl w:val="9"/>
    </w:pPr>
    <w:rPr>
      <w:noProof/>
    </w:rPr>
  </w:style>
  <w:style w:type="paragraph" w:styleId="Index2">
    <w:name w:val="index 2"/>
    <w:basedOn w:val="Normal"/>
    <w:next w:val="Normal"/>
    <w:semiHidden/>
    <w:rsid w:val="00D12A5A"/>
    <w:pPr>
      <w:tabs>
        <w:tab w:val="right" w:pos="4176"/>
      </w:tabs>
      <w:ind w:left="568" w:hanging="284"/>
    </w:pPr>
    <w:rPr>
      <w:rFonts w:ascii="Garamond" w:hAnsi="Garamond"/>
    </w:rPr>
  </w:style>
  <w:style w:type="paragraph" w:customStyle="1" w:styleId="Byline">
    <w:name w:val="Byline"/>
    <w:rsid w:val="00D12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A5A"/>
    <w:pPr>
      <w:tabs>
        <w:tab w:val="clear" w:pos="3600"/>
        <w:tab w:val="clear" w:pos="3958"/>
      </w:tabs>
      <w:jc w:val="right"/>
    </w:pPr>
  </w:style>
  <w:style w:type="character" w:styleId="Emphasis">
    <w:name w:val="Emphasis"/>
    <w:basedOn w:val="DefaultParagraphFont"/>
    <w:qFormat/>
    <w:rsid w:val="00D12A5A"/>
    <w:rPr>
      <w:i/>
    </w:rPr>
  </w:style>
  <w:style w:type="paragraph" w:styleId="Caption">
    <w:name w:val="caption"/>
    <w:basedOn w:val="BodyText"/>
    <w:next w:val="Normal"/>
    <w:qFormat/>
    <w:rsid w:val="00D12A5A"/>
    <w:pPr>
      <w:framePr w:w="2268" w:hSpace="181" w:vSpace="181" w:wrap="around" w:vAnchor="text" w:hAnchor="page" w:x="1135" w:y="285" w:anchorLock="1"/>
    </w:pPr>
    <w:rPr>
      <w:i/>
    </w:rPr>
  </w:style>
  <w:style w:type="paragraph" w:customStyle="1" w:styleId="MiniTOCTitle">
    <w:name w:val="MiniTOCTitle"/>
    <w:basedOn w:val="Heading4"/>
    <w:rsid w:val="00D12A5A"/>
    <w:pPr>
      <w:spacing w:before="240"/>
      <w:outlineLvl w:val="9"/>
    </w:pPr>
    <w:rPr>
      <w:noProof/>
      <w:sz w:val="24"/>
    </w:rPr>
  </w:style>
  <w:style w:type="paragraph" w:customStyle="1" w:styleId="MiniTOCItem">
    <w:name w:val="MiniTOCItem"/>
    <w:basedOn w:val="ListBullet"/>
    <w:rsid w:val="00D12A5A"/>
    <w:pPr>
      <w:numPr>
        <w:numId w:val="0"/>
      </w:numPr>
      <w:tabs>
        <w:tab w:val="right" w:leader="dot" w:pos="6521"/>
      </w:tabs>
      <w:spacing w:before="0" w:after="0"/>
    </w:pPr>
  </w:style>
  <w:style w:type="paragraph" w:customStyle="1" w:styleId="TOFTitle">
    <w:name w:val="TOFTitle"/>
    <w:basedOn w:val="TOCTitle"/>
    <w:rsid w:val="00D12A5A"/>
  </w:style>
  <w:style w:type="paragraph" w:styleId="TableofFigures">
    <w:name w:val="table of figures"/>
    <w:basedOn w:val="Normal"/>
    <w:next w:val="Normal"/>
    <w:semiHidden/>
    <w:rsid w:val="00D12A5A"/>
    <w:pPr>
      <w:tabs>
        <w:tab w:val="right" w:leader="dot" w:pos="9072"/>
      </w:tabs>
      <w:ind w:left="970" w:hanging="403"/>
    </w:pPr>
    <w:rPr>
      <w:rFonts w:ascii="Times New Roman" w:hAnsi="Times New Roman"/>
      <w:b/>
    </w:rPr>
  </w:style>
  <w:style w:type="paragraph" w:styleId="ListNumber">
    <w:name w:val="List Number"/>
    <w:basedOn w:val="List"/>
    <w:rsid w:val="00D12A5A"/>
    <w:pPr>
      <w:numPr>
        <w:numId w:val="10"/>
      </w:numPr>
    </w:pPr>
  </w:style>
  <w:style w:type="character" w:customStyle="1" w:styleId="WingdingSymbols">
    <w:name w:val="Wingding Symbols"/>
    <w:rsid w:val="00D12A5A"/>
    <w:rPr>
      <w:rFonts w:ascii="Wingdings" w:hAnsi="Wingdings"/>
    </w:rPr>
  </w:style>
  <w:style w:type="paragraph" w:customStyle="1" w:styleId="TableHeading">
    <w:name w:val="Table Heading"/>
    <w:basedOn w:val="HeadingBase"/>
    <w:rsid w:val="00D12A5A"/>
    <w:pPr>
      <w:keepLines/>
      <w:pBdr>
        <w:bottom w:val="single" w:sz="6" w:space="1" w:color="918585"/>
      </w:pBdr>
      <w:spacing w:before="240"/>
    </w:pPr>
  </w:style>
  <w:style w:type="character" w:customStyle="1" w:styleId="HotSpot">
    <w:name w:val="HotSpot"/>
    <w:rsid w:val="00D12A5A"/>
    <w:rPr>
      <w:color w:val="0033CC"/>
      <w:u w:val="none"/>
    </w:rPr>
  </w:style>
  <w:style w:type="paragraph" w:customStyle="1" w:styleId="BodyTextRight">
    <w:name w:val="Body Text Right"/>
    <w:basedOn w:val="BodyText"/>
    <w:rsid w:val="00D12A5A"/>
    <w:pPr>
      <w:spacing w:before="0" w:after="0"/>
      <w:jc w:val="right"/>
    </w:pPr>
  </w:style>
  <w:style w:type="paragraph" w:styleId="Index3">
    <w:name w:val="index 3"/>
    <w:basedOn w:val="ListNumber2"/>
    <w:next w:val="Normal"/>
    <w:semiHidden/>
    <w:rsid w:val="00D12A5A"/>
    <w:pPr>
      <w:numPr>
        <w:numId w:val="0"/>
      </w:numPr>
      <w:tabs>
        <w:tab w:val="right" w:leader="dot" w:pos="4176"/>
      </w:tabs>
    </w:pPr>
  </w:style>
  <w:style w:type="paragraph" w:styleId="ListNumber2">
    <w:name w:val="List Number 2"/>
    <w:basedOn w:val="List2"/>
    <w:rsid w:val="00D12A5A"/>
    <w:pPr>
      <w:numPr>
        <w:numId w:val="9"/>
      </w:numPr>
      <w:tabs>
        <w:tab w:val="clear" w:pos="1060"/>
      </w:tabs>
    </w:pPr>
  </w:style>
  <w:style w:type="paragraph" w:customStyle="1" w:styleId="MarginNote">
    <w:name w:val="Margin Note"/>
    <w:basedOn w:val="BodyText"/>
    <w:rsid w:val="00D12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A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A5A"/>
    <w:rPr>
      <w:sz w:val="32"/>
    </w:rPr>
  </w:style>
  <w:style w:type="paragraph" w:customStyle="1" w:styleId="HeadingProcedure">
    <w:name w:val="Heading Procedure"/>
    <w:basedOn w:val="HeadingBase"/>
    <w:next w:val="Normal"/>
    <w:rsid w:val="00D12A5A"/>
    <w:pPr>
      <w:tabs>
        <w:tab w:val="left" w:pos="0"/>
      </w:tabs>
      <w:spacing w:before="120" w:after="60"/>
    </w:pPr>
    <w:rPr>
      <w:i/>
      <w:color w:val="918585"/>
      <w:sz w:val="22"/>
    </w:rPr>
  </w:style>
  <w:style w:type="paragraph" w:customStyle="1" w:styleId="TableBodyText">
    <w:name w:val="Table Body Text"/>
    <w:basedOn w:val="BodyText"/>
    <w:rsid w:val="00D12A5A"/>
    <w:pPr>
      <w:spacing w:before="60" w:after="60"/>
    </w:pPr>
  </w:style>
  <w:style w:type="paragraph" w:styleId="ListContinue">
    <w:name w:val="List Continue"/>
    <w:basedOn w:val="List"/>
    <w:rsid w:val="00D12A5A"/>
    <w:pPr>
      <w:ind w:firstLine="0"/>
    </w:pPr>
  </w:style>
  <w:style w:type="paragraph" w:customStyle="1" w:styleId="ListNote">
    <w:name w:val="List Note"/>
    <w:basedOn w:val="List"/>
    <w:rsid w:val="00D12A5A"/>
    <w:pPr>
      <w:pBdr>
        <w:top w:val="single" w:sz="6" w:space="2" w:color="918585"/>
        <w:bottom w:val="single" w:sz="6" w:space="2" w:color="918585"/>
      </w:pBdr>
      <w:tabs>
        <w:tab w:val="left" w:pos="1021"/>
      </w:tabs>
      <w:ind w:firstLine="0"/>
    </w:pPr>
  </w:style>
  <w:style w:type="paragraph" w:customStyle="1" w:styleId="Warning">
    <w:name w:val="Warning"/>
    <w:basedOn w:val="BodyText"/>
    <w:rsid w:val="00D12A5A"/>
    <w:pPr>
      <w:shd w:val="clear" w:color="auto" w:fill="D9D9D9"/>
      <w:tabs>
        <w:tab w:val="left" w:pos="992"/>
      </w:tabs>
      <w:ind w:left="119" w:right="119"/>
    </w:pPr>
    <w:rPr>
      <w:sz w:val="20"/>
    </w:rPr>
  </w:style>
  <w:style w:type="paragraph" w:customStyle="1" w:styleId="MarginIcons">
    <w:name w:val="Margin Icons"/>
    <w:basedOn w:val="BodyText"/>
    <w:rsid w:val="00D12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A5A"/>
    <w:rPr>
      <w:rFonts w:ascii="Courier New" w:hAnsi="Courier New"/>
    </w:rPr>
  </w:style>
  <w:style w:type="paragraph" w:customStyle="1" w:styleId="NoteBullet">
    <w:name w:val="Note Bullet"/>
    <w:basedOn w:val="Note"/>
    <w:rsid w:val="00D12A5A"/>
    <w:pPr>
      <w:tabs>
        <w:tab w:val="clear" w:pos="680"/>
      </w:tabs>
      <w:spacing w:before="60" w:after="60"/>
    </w:pPr>
  </w:style>
  <w:style w:type="paragraph" w:customStyle="1" w:styleId="SubHeading2">
    <w:name w:val="SubHeading2"/>
    <w:basedOn w:val="HeadingBase"/>
    <w:rsid w:val="00D12A5A"/>
    <w:pPr>
      <w:spacing w:before="240" w:after="60"/>
    </w:pPr>
    <w:rPr>
      <w:sz w:val="20"/>
    </w:rPr>
  </w:style>
  <w:style w:type="paragraph" w:customStyle="1" w:styleId="SubHeading1">
    <w:name w:val="SubHeading1"/>
    <w:basedOn w:val="HeadingBase"/>
    <w:rsid w:val="00D12A5A"/>
    <w:pPr>
      <w:spacing w:before="240" w:after="60"/>
    </w:pPr>
    <w:rPr>
      <w:color w:val="918585"/>
      <w:sz w:val="22"/>
    </w:rPr>
  </w:style>
  <w:style w:type="paragraph" w:customStyle="1" w:styleId="SideHeading">
    <w:name w:val="Side Heading"/>
    <w:basedOn w:val="HeadingBase"/>
    <w:rsid w:val="00D12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A5A"/>
    <w:pPr>
      <w:tabs>
        <w:tab w:val="num" w:pos="360"/>
      </w:tabs>
    </w:pPr>
  </w:style>
  <w:style w:type="paragraph" w:styleId="PlainText">
    <w:name w:val="Plain Text"/>
    <w:basedOn w:val="Normal"/>
    <w:link w:val="PlainTextChar"/>
    <w:rsid w:val="00D12A5A"/>
    <w:rPr>
      <w:sz w:val="20"/>
    </w:rPr>
  </w:style>
  <w:style w:type="character" w:customStyle="1" w:styleId="PlainTextChar">
    <w:name w:val="Plain Text Char"/>
    <w:basedOn w:val="DefaultParagraphFont"/>
    <w:link w:val="PlainText"/>
    <w:rsid w:val="00D12A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A5A"/>
    <w:rPr>
      <w:b/>
      <w:smallCaps/>
    </w:rPr>
  </w:style>
  <w:style w:type="paragraph" w:customStyle="1" w:styleId="TableListNumber">
    <w:name w:val="Table List Number"/>
    <w:basedOn w:val="ListNumber"/>
    <w:rsid w:val="00D12A5A"/>
    <w:pPr>
      <w:numPr>
        <w:numId w:val="0"/>
      </w:numPr>
    </w:pPr>
  </w:style>
  <w:style w:type="paragraph" w:styleId="TOC4">
    <w:name w:val="toc 4"/>
    <w:basedOn w:val="TOCBase"/>
    <w:next w:val="Normal"/>
    <w:semiHidden/>
    <w:rsid w:val="00D12A5A"/>
    <w:pPr>
      <w:tabs>
        <w:tab w:val="right" w:leader="dot" w:pos="9071"/>
      </w:tabs>
      <w:ind w:left="1701"/>
    </w:pPr>
  </w:style>
  <w:style w:type="paragraph" w:customStyle="1" w:styleId="ListAlpha">
    <w:name w:val="List Alpha"/>
    <w:basedOn w:val="List"/>
    <w:rsid w:val="00D12A5A"/>
    <w:pPr>
      <w:numPr>
        <w:numId w:val="8"/>
      </w:numPr>
    </w:pPr>
  </w:style>
  <w:style w:type="paragraph" w:customStyle="1" w:styleId="ListAlpha2">
    <w:name w:val="List Alpha 2"/>
    <w:basedOn w:val="List2"/>
    <w:rsid w:val="00D12A5A"/>
    <w:pPr>
      <w:numPr>
        <w:numId w:val="7"/>
      </w:numPr>
    </w:pPr>
  </w:style>
  <w:style w:type="paragraph" w:styleId="List3">
    <w:name w:val="List 3"/>
    <w:basedOn w:val="BodyText"/>
    <w:rsid w:val="00D12A5A"/>
    <w:pPr>
      <w:tabs>
        <w:tab w:val="left" w:pos="1021"/>
      </w:tabs>
      <w:spacing w:before="60" w:after="60"/>
      <w:ind w:left="1020" w:hanging="340"/>
    </w:pPr>
  </w:style>
  <w:style w:type="paragraph" w:styleId="List4">
    <w:name w:val="List 4"/>
    <w:basedOn w:val="BodyText"/>
    <w:rsid w:val="00D12A5A"/>
    <w:pPr>
      <w:tabs>
        <w:tab w:val="left" w:pos="1361"/>
      </w:tabs>
      <w:spacing w:before="60" w:after="60"/>
      <w:ind w:left="1361" w:hanging="340"/>
    </w:pPr>
  </w:style>
  <w:style w:type="paragraph" w:styleId="List5">
    <w:name w:val="List 5"/>
    <w:basedOn w:val="BodyText"/>
    <w:rsid w:val="00D12A5A"/>
    <w:pPr>
      <w:tabs>
        <w:tab w:val="left" w:pos="1701"/>
      </w:tabs>
      <w:spacing w:before="60" w:after="60"/>
      <w:ind w:left="1701" w:hanging="340"/>
    </w:pPr>
  </w:style>
  <w:style w:type="paragraph" w:styleId="ListBullet3">
    <w:name w:val="List Bullet 3"/>
    <w:basedOn w:val="List3"/>
    <w:rsid w:val="00D12A5A"/>
    <w:pPr>
      <w:numPr>
        <w:numId w:val="14"/>
      </w:numPr>
      <w:tabs>
        <w:tab w:val="clear" w:pos="1021"/>
      </w:tabs>
      <w:ind w:left="1037" w:hanging="357"/>
    </w:pPr>
  </w:style>
  <w:style w:type="paragraph" w:styleId="ListBullet4">
    <w:name w:val="List Bullet 4"/>
    <w:basedOn w:val="List4"/>
    <w:rsid w:val="00D12A5A"/>
    <w:pPr>
      <w:numPr>
        <w:numId w:val="2"/>
      </w:numPr>
    </w:pPr>
  </w:style>
  <w:style w:type="paragraph" w:styleId="ListBullet5">
    <w:name w:val="List Bullet 5"/>
    <w:basedOn w:val="List5"/>
    <w:rsid w:val="00D12A5A"/>
    <w:pPr>
      <w:numPr>
        <w:numId w:val="3"/>
      </w:numPr>
    </w:pPr>
  </w:style>
  <w:style w:type="paragraph" w:styleId="ListContinue2">
    <w:name w:val="List Continue 2"/>
    <w:basedOn w:val="List2"/>
    <w:rsid w:val="00D12A5A"/>
    <w:pPr>
      <w:ind w:firstLine="0"/>
    </w:pPr>
  </w:style>
  <w:style w:type="paragraph" w:styleId="ListContinue3">
    <w:name w:val="List Continue 3"/>
    <w:basedOn w:val="List3"/>
    <w:rsid w:val="00D12A5A"/>
    <w:pPr>
      <w:ind w:left="1021" w:firstLine="0"/>
    </w:pPr>
  </w:style>
  <w:style w:type="paragraph" w:styleId="ListContinue4">
    <w:name w:val="List Continue 4"/>
    <w:basedOn w:val="List4"/>
    <w:rsid w:val="00D12A5A"/>
    <w:pPr>
      <w:ind w:firstLine="0"/>
    </w:pPr>
  </w:style>
  <w:style w:type="paragraph" w:styleId="ListContinue5">
    <w:name w:val="List Continue 5"/>
    <w:basedOn w:val="List5"/>
    <w:rsid w:val="00D12A5A"/>
    <w:pPr>
      <w:ind w:firstLine="0"/>
    </w:pPr>
  </w:style>
  <w:style w:type="paragraph" w:styleId="ListNumber3">
    <w:name w:val="List Number 3"/>
    <w:basedOn w:val="List3"/>
    <w:rsid w:val="00D12A5A"/>
    <w:pPr>
      <w:numPr>
        <w:numId w:val="4"/>
      </w:numPr>
    </w:pPr>
  </w:style>
  <w:style w:type="paragraph" w:styleId="ListNumber4">
    <w:name w:val="List Number 4"/>
    <w:basedOn w:val="List4"/>
    <w:rsid w:val="00D12A5A"/>
    <w:pPr>
      <w:numPr>
        <w:numId w:val="5"/>
      </w:numPr>
    </w:pPr>
  </w:style>
  <w:style w:type="paragraph" w:styleId="ListNumber5">
    <w:name w:val="List Number 5"/>
    <w:basedOn w:val="List5"/>
    <w:rsid w:val="00D12A5A"/>
    <w:pPr>
      <w:numPr>
        <w:numId w:val="6"/>
      </w:numPr>
    </w:pPr>
  </w:style>
  <w:style w:type="paragraph" w:styleId="BlockText">
    <w:name w:val="Block Text"/>
    <w:basedOn w:val="Normal"/>
    <w:rsid w:val="00D12A5A"/>
    <w:pPr>
      <w:spacing w:after="120"/>
      <w:ind w:left="1440" w:right="1440"/>
    </w:pPr>
  </w:style>
  <w:style w:type="character" w:customStyle="1" w:styleId="Subscript">
    <w:name w:val="Subscript"/>
    <w:basedOn w:val="DefaultParagraphFont"/>
    <w:rsid w:val="00D12A5A"/>
    <w:rPr>
      <w:sz w:val="16"/>
      <w:vertAlign w:val="subscript"/>
    </w:rPr>
  </w:style>
  <w:style w:type="character" w:customStyle="1" w:styleId="Superscript">
    <w:name w:val="Superscript"/>
    <w:basedOn w:val="DefaultParagraphFont"/>
    <w:rsid w:val="00D12A5A"/>
    <w:rPr>
      <w:sz w:val="16"/>
      <w:vertAlign w:val="superscript"/>
    </w:rPr>
  </w:style>
  <w:style w:type="character" w:customStyle="1" w:styleId="Symbols">
    <w:name w:val="Symbols"/>
    <w:basedOn w:val="DefaultParagraphFont"/>
    <w:rsid w:val="00D12A5A"/>
    <w:rPr>
      <w:rFonts w:ascii="Symbol" w:hAnsi="Symbol"/>
    </w:rPr>
  </w:style>
  <w:style w:type="character" w:customStyle="1" w:styleId="MenuOptions">
    <w:name w:val="Menu Options"/>
    <w:basedOn w:val="DefaultParagraphFont"/>
    <w:rsid w:val="00D12A5A"/>
    <w:rPr>
      <w:rFonts w:ascii="Arial Narrow" w:hAnsi="Arial Narrow"/>
      <w:smallCaps/>
    </w:rPr>
  </w:style>
  <w:style w:type="character" w:customStyle="1" w:styleId="Buttons">
    <w:name w:val="Buttons"/>
    <w:basedOn w:val="DefaultParagraphFont"/>
    <w:rsid w:val="00D12A5A"/>
    <w:rPr>
      <w:b/>
    </w:rPr>
  </w:style>
  <w:style w:type="character" w:customStyle="1" w:styleId="Underlined">
    <w:name w:val="Underlined"/>
    <w:basedOn w:val="DefaultParagraphFont"/>
    <w:rsid w:val="00D12A5A"/>
    <w:rPr>
      <w:u w:val="single"/>
    </w:rPr>
  </w:style>
  <w:style w:type="paragraph" w:customStyle="1" w:styleId="TableBodyTextRight">
    <w:name w:val="Table Body Text Right"/>
    <w:basedOn w:val="TableBodyText"/>
    <w:rsid w:val="00D12A5A"/>
    <w:pPr>
      <w:widowControl w:val="0"/>
      <w:autoSpaceDE w:val="0"/>
      <w:autoSpaceDN w:val="0"/>
      <w:adjustRightInd w:val="0"/>
      <w:jc w:val="right"/>
    </w:pPr>
    <w:rPr>
      <w:rFonts w:cs="Arial"/>
      <w:szCs w:val="18"/>
    </w:rPr>
  </w:style>
  <w:style w:type="paragraph" w:customStyle="1" w:styleId="CopyrightText">
    <w:name w:val="Copyright Text"/>
    <w:basedOn w:val="BodyText"/>
    <w:rsid w:val="00D12A5A"/>
    <w:rPr>
      <w:sz w:val="18"/>
    </w:rPr>
  </w:style>
  <w:style w:type="paragraph" w:customStyle="1" w:styleId="BodySmallRight">
    <w:name w:val="Body Small Right"/>
    <w:basedOn w:val="BodyTextRight"/>
    <w:rsid w:val="00D12A5A"/>
    <w:rPr>
      <w:sz w:val="18"/>
      <w:szCs w:val="18"/>
    </w:rPr>
  </w:style>
  <w:style w:type="paragraph" w:customStyle="1" w:styleId="MarginEdition">
    <w:name w:val="Margin Edition"/>
    <w:basedOn w:val="MarginNote"/>
    <w:rsid w:val="00D12A5A"/>
    <w:pPr>
      <w:spacing w:before="0" w:after="0"/>
    </w:pPr>
    <w:rPr>
      <w:rFonts w:ascii="Times New Roman" w:hAnsi="Times New Roman"/>
      <w:color w:val="999999"/>
    </w:rPr>
  </w:style>
  <w:style w:type="paragraph" w:customStyle="1" w:styleId="Spacer">
    <w:name w:val="Spacer"/>
    <w:basedOn w:val="Normal"/>
    <w:rsid w:val="00D12A5A"/>
    <w:rPr>
      <w:sz w:val="2"/>
      <w:szCs w:val="2"/>
    </w:rPr>
  </w:style>
  <w:style w:type="character" w:customStyle="1" w:styleId="Small">
    <w:name w:val="Small"/>
    <w:basedOn w:val="DefaultParagraphFont"/>
    <w:rsid w:val="00D12A5A"/>
    <w:rPr>
      <w:sz w:val="16"/>
    </w:rPr>
  </w:style>
  <w:style w:type="paragraph" w:customStyle="1" w:styleId="WideTable">
    <w:name w:val="Wide Table"/>
    <w:basedOn w:val="Normal"/>
    <w:rsid w:val="00D12A5A"/>
    <w:pPr>
      <w:ind w:left="-1418"/>
    </w:pPr>
    <w:rPr>
      <w:sz w:val="2"/>
      <w:szCs w:val="2"/>
    </w:rPr>
  </w:style>
  <w:style w:type="character" w:styleId="PageNumber">
    <w:name w:val="page number"/>
    <w:basedOn w:val="DefaultParagraphFont"/>
    <w:rsid w:val="00D12A5A"/>
  </w:style>
  <w:style w:type="paragraph" w:styleId="Quote">
    <w:name w:val="Quote"/>
    <w:basedOn w:val="Heading1"/>
    <w:link w:val="QuoteChar"/>
    <w:qFormat/>
    <w:rsid w:val="00D12A5A"/>
    <w:rPr>
      <w:b w:val="0"/>
      <w:sz w:val="72"/>
      <w:szCs w:val="72"/>
      <w:lang w:val="en-NZ"/>
    </w:rPr>
  </w:style>
  <w:style w:type="character" w:customStyle="1" w:styleId="QuoteChar">
    <w:name w:val="Quote Char"/>
    <w:basedOn w:val="DefaultParagraphFont"/>
    <w:link w:val="Quote"/>
    <w:rsid w:val="00D12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A5A"/>
    <w:pPr>
      <w:pageBreakBefore/>
    </w:pPr>
  </w:style>
  <w:style w:type="paragraph" w:customStyle="1" w:styleId="Border">
    <w:name w:val="Border"/>
    <w:basedOn w:val="Normal"/>
    <w:qFormat/>
    <w:rsid w:val="00D12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A5A"/>
    <w:rPr>
      <w:b/>
      <w:bCs/>
      <w:i/>
      <w:iCs/>
      <w:color w:val="auto"/>
    </w:rPr>
  </w:style>
  <w:style w:type="paragraph" w:styleId="IntenseQuote">
    <w:name w:val="Intense Quote"/>
    <w:basedOn w:val="Normal"/>
    <w:next w:val="Normal"/>
    <w:link w:val="IntenseQuoteChar"/>
    <w:uiPriority w:val="30"/>
    <w:qFormat/>
    <w:rsid w:val="00D12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A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A5A"/>
    <w:rPr>
      <w:smallCaps/>
      <w:color w:val="auto"/>
      <w:u w:val="single"/>
    </w:rPr>
  </w:style>
  <w:style w:type="character" w:styleId="IntenseReference">
    <w:name w:val="Intense Reference"/>
    <w:basedOn w:val="DefaultParagraphFont"/>
    <w:uiPriority w:val="32"/>
    <w:qFormat/>
    <w:rsid w:val="00D12A5A"/>
    <w:rPr>
      <w:b/>
      <w:bCs/>
      <w:smallCaps/>
      <w:color w:val="auto"/>
      <w:spacing w:val="5"/>
      <w:u w:val="single"/>
    </w:rPr>
  </w:style>
  <w:style w:type="paragraph" w:customStyle="1" w:styleId="2ColumnHeading">
    <w:name w:val="2Column Heading"/>
    <w:basedOn w:val="BodyText"/>
    <w:qFormat/>
    <w:rsid w:val="00D12A5A"/>
    <w:pPr>
      <w:spacing w:after="60"/>
      <w:ind w:left="-2268"/>
    </w:pPr>
    <w:rPr>
      <w:b/>
    </w:rPr>
  </w:style>
  <w:style w:type="paragraph" w:customStyle="1" w:styleId="Heading1TOC">
    <w:name w:val="Heading1 TOC"/>
    <w:basedOn w:val="Normal"/>
    <w:qFormat/>
    <w:rsid w:val="00D12A5A"/>
    <w:pPr>
      <w:spacing w:before="240" w:after="120"/>
    </w:pPr>
    <w:rPr>
      <w:rFonts w:ascii="Times New Roman" w:hAnsi="Times New Roman"/>
      <w:b/>
      <w:sz w:val="32"/>
    </w:rPr>
  </w:style>
  <w:style w:type="paragraph" w:customStyle="1" w:styleId="Heading2TOC">
    <w:name w:val="Heading2 TOC"/>
    <w:basedOn w:val="Normal"/>
    <w:qFormat/>
    <w:rsid w:val="00D12A5A"/>
    <w:pPr>
      <w:spacing w:before="240" w:after="60"/>
    </w:pPr>
    <w:rPr>
      <w:rFonts w:ascii="Times New Roman" w:hAnsi="Times New Roman"/>
      <w:b/>
      <w:sz w:val="28"/>
    </w:rPr>
  </w:style>
  <w:style w:type="character" w:customStyle="1" w:styleId="Underline">
    <w:name w:val="Underline"/>
    <w:basedOn w:val="DefaultParagraphFont"/>
    <w:qFormat/>
    <w:rsid w:val="00D12A5A"/>
    <w:rPr>
      <w:u w:val="single"/>
    </w:rPr>
  </w:style>
  <w:style w:type="paragraph" w:styleId="BalloonText">
    <w:name w:val="Balloon Text"/>
    <w:basedOn w:val="Normal"/>
    <w:link w:val="BalloonTextChar"/>
    <w:rsid w:val="00D12A5A"/>
    <w:rPr>
      <w:rFonts w:ascii="Tahoma" w:hAnsi="Tahoma" w:cs="Tahoma"/>
      <w:sz w:val="16"/>
      <w:szCs w:val="16"/>
    </w:rPr>
  </w:style>
  <w:style w:type="character" w:customStyle="1" w:styleId="BalloonTextChar">
    <w:name w:val="Balloon Text Char"/>
    <w:basedOn w:val="DefaultParagraphFont"/>
    <w:link w:val="BalloonText"/>
    <w:rsid w:val="00D12A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A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A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1744</Words>
  <Characters>10961</Characters>
  <Application>Microsoft Office Word</Application>
  <DocSecurity>0</DocSecurity>
  <Lines>366</Lines>
  <Paragraphs>144</Paragraphs>
  <ScaleCrop>false</ScaleCrop>
  <Company>Author-it Software Corporation Ltd.</Company>
  <LinksUpToDate>false</LinksUpToDate>
  <CharactersWithSpaces>12616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ICAT5079B Perform integration test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