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B77" w:rsidP="00920B77">
      <w:pPr>
        <w:pStyle w:val="Title"/>
      </w:pPr>
      <w:r>
        <w:fldChar w:fldCharType="begin"/>
      </w:r>
      <w:r>
        <w:instrText xml:space="preserve"> TITLE   \* MERGEFORMAT </w:instrText>
      </w:r>
      <w:r>
        <w:fldChar w:fldCharType="separate"/>
      </w:r>
      <w:r>
        <w:t>ICAS6254A Manage IT security</w:t>
      </w:r>
      <w:r>
        <w:fldChar w:fldCharType="end"/>
      </w:r>
    </w:p>
    <w:p w:rsidR="00920B77" w:rsidP="00920B77">
      <w:pPr>
        <w:pStyle w:val="Version"/>
        <w:sectPr w:rsidSect="000013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3AE" w:rsidP="000013AE">
      <w:pPr>
        <w:pStyle w:val="SuperHeading"/>
      </w:pPr>
      <w:r w:rsidRPr="000013AE">
        <w:t>ICAS6254A Manage IT security</w:t>
      </w:r>
    </w:p>
    <w:p w:rsidR="00000000" w:rsidRPr="000013AE" w:rsidP="000013AE">
      <w:pPr>
        <w:pStyle w:val="Heading1"/>
      </w:pPr>
      <w:bookmarkStart w:id="1" w:name="O_271684"/>
      <w:bookmarkEnd w:id="1"/>
      <w:r w:rsidRPr="000013AE">
        <w:t>Modification History</w:t>
      </w:r>
    </w:p>
    <w:p w:rsidR="00000000" w:rsidRPr="000013AE" w:rsidP="000013AE">
      <w:pPr>
        <w:pStyle w:val="BodyText"/>
      </w:pPr>
      <w:r w:rsidRPr="000013AE">
        <w:t>Not Applicable</w:t>
      </w:r>
    </w:p>
    <w:p w:rsidR="00000000" w:rsidRPr="000013AE" w:rsidP="000013AE">
      <w:pPr>
        <w:pStyle w:val="AllowPageBreak"/>
      </w:pPr>
    </w:p>
    <w:p w:rsidR="00000000" w:rsidRPr="000013AE" w:rsidP="000013AE">
      <w:pPr>
        <w:pStyle w:val="Heading1"/>
      </w:pPr>
      <w:bookmarkStart w:id="2" w:name="O_208227"/>
      <w:bookmarkEnd w:id="2"/>
      <w:r w:rsidRPr="000013AE">
        <w:t>Unit Descriptor</w:t>
      </w:r>
    </w:p>
    <w:tbl>
      <w:tblPr>
        <w:tblW w:w="0" w:type="auto"/>
        <w:tblLayout w:type="fixed"/>
        <w:tblCellMar>
          <w:left w:w="62" w:type="dxa"/>
          <w:right w:w="62" w:type="dxa"/>
        </w:tblCellMar>
        <w:tblLook w:val="0000"/>
      </w:tblPr>
      <w:tblGrid>
        <w:gridCol w:w="2642"/>
        <w:gridCol w:w="5880"/>
      </w:tblGrid>
      <w:tr w:rsidTr="00920B7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This unit defines the competency required to manage data security, Enterprise Continuity, Incidents, Networks and telecomm</w:t>
            </w:r>
            <w:r w:rsidRPr="000013AE">
              <w:t>unications security, System and Application Security.</w:t>
            </w:r>
          </w:p>
          <w:p w:rsidR="00000000" w:rsidRPr="000013AE" w:rsidP="000013AE">
            <w:pPr>
              <w:pStyle w:val="BodyText"/>
            </w:pPr>
          </w:p>
          <w:p w:rsidR="00000000" w:rsidRPr="000013AE" w:rsidP="000013AE">
            <w:pPr>
              <w:pStyle w:val="BodyText"/>
            </w:pPr>
            <w:r w:rsidRPr="000013AE">
              <w:rPr>
                <w:rStyle w:val="Emphasis"/>
              </w:rPr>
              <w:t>No licensing</w:t>
            </w:r>
            <w:r w:rsidRPr="000013AE">
              <w:t xml:space="preserve">, </w:t>
            </w:r>
            <w:r w:rsidRPr="000013AE">
              <w:rPr>
                <w:rStyle w:val="Emphasis"/>
              </w:rPr>
              <w:t>legislative</w:t>
            </w:r>
            <w:r w:rsidRPr="000013AE">
              <w:t xml:space="preserve">, </w:t>
            </w:r>
            <w:r w:rsidRPr="000013AE">
              <w:rPr>
                <w:rStyle w:val="Emphasis"/>
              </w:rPr>
              <w:t>regulatory or certification requirements apply to this unit at the time of publication</w:t>
            </w:r>
            <w:r w:rsidRPr="000013AE">
              <w:t>.</w:t>
            </w:r>
          </w:p>
        </w:tc>
      </w:tr>
    </w:tbl>
    <w:p w:rsidR="00920B77" w:rsidP="000013AE">
      <w:pPr>
        <w:pStyle w:val="BodyText"/>
      </w:pPr>
    </w:p>
    <w:p w:rsidR="00920B77" w:rsidP="000013AE">
      <w:pPr>
        <w:pStyle w:val="BodyText"/>
      </w:pPr>
    </w:p>
    <w:p w:rsidR="00000000" w:rsidRPr="000013AE" w:rsidP="000013AE">
      <w:pPr>
        <w:pStyle w:val="Heading1"/>
      </w:pPr>
      <w:bookmarkStart w:id="3" w:name="O_208231"/>
      <w:bookmarkEnd w:id="3"/>
      <w:r w:rsidRPr="000013AE">
        <w:t>Application of the Unit</w:t>
      </w:r>
    </w:p>
    <w:tbl>
      <w:tblPr>
        <w:tblW w:w="0" w:type="auto"/>
        <w:tblLayout w:type="fixed"/>
        <w:tblCellMar>
          <w:left w:w="62" w:type="dxa"/>
          <w:right w:w="62" w:type="dxa"/>
        </w:tblCellMar>
        <w:tblLook w:val="0000"/>
      </w:tblPr>
      <w:tblGrid>
        <w:gridCol w:w="2764"/>
        <w:gridCol w:w="5758"/>
      </w:tblGrid>
      <w:tr w:rsidTr="00920B7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p>
        </w:tc>
      </w:tr>
    </w:tbl>
    <w:p w:rsidR="00920B77" w:rsidP="000013AE">
      <w:pPr>
        <w:pStyle w:val="BodyText"/>
      </w:pPr>
    </w:p>
    <w:p w:rsidR="00920B77" w:rsidP="000013AE">
      <w:pPr>
        <w:pStyle w:val="BodyText"/>
      </w:pPr>
    </w:p>
    <w:p w:rsidR="00000000" w:rsidRPr="000013AE" w:rsidP="000013AE">
      <w:pPr>
        <w:pStyle w:val="Heading1"/>
      </w:pPr>
      <w:bookmarkStart w:id="4" w:name="O_279944"/>
      <w:bookmarkEnd w:id="4"/>
      <w:r w:rsidRPr="000013AE">
        <w:t>Licensing/Regulatory Information</w:t>
      </w:r>
    </w:p>
    <w:p w:rsidR="00000000" w:rsidRPr="000013AE" w:rsidP="000013AE">
      <w:pPr>
        <w:pStyle w:val="BodyText"/>
      </w:pPr>
      <w:r w:rsidRPr="000013AE">
        <w:t>Refer to Unit Descriptor</w:t>
      </w:r>
    </w:p>
    <w:p w:rsidR="00000000" w:rsidRPr="000013AE" w:rsidP="000013AE">
      <w:pPr>
        <w:pStyle w:val="AllowPageBreak"/>
      </w:pPr>
    </w:p>
    <w:p w:rsidR="00000000" w:rsidRPr="000013AE" w:rsidP="000013AE">
      <w:pPr>
        <w:pStyle w:val="Heading1"/>
      </w:pPr>
      <w:bookmarkStart w:id="5" w:name="O_208229"/>
      <w:bookmarkEnd w:id="5"/>
      <w:r w:rsidRPr="000013AE">
        <w:t>Pre-Requisites</w:t>
      </w:r>
    </w:p>
    <w:tbl>
      <w:tblPr>
        <w:tblW w:w="0" w:type="auto"/>
        <w:tblLayout w:type="fixed"/>
        <w:tblCellMar>
          <w:left w:w="62" w:type="dxa"/>
          <w:right w:w="62" w:type="dxa"/>
        </w:tblCellMar>
        <w:tblLook w:val="0000"/>
      </w:tblPr>
      <w:tblGrid>
        <w:gridCol w:w="2716"/>
        <w:gridCol w:w="1987"/>
        <w:gridCol w:w="3819"/>
      </w:tblGrid>
      <w:tr w:rsidTr="00920B77">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p>
        </w:tc>
      </w:tr>
      <w:tr w:rsidTr="00920B7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ICAI4249A</w:t>
            </w:r>
          </w:p>
        </w:tc>
        <w:tc>
          <w:tcPr>
            <w:tcW w:w="3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 xml:space="preserve">Implement and evaluate data security </w:t>
            </w:r>
          </w:p>
        </w:tc>
      </w:tr>
      <w:tr w:rsidTr="00920B7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ICAI4251A</w:t>
            </w:r>
          </w:p>
        </w:tc>
        <w:tc>
          <w:tcPr>
            <w:tcW w:w="3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Implement and evaluate network and telecommunication security</w:t>
            </w:r>
          </w:p>
        </w:tc>
      </w:tr>
      <w:tr w:rsidTr="00920B7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ICAI5250A</w:t>
            </w:r>
          </w:p>
        </w:tc>
        <w:tc>
          <w:tcPr>
            <w:tcW w:w="3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Develop, implement and evaluate system and application security</w:t>
            </w:r>
          </w:p>
        </w:tc>
      </w:tr>
      <w:tr w:rsidTr="00920B7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ICAI5252A</w:t>
            </w:r>
          </w:p>
        </w:tc>
        <w:tc>
          <w:tcPr>
            <w:tcW w:w="3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Develop, implement and evaluate an incident response plan</w:t>
            </w:r>
          </w:p>
        </w:tc>
      </w:tr>
    </w:tbl>
    <w:p w:rsidR="00920B77" w:rsidP="000013AE">
      <w:pPr>
        <w:pStyle w:val="BodyText"/>
      </w:pPr>
    </w:p>
    <w:p w:rsidR="00920B77" w:rsidP="000013AE">
      <w:pPr>
        <w:pStyle w:val="BodyText"/>
      </w:pPr>
    </w:p>
    <w:p w:rsidR="00000000" w:rsidRPr="000013AE" w:rsidP="000013AE">
      <w:pPr>
        <w:pStyle w:val="Heading1"/>
      </w:pPr>
      <w:bookmarkStart w:id="6" w:name="O_208228"/>
      <w:bookmarkEnd w:id="6"/>
      <w:r w:rsidRPr="000013AE">
        <w:t>Employability Skills Information</w:t>
      </w:r>
    </w:p>
    <w:tbl>
      <w:tblPr>
        <w:tblW w:w="0" w:type="auto"/>
        <w:tblLayout w:type="fixed"/>
        <w:tblCellMar>
          <w:left w:w="62" w:type="dxa"/>
          <w:right w:w="62" w:type="dxa"/>
        </w:tblCellMar>
        <w:tblLook w:val="0000"/>
      </w:tblPr>
      <w:tblGrid>
        <w:gridCol w:w="2802"/>
        <w:gridCol w:w="5720"/>
      </w:tblGrid>
      <w:tr w:rsidTr="00920B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This unit contains employability skills.</w:t>
            </w:r>
          </w:p>
        </w:tc>
      </w:tr>
    </w:tbl>
    <w:p w:rsidR="00920B77" w:rsidP="000013AE">
      <w:pPr>
        <w:pStyle w:val="BodyText"/>
      </w:pPr>
    </w:p>
    <w:p w:rsidR="00920B77" w:rsidP="000013AE">
      <w:pPr>
        <w:pStyle w:val="BodyText"/>
      </w:pPr>
    </w:p>
    <w:p w:rsidR="00000000" w:rsidRPr="000013AE" w:rsidP="000013AE">
      <w:pPr>
        <w:pStyle w:val="Heading1"/>
      </w:pPr>
      <w:bookmarkStart w:id="7" w:name="O_289730"/>
      <w:bookmarkEnd w:id="7"/>
      <w:r w:rsidRPr="000013AE">
        <w:t>Elements and Performance Criteria Pre-Content</w:t>
      </w:r>
    </w:p>
    <w:tbl>
      <w:tblPr>
        <w:tblW w:w="0" w:type="auto"/>
        <w:tblLayout w:type="fixed"/>
        <w:tblCellMar>
          <w:left w:w="62" w:type="dxa"/>
          <w:right w:w="62" w:type="dxa"/>
        </w:tblCellMar>
        <w:tblLook w:val="0000"/>
      </w:tblPr>
      <w:tblGrid>
        <w:gridCol w:w="2669"/>
        <w:gridCol w:w="5853"/>
      </w:tblGrid>
      <w:tr w:rsidTr="00920B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Elements describe the essential outcomes of a unit of competency.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Performance criteria describe the performance needed to demonstrate achievem</w:t>
            </w:r>
            <w:r w:rsidRPr="000013AE">
              <w:t>ent of the element. Where bold italicised text is used, further information is detailed in the required skills and knowledge section and the range statement. Assessment of performance is to be consistent with the evidence guide.</w:t>
            </w:r>
          </w:p>
        </w:tc>
      </w:tr>
    </w:tbl>
    <w:p w:rsidR="00000000" w:rsidRPr="000013AE" w:rsidP="000013AE">
      <w:pPr>
        <w:pStyle w:val="BodyText"/>
      </w:pPr>
    </w:p>
    <w:p w:rsidR="00000000" w:rsidRPr="000013AE" w:rsidP="000013AE">
      <w:pPr>
        <w:pStyle w:val="AllowPageBreak"/>
      </w:pPr>
    </w:p>
    <w:p w:rsidR="00000000" w:rsidRPr="000013AE" w:rsidP="000013AE">
      <w:pPr>
        <w:pStyle w:val="Heading1"/>
      </w:pPr>
      <w:bookmarkStart w:id="8" w:name="O_236397"/>
      <w:bookmarkEnd w:id="8"/>
      <w:r w:rsidRPr="000013AE">
        <w:t>Elements</w:t>
      </w:r>
      <w:r w:rsidRPr="000013AE">
        <w:t xml:space="preserve"> and Performance Criteria</w:t>
      </w:r>
    </w:p>
    <w:tbl>
      <w:tblPr>
        <w:tblW w:w="0" w:type="auto"/>
        <w:tblLayout w:type="fixed"/>
        <w:tblCellMar>
          <w:left w:w="62" w:type="dxa"/>
          <w:right w:w="62" w:type="dxa"/>
        </w:tblCellMar>
        <w:tblLook w:val="0000"/>
      </w:tblPr>
      <w:tblGrid>
        <w:gridCol w:w="2669"/>
        <w:gridCol w:w="5853"/>
      </w:tblGrid>
      <w:tr w:rsidTr="00920B7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rPr>
                <w:rStyle w:val="SpecialBold"/>
              </w:rPr>
              <w:t>ELEMENT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PERFORMANCE CRITERIA</w:t>
            </w:r>
          </w:p>
        </w:tc>
      </w:tr>
      <w:tr w:rsidTr="00920B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List"/>
              <w:rPr>
                <w:lang w:val="en-NZ"/>
              </w:rPr>
            </w:pPr>
            <w:r w:rsidRPr="000013AE">
              <w:t>1.</w:t>
            </w:r>
            <w:r w:rsidRPr="000013AE">
              <w:tab/>
              <w:t>Manage data security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2"/>
            </w:pPr>
            <w:r w:rsidRPr="000013AE">
              <w:t>1.1.</w:t>
            </w:r>
            <w:r w:rsidRPr="000013AE">
              <w:tab/>
              <w:t>Ensure that security classification and data management policies and guidance are issued and updated</w:t>
            </w:r>
          </w:p>
          <w:p w:rsidR="00000000" w:rsidRPr="000013AE" w:rsidP="000013AE">
            <w:pPr>
              <w:pStyle w:val="List2"/>
            </w:pPr>
            <w:r w:rsidRPr="000013AE">
              <w:t>1.2.</w:t>
            </w:r>
            <w:r w:rsidRPr="000013AE">
              <w:tab/>
              <w:t>Specify policy and coordinate review and approval</w:t>
            </w:r>
          </w:p>
          <w:p w:rsidR="00000000" w:rsidRPr="000013AE" w:rsidP="000013AE">
            <w:pPr>
              <w:pStyle w:val="List2"/>
            </w:pPr>
            <w:r w:rsidRPr="000013AE">
              <w:t>1.3.</w:t>
            </w:r>
            <w:r w:rsidRPr="000013AE">
              <w:tab/>
            </w:r>
            <w:r w:rsidRPr="000013AE">
              <w:t>Report compliance of data security policies to management</w:t>
            </w:r>
          </w:p>
          <w:p w:rsidR="00000000" w:rsidP="000013AE">
            <w:pPr>
              <w:pStyle w:val="List2"/>
              <w:rPr>
                <w:lang w:val="en-NZ"/>
              </w:rPr>
            </w:pPr>
            <w:r w:rsidRPr="000013AE">
              <w:t>1.4.</w:t>
            </w:r>
            <w:r w:rsidRPr="000013AE">
              <w:tab/>
              <w:t>Implement appropriate changes and improvement actions as required</w:t>
            </w:r>
          </w:p>
        </w:tc>
      </w:tr>
      <w:tr w:rsidTr="00920B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List"/>
              <w:rPr>
                <w:lang w:val="en-NZ"/>
              </w:rPr>
            </w:pPr>
            <w:r w:rsidRPr="000013AE">
              <w:t>2.</w:t>
            </w:r>
            <w:r w:rsidRPr="000013AE">
              <w:tab/>
              <w:t>Manage enterprise continuity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2"/>
            </w:pPr>
            <w:r w:rsidRPr="000013AE">
              <w:t>2.1.</w:t>
            </w:r>
            <w:r w:rsidRPr="000013AE">
              <w:tab/>
              <w:t>Coordinate with corporate stakeholders to establish the enterprise continuity of operatio</w:t>
            </w:r>
            <w:r w:rsidRPr="000013AE">
              <w:t>ns program</w:t>
            </w:r>
          </w:p>
          <w:p w:rsidR="00000000" w:rsidRPr="000013AE" w:rsidP="000013AE">
            <w:pPr>
              <w:pStyle w:val="List2"/>
            </w:pPr>
            <w:r w:rsidRPr="000013AE">
              <w:t>2.2.</w:t>
            </w:r>
            <w:r w:rsidRPr="000013AE">
              <w:tab/>
              <w:t>Acquire the necessary resources, including financial resources, to conduct an effective enterprise continuity of operations program</w:t>
            </w:r>
          </w:p>
          <w:p w:rsidR="00000000" w:rsidRPr="000013AE" w:rsidP="000013AE">
            <w:pPr>
              <w:pStyle w:val="List2"/>
            </w:pPr>
            <w:r w:rsidRPr="000013AE">
              <w:t>2.3.</w:t>
            </w:r>
            <w:r w:rsidRPr="000013AE">
              <w:tab/>
              <w:t>Define the enterprise continuity of operations organizational structure and staffing model</w:t>
            </w:r>
          </w:p>
          <w:p w:rsidR="00000000" w:rsidRPr="000013AE" w:rsidP="000013AE">
            <w:pPr>
              <w:pStyle w:val="List2"/>
            </w:pPr>
            <w:r w:rsidRPr="000013AE">
              <w:t>2.4.</w:t>
            </w:r>
            <w:r w:rsidRPr="000013AE">
              <w:tab/>
              <w:t xml:space="preserve">Define </w:t>
            </w:r>
            <w:r w:rsidRPr="000013AE">
              <w:t>emergency delegations of authority and orders of succession for key positions</w:t>
            </w:r>
          </w:p>
          <w:p w:rsidR="00000000" w:rsidRPr="000013AE" w:rsidP="000013AE">
            <w:pPr>
              <w:pStyle w:val="List2"/>
            </w:pPr>
            <w:r w:rsidRPr="000013AE">
              <w:t>2.5.</w:t>
            </w:r>
            <w:r w:rsidRPr="000013AE">
              <w:tab/>
              <w:t>Direct contingency planning, operations, and programs to manage risk</w:t>
            </w:r>
          </w:p>
          <w:p w:rsidR="00000000" w:rsidRPr="000013AE" w:rsidP="000013AE">
            <w:pPr>
              <w:pStyle w:val="List2"/>
            </w:pPr>
            <w:r w:rsidRPr="000013AE">
              <w:t>2.6.</w:t>
            </w:r>
            <w:r w:rsidRPr="000013AE">
              <w:tab/>
              <w:t>Define the scope of the enterprise continuity of operations program to address business continuity,</w:t>
            </w:r>
            <w:r w:rsidRPr="000013AE">
              <w:t xml:space="preserve"> business recovery, contingency planning, and disaster recovery and related activities</w:t>
            </w:r>
          </w:p>
          <w:p w:rsidR="00000000" w:rsidRPr="000013AE" w:rsidP="000013AE">
            <w:pPr>
              <w:pStyle w:val="List2"/>
            </w:pPr>
            <w:r w:rsidRPr="000013AE">
              <w:t>2.7.</w:t>
            </w:r>
            <w:r w:rsidRPr="000013AE">
              <w:tab/>
              <w:t>Integrate enterprise concept of operations activities with related contingency planning activities</w:t>
            </w:r>
          </w:p>
          <w:p w:rsidR="00000000" w:rsidRPr="000013AE" w:rsidP="000013AE">
            <w:pPr>
              <w:pStyle w:val="List2"/>
            </w:pPr>
            <w:r w:rsidRPr="000013AE">
              <w:t>2.8.</w:t>
            </w:r>
            <w:r w:rsidRPr="000013AE">
              <w:tab/>
              <w:t>Establish an enterprise continuity of operations performance</w:t>
            </w:r>
            <w:r w:rsidRPr="000013AE">
              <w:t xml:space="preserve"> measurement program</w:t>
            </w:r>
          </w:p>
          <w:p w:rsidR="00000000" w:rsidRPr="000013AE" w:rsidP="000013AE">
            <w:pPr>
              <w:pStyle w:val="List2"/>
            </w:pPr>
            <w:r w:rsidRPr="000013AE">
              <w:t>2.9.</w:t>
            </w:r>
            <w:r w:rsidRPr="000013AE">
              <w:tab/>
              <w:t>Identify and prioritize critical business functions</w:t>
            </w:r>
          </w:p>
          <w:p w:rsidR="00000000" w:rsidP="000013AE">
            <w:pPr>
              <w:pStyle w:val="List2"/>
              <w:rPr>
                <w:lang w:val="en-NZ"/>
              </w:rPr>
            </w:pPr>
            <w:r w:rsidRPr="000013AE">
              <w:t>2.10.</w:t>
            </w:r>
            <w:r w:rsidRPr="000013AE">
              <w:tab/>
              <w:t>Implement appropriate changes and improvement actions as required</w:t>
            </w:r>
          </w:p>
        </w:tc>
      </w:tr>
      <w:tr w:rsidTr="00920B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List"/>
              <w:rPr>
                <w:lang w:val="en-NZ"/>
              </w:rPr>
            </w:pPr>
            <w:r w:rsidRPr="000013AE">
              <w:t>3.</w:t>
            </w:r>
            <w:r w:rsidRPr="000013AE">
              <w:tab/>
              <w:t xml:space="preserve">Manage incidents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2"/>
            </w:pPr>
            <w:r w:rsidRPr="000013AE">
              <w:t>3.1.</w:t>
            </w:r>
            <w:r w:rsidRPr="000013AE">
              <w:tab/>
              <w:t>Coordinate with stakeholders to establish the incident management program</w:t>
            </w:r>
          </w:p>
          <w:p w:rsidR="00000000" w:rsidRPr="000013AE" w:rsidP="000013AE">
            <w:pPr>
              <w:pStyle w:val="List2"/>
            </w:pPr>
            <w:r w:rsidRPr="000013AE">
              <w:t>3.2.</w:t>
            </w:r>
            <w:r w:rsidRPr="000013AE">
              <w:tab/>
            </w:r>
            <w:r w:rsidRPr="000013AE">
              <w:t xml:space="preserve">Establish relationships between the incident response team and </w:t>
            </w:r>
            <w:r w:rsidRPr="000013AE">
              <w:rPr>
                <w:rStyle w:val="BoldandItalics"/>
              </w:rPr>
              <w:t>other groups</w:t>
            </w:r>
          </w:p>
          <w:p w:rsidR="00000000" w:rsidRPr="000013AE" w:rsidP="000013AE">
            <w:pPr>
              <w:pStyle w:val="List2"/>
            </w:pPr>
            <w:r w:rsidRPr="000013AE">
              <w:t>3.3.</w:t>
            </w:r>
            <w:r w:rsidRPr="000013AE">
              <w:tab/>
              <w:t xml:space="preserve">Acquire and manage the </w:t>
            </w:r>
            <w:r w:rsidRPr="000013AE">
              <w:rPr>
                <w:rStyle w:val="BoldandItalics"/>
              </w:rPr>
              <w:t>resources</w:t>
            </w:r>
            <w:r w:rsidRPr="000013AE">
              <w:t>, including financial resources, for the incident management functions</w:t>
            </w:r>
          </w:p>
          <w:p w:rsidR="00000000" w:rsidRPr="000013AE" w:rsidP="000013AE">
            <w:pPr>
              <w:pStyle w:val="List2"/>
            </w:pPr>
            <w:r w:rsidRPr="000013AE">
              <w:t>3.4.</w:t>
            </w:r>
            <w:r w:rsidRPr="000013AE">
              <w:tab/>
            </w:r>
            <w:r w:rsidRPr="000013AE">
              <w:t>Ensure the coordination between the incident response team and the security administration and technical support teams</w:t>
            </w:r>
          </w:p>
          <w:p w:rsidR="00000000" w:rsidRPr="000013AE" w:rsidP="000013AE">
            <w:pPr>
              <w:pStyle w:val="List2"/>
            </w:pPr>
            <w:r w:rsidRPr="000013AE">
              <w:t>3.5.</w:t>
            </w:r>
            <w:r w:rsidRPr="000013AE">
              <w:tab/>
              <w:t>Apply lessons learned from information security incidents to improve incident management processes and procedures</w:t>
            </w:r>
          </w:p>
          <w:p w:rsidR="00000000" w:rsidP="000013AE">
            <w:pPr>
              <w:pStyle w:val="List2"/>
              <w:rPr>
                <w:lang w:val="en-NZ"/>
              </w:rPr>
            </w:pPr>
            <w:r w:rsidRPr="000013AE">
              <w:t>3.6.</w:t>
            </w:r>
            <w:r w:rsidRPr="000013AE">
              <w:tab/>
              <w:t>Implement app</w:t>
            </w:r>
            <w:r w:rsidRPr="000013AE">
              <w:t>ropriate changes and improvement actions as required</w:t>
            </w:r>
          </w:p>
        </w:tc>
      </w:tr>
      <w:tr w:rsidTr="00920B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List"/>
              <w:rPr>
                <w:lang w:val="en-NZ"/>
              </w:rPr>
            </w:pPr>
            <w:r w:rsidRPr="000013AE">
              <w:t>4.</w:t>
            </w:r>
            <w:r w:rsidRPr="000013AE">
              <w:tab/>
              <w:t>Manage networks and telecommunications security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2"/>
            </w:pPr>
            <w:r w:rsidRPr="000013AE">
              <w:t>4.1.</w:t>
            </w:r>
            <w:r w:rsidRPr="000013AE">
              <w:tab/>
              <w:t>Establish a network security and telecommunications program in line with enterprise policy and security goals</w:t>
            </w:r>
          </w:p>
          <w:p w:rsidR="00000000" w:rsidRPr="000013AE" w:rsidP="000013AE">
            <w:pPr>
              <w:pStyle w:val="List2"/>
            </w:pPr>
            <w:r w:rsidRPr="000013AE">
              <w:t>4.2.</w:t>
            </w:r>
            <w:r w:rsidRPr="000013AE">
              <w:tab/>
              <w:t>Manage the necessary resources,</w:t>
            </w:r>
            <w:r w:rsidRPr="000013AE">
              <w:t xml:space="preserve"> including financial resources, to establish and maintain an effective network security and telecommunications program</w:t>
            </w:r>
          </w:p>
          <w:p w:rsidR="00000000" w:rsidRPr="000013AE" w:rsidP="000013AE">
            <w:pPr>
              <w:pStyle w:val="List2"/>
            </w:pPr>
            <w:r w:rsidRPr="000013AE">
              <w:t>4.3.</w:t>
            </w:r>
            <w:r w:rsidRPr="000013AE">
              <w:tab/>
              <w:t>Direct network security and telecommunications personnel</w:t>
            </w:r>
          </w:p>
          <w:p w:rsidR="00000000" w:rsidRPr="000013AE" w:rsidP="000013AE">
            <w:pPr>
              <w:pStyle w:val="List2"/>
            </w:pPr>
            <w:r w:rsidRPr="000013AE">
              <w:t>4.4.</w:t>
            </w:r>
            <w:r w:rsidRPr="000013AE">
              <w:tab/>
              <w:t>Establish communications between the network security and telecommunic</w:t>
            </w:r>
            <w:r w:rsidRPr="000013AE">
              <w:t xml:space="preserve">ations team and </w:t>
            </w:r>
            <w:r w:rsidRPr="000013AE">
              <w:rPr>
                <w:rStyle w:val="BoldandItalics"/>
              </w:rPr>
              <w:t>related security teams</w:t>
            </w:r>
            <w:r w:rsidRPr="000013AE">
              <w:t xml:space="preserve"> </w:t>
            </w:r>
          </w:p>
          <w:p w:rsidR="00000000" w:rsidRPr="000013AE" w:rsidP="000013AE">
            <w:pPr>
              <w:pStyle w:val="List2"/>
            </w:pPr>
            <w:r w:rsidRPr="000013AE">
              <w:t>4.5.</w:t>
            </w:r>
            <w:r w:rsidRPr="000013AE">
              <w:tab/>
              <w:t>Integrate network security and telecommunications program activities with technical support, security administration, and incident response activities</w:t>
            </w:r>
          </w:p>
          <w:p w:rsidR="00000000" w:rsidRPr="000013AE" w:rsidP="000013AE">
            <w:pPr>
              <w:pStyle w:val="List2"/>
            </w:pPr>
            <w:r w:rsidRPr="000013AE">
              <w:t>4.6.</w:t>
            </w:r>
            <w:r w:rsidRPr="000013AE">
              <w:tab/>
              <w:t>Establish a network security and telecommunications per</w:t>
            </w:r>
            <w:r w:rsidRPr="000013AE">
              <w:t>formance measurement program</w:t>
            </w:r>
          </w:p>
          <w:p w:rsidR="00000000" w:rsidRPr="000013AE" w:rsidP="000013AE">
            <w:pPr>
              <w:pStyle w:val="List2"/>
            </w:pPr>
            <w:r w:rsidRPr="000013AE">
              <w:t>4.7.</w:t>
            </w:r>
            <w:r w:rsidRPr="000013AE">
              <w:tab/>
              <w:t xml:space="preserve">Ensure enterprise compliance with </w:t>
            </w:r>
            <w:r w:rsidRPr="000013AE">
              <w:rPr>
                <w:rStyle w:val="BoldandItalics"/>
              </w:rPr>
              <w:t>applicable network</w:t>
            </w:r>
            <w:r w:rsidRPr="000013AE">
              <w:t>-</w:t>
            </w:r>
            <w:r w:rsidRPr="000013AE">
              <w:rPr>
                <w:rStyle w:val="BoldandItalics"/>
              </w:rPr>
              <w:t>based documents</w:t>
            </w:r>
            <w:r w:rsidRPr="000013AE">
              <w:t xml:space="preserve"> </w:t>
            </w:r>
          </w:p>
          <w:p w:rsidR="00000000" w:rsidRPr="000013AE" w:rsidP="000013AE">
            <w:pPr>
              <w:pStyle w:val="List2"/>
            </w:pPr>
            <w:r w:rsidRPr="000013AE">
              <w:t>4.8.</w:t>
            </w:r>
            <w:r w:rsidRPr="000013AE">
              <w:tab/>
              <w:t>Ensure that network-based audits and management reviews are conducted to implement process improvement</w:t>
            </w:r>
          </w:p>
          <w:p w:rsidR="00000000" w:rsidP="000013AE">
            <w:pPr>
              <w:pStyle w:val="List2"/>
              <w:rPr>
                <w:lang w:val="en-NZ"/>
              </w:rPr>
            </w:pPr>
            <w:r w:rsidRPr="000013AE">
              <w:t>4.9.</w:t>
            </w:r>
            <w:r w:rsidRPr="000013AE">
              <w:tab/>
              <w:t>Implement appropriate improvement actio</w:t>
            </w:r>
            <w:r w:rsidRPr="000013AE">
              <w:t>ns, as required</w:t>
            </w:r>
          </w:p>
        </w:tc>
      </w:tr>
      <w:tr w:rsidTr="00920B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List"/>
              <w:rPr>
                <w:lang w:val="en-NZ"/>
              </w:rPr>
            </w:pPr>
            <w:r w:rsidRPr="000013AE">
              <w:t>5.</w:t>
            </w:r>
            <w:r w:rsidRPr="000013AE">
              <w:tab/>
              <w:t>Manage system and application security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2"/>
            </w:pPr>
            <w:r w:rsidRPr="000013AE">
              <w:t>5.1.</w:t>
            </w:r>
            <w:r w:rsidRPr="000013AE">
              <w:tab/>
              <w:t>Establish the IT system and application security engineering program</w:t>
            </w:r>
          </w:p>
          <w:p w:rsidR="00000000" w:rsidRPr="000013AE" w:rsidP="000013AE">
            <w:pPr>
              <w:pStyle w:val="List2"/>
            </w:pPr>
            <w:r w:rsidRPr="000013AE">
              <w:t>5.2.</w:t>
            </w:r>
            <w:r w:rsidRPr="000013AE">
              <w:tab/>
              <w:t>Acquire the necessary resources, including financial resources, to support the integration of security in the SDLC</w:t>
            </w:r>
          </w:p>
          <w:p w:rsidR="00000000" w:rsidRPr="000013AE" w:rsidP="000013AE">
            <w:pPr>
              <w:pStyle w:val="List2"/>
            </w:pPr>
            <w:r w:rsidRPr="000013AE">
              <w:t>5.3</w:t>
            </w:r>
            <w:r w:rsidRPr="000013AE">
              <w:t>.</w:t>
            </w:r>
            <w:r w:rsidRPr="000013AE">
              <w:tab/>
              <w:t>Guide IT security personnel through the SDLC phases</w:t>
            </w:r>
          </w:p>
          <w:p w:rsidR="00000000" w:rsidRPr="000013AE" w:rsidP="000013AE">
            <w:pPr>
              <w:pStyle w:val="List2"/>
            </w:pPr>
            <w:r w:rsidRPr="000013AE">
              <w:t>5.4.</w:t>
            </w:r>
            <w:r w:rsidRPr="000013AE">
              <w:tab/>
              <w:t>Define the scope of the IT security program as it applies to the application of SDLC</w:t>
            </w:r>
          </w:p>
          <w:p w:rsidR="00000000" w:rsidRPr="000013AE" w:rsidP="000013AE">
            <w:pPr>
              <w:pStyle w:val="List2"/>
            </w:pPr>
            <w:r w:rsidRPr="000013AE">
              <w:t>5.5.</w:t>
            </w:r>
            <w:r w:rsidRPr="000013AE">
              <w:tab/>
              <w:t>Plan the IT security program components into the SDLC</w:t>
            </w:r>
          </w:p>
        </w:tc>
      </w:tr>
    </w:tbl>
    <w:p w:rsidR="00920B77" w:rsidP="000013AE">
      <w:pPr>
        <w:pStyle w:val="BodyText"/>
      </w:pPr>
    </w:p>
    <w:p w:rsidR="00920B77" w:rsidP="000013AE">
      <w:pPr>
        <w:pStyle w:val="BodyText"/>
      </w:pPr>
    </w:p>
    <w:p w:rsidR="00000000" w:rsidRPr="000013AE" w:rsidP="000013AE">
      <w:pPr>
        <w:pStyle w:val="Heading1"/>
      </w:pPr>
      <w:bookmarkStart w:id="9" w:name="O_260347"/>
      <w:bookmarkEnd w:id="9"/>
      <w:r w:rsidRPr="000013AE">
        <w:t>Required Skills and Knowledge</w:t>
      </w:r>
    </w:p>
    <w:tbl>
      <w:tblPr>
        <w:tblW w:w="0" w:type="auto"/>
        <w:tblLayout w:type="fixed"/>
        <w:tblCellMar>
          <w:left w:w="62" w:type="dxa"/>
          <w:right w:w="62" w:type="dxa"/>
        </w:tblCellMar>
        <w:tblLook w:val="0000"/>
      </w:tblPr>
      <w:tblGrid>
        <w:gridCol w:w="8522"/>
      </w:tblGrid>
      <w:tr w:rsidTr="00920B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REQUIRED SKILLS AND KNOWLEDGE</w:t>
            </w:r>
          </w:p>
        </w:tc>
      </w:tr>
      <w:tr w:rsidTr="00920B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This section describes the skills and knowledge required for this unit.</w:t>
            </w:r>
          </w:p>
        </w:tc>
      </w:tr>
      <w:tr w:rsidTr="00920B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Required skills</w:t>
            </w:r>
          </w:p>
        </w:tc>
      </w:tr>
      <w:tr w:rsidTr="00920B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Bullet"/>
            </w:pPr>
            <w:r w:rsidRPr="000013AE">
              <w:t>leading and mentoring people to achieve project outcomes</w:t>
            </w:r>
          </w:p>
          <w:p w:rsidR="00000000" w:rsidRPr="000013AE" w:rsidP="000013AE">
            <w:pPr>
              <w:pStyle w:val="ListBullet"/>
            </w:pPr>
            <w:r w:rsidRPr="000013AE">
              <w:t>maintaining commitment of stakehold</w:t>
            </w:r>
            <w:r w:rsidRPr="000013AE">
              <w:t>ers and project teams</w:t>
            </w:r>
          </w:p>
          <w:p w:rsidR="00000000" w:rsidRPr="000013AE" w:rsidP="000013AE">
            <w:pPr>
              <w:pStyle w:val="ListBullet"/>
            </w:pPr>
            <w:r w:rsidRPr="000013AE">
              <w:t>negotiating with stakeholders and team members using a range of communication styles to suit different audiences and purposes</w:t>
            </w:r>
          </w:p>
          <w:p w:rsidR="00000000" w:rsidRPr="000013AE" w:rsidP="000013AE">
            <w:pPr>
              <w:pStyle w:val="ListBullet"/>
            </w:pPr>
            <w:r w:rsidRPr="000013AE">
              <w:t>responding to diversity, including gender and disability</w:t>
            </w:r>
          </w:p>
          <w:p w:rsidR="00000000" w:rsidRPr="000013AE" w:rsidP="000013AE">
            <w:pPr>
              <w:pStyle w:val="ListBullet"/>
            </w:pPr>
            <w:r w:rsidRPr="000013AE">
              <w:t>using management tools applicable to complex activi</w:t>
            </w:r>
            <w:r w:rsidRPr="000013AE">
              <w:t>ties</w:t>
            </w:r>
          </w:p>
          <w:p w:rsidR="00000000" w:rsidRPr="000013AE" w:rsidP="000013AE">
            <w:pPr>
              <w:pStyle w:val="ListBullet"/>
            </w:pPr>
            <w:r w:rsidRPr="000013AE">
              <w:t>applying risk management techniques including risk sharing and transfer</w:t>
            </w:r>
          </w:p>
          <w:p w:rsidR="00000000" w:rsidRPr="000013AE" w:rsidP="000013AE">
            <w:pPr>
              <w:pStyle w:val="ListBullet"/>
            </w:pPr>
            <w:r w:rsidRPr="000013AE">
              <w:t xml:space="preserve">managing finances </w:t>
            </w:r>
          </w:p>
          <w:p w:rsidR="00000000" w:rsidRPr="000013AE" w:rsidP="000013AE">
            <w:pPr>
              <w:pStyle w:val="ListBullet"/>
            </w:pPr>
            <w:r w:rsidRPr="000013AE">
              <w:t xml:space="preserve">applying ethical decision making and problem solving </w:t>
            </w:r>
          </w:p>
          <w:p w:rsidR="00000000" w:rsidRPr="000013AE" w:rsidP="000013AE">
            <w:pPr>
              <w:pStyle w:val="ListBullet"/>
            </w:pPr>
            <w:r w:rsidRPr="000013AE">
              <w:t>writing recommendations and preparing reports requiring precision of expression</w:t>
            </w:r>
          </w:p>
          <w:p w:rsidR="00000000" w:rsidRPr="000013AE" w:rsidP="000013AE">
            <w:pPr>
              <w:pStyle w:val="ListBullet"/>
            </w:pPr>
            <w:r w:rsidRPr="000013AE">
              <w:t xml:space="preserve">applying workplace safety </w:t>
            </w:r>
            <w:r w:rsidRPr="000013AE">
              <w:t>procedures in line with requirements</w:t>
            </w:r>
          </w:p>
          <w:p w:rsidR="00000000" w:rsidP="000013AE">
            <w:pPr>
              <w:pStyle w:val="ListBullet"/>
              <w:rPr>
                <w:lang w:val="en-NZ"/>
              </w:rPr>
            </w:pPr>
            <w:r w:rsidRPr="000013AE">
              <w:t>accessing/preparing information electronically or in hard copy</w:t>
            </w:r>
          </w:p>
        </w:tc>
      </w:tr>
      <w:tr w:rsidTr="00920B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Required knowledge</w:t>
            </w:r>
          </w:p>
        </w:tc>
      </w:tr>
      <w:tr w:rsidTr="00920B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Bullet"/>
            </w:pPr>
            <w:r w:rsidRPr="000013AE">
              <w:t>legislation, organisational/jurisdictional policies and procedures that may impact on management:</w:t>
            </w:r>
          </w:p>
          <w:p w:rsidR="00000000" w:rsidRPr="000013AE" w:rsidP="000013AE">
            <w:pPr>
              <w:pStyle w:val="ListBullet2"/>
            </w:pPr>
            <w:r w:rsidRPr="000013AE">
              <w:t>codes of ethics/conduct</w:t>
            </w:r>
          </w:p>
          <w:p w:rsidR="00000000" w:rsidRPr="000013AE" w:rsidP="000013AE">
            <w:pPr>
              <w:pStyle w:val="ListBullet2"/>
            </w:pPr>
            <w:r w:rsidRPr="000013AE">
              <w:t>occupational health and safety and environment requirements</w:t>
            </w:r>
          </w:p>
          <w:p w:rsidR="00000000" w:rsidRPr="000013AE" w:rsidP="000013AE">
            <w:pPr>
              <w:pStyle w:val="ListBullet2"/>
            </w:pPr>
            <w:r w:rsidRPr="000013AE">
              <w:t>governance requirements</w:t>
            </w:r>
          </w:p>
          <w:p w:rsidR="00000000" w:rsidRPr="000013AE" w:rsidP="000013AE">
            <w:pPr>
              <w:pStyle w:val="ListBullet2"/>
            </w:pPr>
            <w:r w:rsidRPr="000013AE">
              <w:t>quality standards</w:t>
            </w:r>
          </w:p>
          <w:p w:rsidR="00000000" w:rsidRPr="000013AE" w:rsidP="000013AE">
            <w:pPr>
              <w:pStyle w:val="ListBullet2"/>
            </w:pPr>
            <w:r w:rsidRPr="000013AE">
              <w:t>risk management</w:t>
            </w:r>
          </w:p>
          <w:p w:rsidR="00000000" w:rsidRPr="000013AE" w:rsidP="000013AE">
            <w:pPr>
              <w:pStyle w:val="ListBullet2"/>
            </w:pPr>
            <w:r w:rsidRPr="000013AE">
              <w:t>procurement guidelines</w:t>
            </w:r>
          </w:p>
          <w:p w:rsidR="00000000" w:rsidRPr="000013AE" w:rsidP="000013AE">
            <w:pPr>
              <w:pStyle w:val="ListBullet2"/>
            </w:pPr>
            <w:r w:rsidRPr="000013AE">
              <w:t>budgetary framework</w:t>
            </w:r>
          </w:p>
          <w:p w:rsidR="00000000" w:rsidRPr="000013AE" w:rsidP="000013AE">
            <w:pPr>
              <w:pStyle w:val="ListBullet2"/>
            </w:pPr>
            <w:r w:rsidRPr="000013AE">
              <w:t>financial management requirements</w:t>
            </w:r>
          </w:p>
          <w:p w:rsidR="00000000" w:rsidRPr="000013AE" w:rsidP="000013AE">
            <w:pPr>
              <w:pStyle w:val="ListBullet2"/>
            </w:pPr>
            <w:r w:rsidRPr="000013AE">
              <w:t>human resources</w:t>
            </w:r>
          </w:p>
          <w:p w:rsidR="00000000" w:rsidRPr="000013AE" w:rsidP="000013AE">
            <w:pPr>
              <w:pStyle w:val="ListBullet2"/>
            </w:pPr>
            <w:r w:rsidRPr="000013AE">
              <w:t>public relations</w:t>
            </w:r>
          </w:p>
          <w:p w:rsidR="00000000" w:rsidRPr="000013AE" w:rsidP="000013AE">
            <w:pPr>
              <w:pStyle w:val="ListBullet2"/>
            </w:pPr>
            <w:r w:rsidRPr="000013AE">
              <w:t>equal employment opportunity</w:t>
            </w:r>
            <w:r w:rsidRPr="000013AE">
              <w:t>, equity and diversity principles</w:t>
            </w:r>
          </w:p>
          <w:p w:rsidR="00000000" w:rsidRPr="000013AE" w:rsidP="000013AE">
            <w:pPr>
              <w:pStyle w:val="ListBullet"/>
            </w:pPr>
            <w:r w:rsidRPr="000013AE">
              <w:t>management specifications and objectives</w:t>
            </w:r>
          </w:p>
          <w:p w:rsidR="00000000" w:rsidRPr="000013AE" w:rsidP="000013AE">
            <w:pPr>
              <w:pStyle w:val="ListBullet"/>
            </w:pPr>
            <w:r w:rsidRPr="000013AE">
              <w:t>management tools and techniques suited to a range of complex projects activities</w:t>
            </w:r>
          </w:p>
          <w:p w:rsidR="00000000" w:rsidRPr="000013AE" w:rsidP="000013AE">
            <w:pPr>
              <w:pStyle w:val="ListBullet"/>
            </w:pPr>
            <w:r w:rsidRPr="000013AE">
              <w:t>management systems</w:t>
            </w:r>
          </w:p>
          <w:p w:rsidR="00000000" w:rsidRPr="000013AE" w:rsidP="000013AE">
            <w:pPr>
              <w:pStyle w:val="ListBullet"/>
            </w:pPr>
            <w:r w:rsidRPr="000013AE">
              <w:t>organisational and political context</w:t>
            </w:r>
          </w:p>
          <w:p w:rsidR="00000000" w:rsidRPr="000013AE" w:rsidP="000013AE">
            <w:pPr>
              <w:pStyle w:val="ListBullet"/>
            </w:pPr>
            <w:r w:rsidRPr="000013AE">
              <w:t>critical analysis in a management context</w:t>
            </w:r>
          </w:p>
          <w:p w:rsidR="00000000" w:rsidRPr="000013AE" w:rsidP="000013AE">
            <w:pPr>
              <w:pStyle w:val="ListBullet"/>
            </w:pPr>
            <w:r w:rsidRPr="000013AE">
              <w:t>cost schedule control systems to handle potential budget blow-outs</w:t>
            </w:r>
          </w:p>
          <w:p w:rsidR="00000000" w:rsidRPr="000013AE" w:rsidP="000013AE">
            <w:pPr>
              <w:pStyle w:val="ListBullet"/>
            </w:pPr>
            <w:r w:rsidRPr="000013AE">
              <w:t>business and commercial issues related to the management</w:t>
            </w:r>
          </w:p>
        </w:tc>
      </w:tr>
    </w:tbl>
    <w:p w:rsidR="00920B77" w:rsidP="000013AE">
      <w:pPr>
        <w:pStyle w:val="BodyText"/>
      </w:pPr>
    </w:p>
    <w:p w:rsidR="00920B77" w:rsidP="000013AE">
      <w:pPr>
        <w:pStyle w:val="BodyText"/>
      </w:pPr>
    </w:p>
    <w:p w:rsidR="00000000" w:rsidRPr="000013AE" w:rsidP="000013AE">
      <w:pPr>
        <w:pStyle w:val="AllowPageBreak"/>
      </w:pPr>
    </w:p>
    <w:p w:rsidR="00000000" w:rsidRPr="000013AE" w:rsidP="000013AE">
      <w:pPr>
        <w:pStyle w:val="Heading1"/>
      </w:pPr>
      <w:bookmarkStart w:id="10" w:name="O_244381"/>
      <w:bookmarkEnd w:id="10"/>
      <w:r w:rsidRPr="000013AE">
        <w:t>Evidence Guide</w:t>
      </w:r>
    </w:p>
    <w:tbl>
      <w:tblPr>
        <w:tblW w:w="9570" w:type="dxa"/>
        <w:tblLayout w:type="fixed"/>
        <w:tblCellMar>
          <w:left w:w="62" w:type="dxa"/>
          <w:right w:w="62" w:type="dxa"/>
        </w:tblCellMar>
        <w:tblLook w:val="0000"/>
      </w:tblPr>
      <w:tblGrid>
        <w:gridCol w:w="3908"/>
        <w:gridCol w:w="5662"/>
      </w:tblGrid>
      <w:tr w:rsidTr="00920B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EVIDENCE GUIDE</w:t>
            </w:r>
          </w:p>
        </w:tc>
      </w:tr>
      <w:tr w:rsidTr="00920B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The evidence guide provides advice on assessment and must be read in conjunction with the performance criteria, required skills and knowledge, range statement and the Assessment Guidelines for the Training Package.</w:t>
            </w:r>
          </w:p>
        </w:tc>
      </w:tr>
      <w:tr w:rsidTr="00920B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p>
        </w:tc>
      </w:tr>
      <w:tr w:rsidTr="00920B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Evidence of the following is essential:</w:t>
            </w:r>
          </w:p>
          <w:p w:rsidR="00000000" w:rsidRPr="000013AE" w:rsidP="000013AE">
            <w:pPr>
              <w:pStyle w:val="ListBullet"/>
            </w:pPr>
            <w:r w:rsidRPr="000013AE">
              <w:t>Manage data security</w:t>
            </w:r>
          </w:p>
          <w:p w:rsidR="00000000" w:rsidRPr="000013AE" w:rsidP="000013AE">
            <w:pPr>
              <w:pStyle w:val="ListBullet"/>
            </w:pPr>
            <w:r w:rsidRPr="000013AE">
              <w:t>Manage enterprise continuity</w:t>
            </w:r>
          </w:p>
          <w:p w:rsidR="00000000" w:rsidRPr="000013AE" w:rsidP="000013AE">
            <w:pPr>
              <w:pStyle w:val="ListBullet"/>
            </w:pPr>
            <w:r w:rsidRPr="000013AE">
              <w:t>Manage incidents</w:t>
            </w:r>
          </w:p>
          <w:p w:rsidR="00000000" w:rsidRPr="000013AE" w:rsidP="000013AE">
            <w:pPr>
              <w:pStyle w:val="ListBullet"/>
            </w:pPr>
            <w:r w:rsidRPr="000013AE">
              <w:t>Manage networks and telecommunications security</w:t>
            </w:r>
          </w:p>
          <w:p w:rsidR="00000000" w:rsidP="000013AE">
            <w:pPr>
              <w:pStyle w:val="ListBullet"/>
              <w:rPr>
                <w:lang w:val="en-NZ"/>
              </w:rPr>
            </w:pPr>
            <w:r w:rsidRPr="000013AE">
              <w:t>Manage system and application security</w:t>
            </w:r>
          </w:p>
        </w:tc>
      </w:tr>
      <w:tr w:rsidTr="00920B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Assessment must ensure:</w:t>
            </w:r>
          </w:p>
          <w:p w:rsidR="00000000" w:rsidRPr="000013AE" w:rsidP="000013AE">
            <w:pPr>
              <w:pStyle w:val="ListBullet"/>
            </w:pPr>
            <w:r w:rsidRPr="000013AE">
              <w:t xml:space="preserve">Specifying data policy and coordinate review </w:t>
            </w:r>
          </w:p>
          <w:p w:rsidR="00000000" w:rsidRPr="000013AE" w:rsidP="000013AE">
            <w:pPr>
              <w:pStyle w:val="ListBullet"/>
            </w:pPr>
            <w:r w:rsidRPr="000013AE">
              <w:t>Direct contingency planning, operations, and programs to manage risk</w:t>
            </w:r>
          </w:p>
          <w:p w:rsidR="00000000" w:rsidRPr="000013AE" w:rsidP="000013AE">
            <w:pPr>
              <w:pStyle w:val="ListBullet"/>
            </w:pPr>
            <w:r w:rsidRPr="000013AE">
              <w:t>Manage the necessary resour</w:t>
            </w:r>
            <w:r w:rsidRPr="000013AE">
              <w:t>ces, including financial resources, to establish and maintain an effective network security and telecommunications program</w:t>
            </w:r>
          </w:p>
          <w:p w:rsidR="00000000" w:rsidRPr="000013AE" w:rsidP="000013AE">
            <w:pPr>
              <w:pStyle w:val="ListBullet"/>
            </w:pPr>
            <w:r w:rsidRPr="000013AE">
              <w:t>Establish the IT system and application security engineering program</w:t>
            </w:r>
          </w:p>
          <w:p w:rsidR="00000000" w:rsidRPr="000013AE" w:rsidP="000013AE">
            <w:pPr>
              <w:pStyle w:val="BodyText"/>
            </w:pPr>
          </w:p>
          <w:p w:rsidR="00000000" w:rsidRPr="000013AE" w:rsidP="000013AE">
            <w:pPr>
              <w:pStyle w:val="BodyText"/>
            </w:pPr>
            <w:r w:rsidRPr="000013AE">
              <w:t xml:space="preserve">To demonstrate competency in this unit the following resources </w:t>
            </w:r>
            <w:r w:rsidRPr="000013AE">
              <w:t>will be needed:</w:t>
            </w:r>
          </w:p>
          <w:p w:rsidR="00000000" w:rsidRPr="000013AE" w:rsidP="000013AE">
            <w:pPr>
              <w:pStyle w:val="ListBullet"/>
            </w:pPr>
            <w:r w:rsidRPr="000013AE">
              <w:t>IT business specifications</w:t>
            </w:r>
          </w:p>
          <w:p w:rsidR="00000000" w:rsidRPr="000013AE" w:rsidP="000013AE">
            <w:pPr>
              <w:pStyle w:val="ListBullet"/>
            </w:pPr>
            <w:r w:rsidRPr="000013AE">
              <w:t>Information on the security environment including relevant laws/legislation, existing organisational security policies, organisational expertise and knowledge</w:t>
            </w:r>
          </w:p>
          <w:p w:rsidR="00000000" w:rsidRPr="000013AE" w:rsidP="000013AE">
            <w:pPr>
              <w:pStyle w:val="ListBullet"/>
            </w:pPr>
            <w:r w:rsidRPr="000013AE">
              <w:t>Possible security environment also includes the threa</w:t>
            </w:r>
            <w:r w:rsidRPr="000013AE">
              <w:t>ts to security that are, or are held to be, present in the environment</w:t>
            </w:r>
          </w:p>
          <w:p w:rsidR="00000000" w:rsidRPr="000013AE" w:rsidP="000013AE">
            <w:pPr>
              <w:pStyle w:val="ListBullet"/>
            </w:pPr>
            <w:r w:rsidRPr="000013AE">
              <w:t>Risk analysis tools/methodologies</w:t>
            </w:r>
          </w:p>
          <w:p w:rsidR="00000000" w:rsidRPr="000013AE" w:rsidP="000013AE">
            <w:pPr>
              <w:pStyle w:val="ListBullet"/>
            </w:pPr>
            <w:r w:rsidRPr="000013AE">
              <w:t>IT security assurance specifications</w:t>
            </w:r>
          </w:p>
          <w:p w:rsidR="00000000" w:rsidP="000013AE">
            <w:pPr>
              <w:pStyle w:val="ListBullet"/>
              <w:rPr>
                <w:lang w:val="en-NZ"/>
              </w:rPr>
            </w:pPr>
            <w:r w:rsidRPr="000013AE">
              <w:t>Management related scenarios</w:t>
            </w:r>
          </w:p>
        </w:tc>
      </w:tr>
      <w:tr w:rsidTr="00920B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 xml:space="preserve">The following assessment method is appropriate for this unit: </w:t>
            </w:r>
          </w:p>
          <w:p w:rsidR="00000000" w:rsidRPr="000013AE" w:rsidP="000013AE">
            <w:pPr>
              <w:pStyle w:val="ListBullet"/>
            </w:pPr>
            <w:r w:rsidRPr="000013AE">
              <w:t>The purpose of this unit is to define the standard of performance to be achieved in the workplace. In undertaking training and assessment activities related to this unit, consideration should be given to the implementation of appropriate diversity and acc</w:t>
            </w:r>
            <w:r w:rsidRPr="000013AE">
              <w:t>essibility practices in order to accommodate people who may have special needs. Additional guidance on these and related matters is provided in ICA05 Section 1.</w:t>
            </w:r>
          </w:p>
          <w:p w:rsidR="00000000" w:rsidRPr="000013AE" w:rsidP="000013AE">
            <w:pPr>
              <w:pStyle w:val="ListBullet"/>
            </w:pPr>
            <w:r w:rsidRPr="000013AE">
              <w:t xml:space="preserve">Competency in this unit should to be assessed using summative assessment to ensure consistency </w:t>
            </w:r>
            <w:r w:rsidRPr="000013AE">
              <w:t>of performance in a range of contexts. This unit can be assessed either in the workplace or in a simulated environment. However, simulated activities must closely reflect the workplace to enable full demonstration of competency.</w:t>
            </w:r>
          </w:p>
          <w:p w:rsidR="00000000" w:rsidRPr="000013AE" w:rsidP="000013AE">
            <w:pPr>
              <w:pStyle w:val="BodyText"/>
            </w:pPr>
          </w:p>
          <w:p w:rsidR="00000000" w:rsidP="000013AE">
            <w:pPr>
              <w:pStyle w:val="BodyText"/>
              <w:rPr>
                <w:lang w:val="en-NZ"/>
              </w:rPr>
            </w:pPr>
            <w:r w:rsidRPr="000013AE">
              <w:t>Assessment will usually in</w:t>
            </w:r>
            <w:r w:rsidRPr="000013AE">
              <w:t>clude observation of real or simulated work processes and procedures and/or performance in a project context as well as questioning on underpinning knowledge and skills. The questioning of team members, supervisors, subordinates, peers and clients where ap</w:t>
            </w:r>
            <w:r w:rsidRPr="000013AE">
              <w:t xml:space="preserve">propriate may provide valuable input to the assessment process. The interdependence of units for assessment purposes may vary with the particular project or scenario. </w:t>
            </w:r>
          </w:p>
        </w:tc>
      </w:tr>
      <w:tr w:rsidTr="00920B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Holistic assessment with other units relevant to th</w:t>
            </w:r>
            <w:r w:rsidRPr="000013AE">
              <w:t>e industry sector, workplace and job role is recommended.</w:t>
            </w:r>
          </w:p>
          <w:p w:rsidR="00000000" w:rsidRPr="000013AE" w:rsidP="000013AE">
            <w:pPr>
              <w:pStyle w:val="BodyText"/>
            </w:pPr>
          </w:p>
          <w:p w:rsidR="00000000" w:rsidRPr="000013AE" w:rsidP="000013AE">
            <w:pPr>
              <w:pStyle w:val="BodyText"/>
            </w:pPr>
            <w:r w:rsidRPr="000013AE">
              <w:t>The breadth, depth and complexity involving analysis, design, planning, execution and evaluation across a range of technical and/or management functions including development of new criteria or app</w:t>
            </w:r>
            <w:r w:rsidRPr="000013AE">
              <w:t>lications or knowledge or procedures would be characteristic.</w:t>
            </w:r>
          </w:p>
          <w:p w:rsidR="00000000" w:rsidRPr="000013AE" w:rsidP="000013AE">
            <w:pPr>
              <w:pStyle w:val="BodyText"/>
            </w:pPr>
          </w:p>
          <w:p w:rsidR="00000000" w:rsidRPr="000013AE" w:rsidP="000013AE">
            <w:pPr>
              <w:pStyle w:val="BodyText"/>
            </w:pPr>
            <w:r w:rsidRPr="000013AE">
              <w:t>The demonstration of competency may also require application of a significant range of fundamental principles and complex techniques across a wise and often unpredictable variety of contexts in</w:t>
            </w:r>
            <w:r w:rsidRPr="000013AE">
              <w:t xml:space="preserve"> relation to either varied or highly specific functions. Contribution to the development of a broad plan, budget or strategy may be involved and accountability and responsibility for self and others in achieving the outcomes may also be characteristic.</w:t>
            </w:r>
          </w:p>
          <w:p w:rsidR="00000000" w:rsidRPr="000013AE" w:rsidP="000013AE">
            <w:pPr>
              <w:pStyle w:val="BodyText"/>
            </w:pPr>
          </w:p>
          <w:p w:rsidR="00000000" w:rsidRPr="000013AE" w:rsidP="000013AE">
            <w:pPr>
              <w:pStyle w:val="BodyText"/>
            </w:pPr>
            <w:r w:rsidRPr="000013AE">
              <w:t>Applications involve significant judgement in planning, design, technical or leadership/guidance functions related to products, services, operations or procedures would be common.</w:t>
            </w:r>
          </w:p>
          <w:p w:rsidR="00000000" w:rsidRPr="000013AE" w:rsidP="000013AE">
            <w:pPr>
              <w:pStyle w:val="BodyText"/>
            </w:pPr>
          </w:p>
          <w:p w:rsidR="00000000" w:rsidRPr="000013AE" w:rsidP="000013AE">
            <w:pPr>
              <w:pStyle w:val="BodyText"/>
            </w:pPr>
            <w:r w:rsidRPr="000013AE">
              <w:t>An individual demonstrating this competency would be able to:</w:t>
            </w:r>
          </w:p>
          <w:p w:rsidR="00000000" w:rsidRPr="000013AE" w:rsidP="000013AE">
            <w:pPr>
              <w:pStyle w:val="ListBullet"/>
            </w:pPr>
            <w:r w:rsidRPr="000013AE">
              <w:t xml:space="preserve">Demonstrate </w:t>
            </w:r>
            <w:r w:rsidRPr="000013AE">
              <w:t>understanding of specialised knowledge with depth in some areas</w:t>
            </w:r>
          </w:p>
          <w:p w:rsidR="00000000" w:rsidRPr="000013AE" w:rsidP="000013AE">
            <w:pPr>
              <w:pStyle w:val="ListBullet"/>
            </w:pPr>
            <w:r w:rsidRPr="000013AE">
              <w:t>Analyse, diagnose, design and execute judgement across a broad range of technical or management functions</w:t>
            </w:r>
          </w:p>
          <w:p w:rsidR="00000000" w:rsidRPr="000013AE" w:rsidP="000013AE">
            <w:pPr>
              <w:pStyle w:val="ListBullet"/>
            </w:pPr>
            <w:r w:rsidRPr="000013AE">
              <w:t>Generate ideas through the analysis of information and concepts at an abstract level</w:t>
            </w:r>
          </w:p>
          <w:p w:rsidR="00000000" w:rsidRPr="000013AE" w:rsidP="000013AE">
            <w:pPr>
              <w:pStyle w:val="ListBullet"/>
            </w:pPr>
            <w:r w:rsidRPr="000013AE">
              <w:t>D</w:t>
            </w:r>
            <w:r w:rsidRPr="000013AE">
              <w:t>emonstrate a command of wide-ranging, highly specialised technical, creative or conceptual skills</w:t>
            </w:r>
          </w:p>
          <w:p w:rsidR="00000000" w:rsidRPr="000013AE" w:rsidP="000013AE">
            <w:pPr>
              <w:pStyle w:val="ListBullet"/>
            </w:pPr>
            <w:r w:rsidRPr="000013AE">
              <w:t>Demonstrate accountability for personal outputs within broad parameters</w:t>
            </w:r>
          </w:p>
          <w:p w:rsidR="00000000" w:rsidRPr="000013AE" w:rsidP="000013AE">
            <w:pPr>
              <w:pStyle w:val="ListBullet"/>
            </w:pPr>
            <w:r w:rsidRPr="000013AE">
              <w:t>Demonstrate accountability for personal and group outcomes within broad parameters</w:t>
            </w:r>
          </w:p>
          <w:p w:rsidR="00000000" w:rsidRPr="000013AE" w:rsidP="000013AE">
            <w:pPr>
              <w:pStyle w:val="ListBullet"/>
            </w:pPr>
            <w:r w:rsidRPr="000013AE">
              <w:t>Mai</w:t>
            </w:r>
            <w:r w:rsidRPr="000013AE">
              <w:t>ntain knowledge of industry products and services</w:t>
            </w:r>
          </w:p>
        </w:tc>
      </w:tr>
    </w:tbl>
    <w:p w:rsidR="00920B77" w:rsidP="000013AE">
      <w:pPr>
        <w:pStyle w:val="BodyText"/>
      </w:pPr>
    </w:p>
    <w:p w:rsidR="00920B77" w:rsidP="000013AE">
      <w:pPr>
        <w:pStyle w:val="BodyText"/>
      </w:pPr>
    </w:p>
    <w:p w:rsidR="00000000" w:rsidRPr="000013AE" w:rsidP="000013AE">
      <w:pPr>
        <w:pStyle w:val="Heading1"/>
      </w:pPr>
      <w:bookmarkStart w:id="11" w:name="O_252364"/>
      <w:bookmarkEnd w:id="11"/>
      <w:r w:rsidRPr="000013AE">
        <w:t>Range Statement</w:t>
      </w:r>
    </w:p>
    <w:tbl>
      <w:tblPr>
        <w:tblW w:w="0" w:type="auto"/>
        <w:tblLayout w:type="fixed"/>
        <w:tblCellMar>
          <w:left w:w="62" w:type="dxa"/>
          <w:right w:w="62" w:type="dxa"/>
        </w:tblCellMar>
        <w:tblLook w:val="0000"/>
      </w:tblPr>
      <w:tblGrid>
        <w:gridCol w:w="3441"/>
        <w:gridCol w:w="5081"/>
      </w:tblGrid>
      <w:tr w:rsidTr="00920B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RANGE STATEMENT</w:t>
            </w:r>
          </w:p>
        </w:tc>
      </w:tr>
      <w:tr w:rsidTr="00920B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t xml:space="preserve">The range statement relates to the unit of competency as a whole. It allows for different work environments and situations that may affect </w:t>
            </w:r>
            <w:r w:rsidRPr="000013AE">
              <w:t>performance. Bold italicised wording, if used in the performance criteria, is detailed below. Essential operating conditions that may be present with training and assessment (depending on the work situation, needs of the candidate, accessibility of the ite</w:t>
            </w:r>
            <w:r w:rsidRPr="000013AE">
              <w:t>m, and local industry and regional contexts) may also be included.</w:t>
            </w:r>
          </w:p>
        </w:tc>
      </w:tr>
      <w:tr w:rsidTr="00920B77">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Other groups may include</w:t>
            </w:r>
            <w:r w:rsidRPr="000013AE">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Bullet"/>
            </w:pPr>
            <w:r w:rsidRPr="000013AE">
              <w:t>internal, e.g.</w:t>
            </w:r>
          </w:p>
          <w:p w:rsidR="00000000" w:rsidRPr="000013AE" w:rsidP="000013AE">
            <w:pPr>
              <w:pStyle w:val="ListBullet2"/>
            </w:pPr>
            <w:r w:rsidRPr="000013AE">
              <w:t>legal department</w:t>
            </w:r>
          </w:p>
          <w:p w:rsidR="00000000" w:rsidRPr="000013AE" w:rsidP="000013AE">
            <w:pPr>
              <w:pStyle w:val="ListBullet2"/>
            </w:pPr>
            <w:r w:rsidRPr="000013AE">
              <w:t>HR</w:t>
            </w:r>
          </w:p>
          <w:p w:rsidR="00000000" w:rsidRPr="000013AE" w:rsidP="000013AE">
            <w:pPr>
              <w:pStyle w:val="ListBullet2"/>
            </w:pPr>
            <w:r w:rsidRPr="000013AE">
              <w:t>procurement</w:t>
            </w:r>
          </w:p>
          <w:p w:rsidR="00000000" w:rsidRPr="000013AE" w:rsidP="000013AE">
            <w:pPr>
              <w:pStyle w:val="ListBullet2"/>
            </w:pPr>
            <w:r w:rsidRPr="000013AE">
              <w:t>finance</w:t>
            </w:r>
          </w:p>
          <w:p w:rsidR="00000000" w:rsidRPr="000013AE" w:rsidP="000013AE">
            <w:pPr>
              <w:pStyle w:val="ListBullet"/>
            </w:pPr>
            <w:r w:rsidRPr="000013AE">
              <w:t>external, e.g.</w:t>
            </w:r>
          </w:p>
          <w:p w:rsidR="00000000" w:rsidRPr="000013AE" w:rsidP="000013AE">
            <w:pPr>
              <w:pStyle w:val="ListBullet2"/>
            </w:pPr>
            <w:r w:rsidRPr="000013AE">
              <w:t>law enforcement agencies</w:t>
            </w:r>
          </w:p>
          <w:p w:rsidR="00000000" w:rsidRPr="000013AE" w:rsidP="000013AE">
            <w:pPr>
              <w:pStyle w:val="ListBullet2"/>
            </w:pPr>
            <w:r w:rsidRPr="000013AE">
              <w:t>vendors</w:t>
            </w:r>
          </w:p>
          <w:p w:rsidR="00000000" w:rsidP="000013AE">
            <w:pPr>
              <w:pStyle w:val="ListBullet2"/>
              <w:rPr>
                <w:lang w:val="en-NZ"/>
              </w:rPr>
            </w:pPr>
            <w:r w:rsidRPr="000013AE">
              <w:t>public relations professionals</w:t>
            </w:r>
          </w:p>
        </w:tc>
      </w:tr>
      <w:tr w:rsidTr="00920B77">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Related security teams may include</w:t>
            </w:r>
            <w:r w:rsidRPr="000013AE">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Bullet"/>
            </w:pPr>
            <w:r w:rsidRPr="000013AE">
              <w:t>technical support</w:t>
            </w:r>
          </w:p>
          <w:p w:rsidR="00000000" w:rsidRPr="000013AE" w:rsidP="000013AE">
            <w:pPr>
              <w:pStyle w:val="ListBullet"/>
            </w:pPr>
            <w:r w:rsidRPr="000013AE">
              <w:t>security administration</w:t>
            </w:r>
          </w:p>
          <w:p w:rsidR="00000000" w:rsidP="000013AE">
            <w:pPr>
              <w:pStyle w:val="ListBullet"/>
              <w:rPr>
                <w:lang w:val="en-NZ"/>
              </w:rPr>
            </w:pPr>
            <w:r w:rsidRPr="000013AE">
              <w:t>incident response</w:t>
            </w:r>
          </w:p>
        </w:tc>
      </w:tr>
      <w:tr w:rsidTr="00920B77">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Applicable network-based documents</w:t>
            </w:r>
            <w:r w:rsidRPr="000013AE">
              <w:t xml:space="preserve"> </w:t>
            </w:r>
            <w:r w:rsidRPr="000013AE">
              <w:rPr>
                <w:rStyle w:val="SpecialBold"/>
              </w:rPr>
              <w:t>may include</w:t>
            </w:r>
            <w:r w:rsidRPr="000013AE">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ListBullet"/>
            </w:pPr>
            <w:r w:rsidRPr="000013AE">
              <w:t>standards</w:t>
            </w:r>
          </w:p>
          <w:p w:rsidR="00000000" w:rsidRPr="000013AE" w:rsidP="000013AE">
            <w:pPr>
              <w:pStyle w:val="ListBullet"/>
            </w:pPr>
            <w:r w:rsidRPr="000013AE">
              <w:t>procedures</w:t>
            </w:r>
          </w:p>
          <w:p w:rsidR="00000000" w:rsidRPr="000013AE" w:rsidP="000013AE">
            <w:pPr>
              <w:pStyle w:val="ListBullet"/>
            </w:pPr>
            <w:r w:rsidRPr="000013AE">
              <w:t>directives</w:t>
            </w:r>
          </w:p>
          <w:p w:rsidR="00000000" w:rsidRPr="000013AE" w:rsidP="000013AE">
            <w:pPr>
              <w:pStyle w:val="ListBullet"/>
            </w:pPr>
            <w:r w:rsidRPr="000013AE">
              <w:t>policies</w:t>
            </w:r>
          </w:p>
          <w:p w:rsidR="00000000" w:rsidRPr="000013AE" w:rsidP="000013AE">
            <w:pPr>
              <w:pStyle w:val="ListBullet"/>
            </w:pPr>
            <w:r w:rsidRPr="000013AE">
              <w:t>regulations</w:t>
            </w:r>
          </w:p>
          <w:p w:rsidR="00000000" w:rsidRPr="000013AE" w:rsidP="000013AE">
            <w:pPr>
              <w:pStyle w:val="ListBullet"/>
            </w:pPr>
            <w:r w:rsidRPr="000013AE">
              <w:t>laws</w:t>
            </w:r>
          </w:p>
        </w:tc>
      </w:tr>
    </w:tbl>
    <w:p w:rsidR="00920B77" w:rsidP="000013AE">
      <w:pPr>
        <w:pStyle w:val="BodyText"/>
      </w:pPr>
    </w:p>
    <w:p w:rsidR="00920B77" w:rsidP="000013AE">
      <w:pPr>
        <w:pStyle w:val="BodyText"/>
      </w:pPr>
    </w:p>
    <w:p w:rsidR="00000000" w:rsidRPr="000013AE" w:rsidP="000013AE">
      <w:pPr>
        <w:pStyle w:val="Heading1"/>
      </w:pPr>
      <w:bookmarkStart w:id="12" w:name="O_208233"/>
      <w:bookmarkEnd w:id="12"/>
      <w:r w:rsidRPr="000013AE">
        <w:t>Unit Sector(s)</w:t>
      </w:r>
    </w:p>
    <w:tbl>
      <w:tblPr>
        <w:tblW w:w="0" w:type="auto"/>
        <w:tblLayout w:type="fixed"/>
        <w:tblCellMar>
          <w:left w:w="62" w:type="dxa"/>
          <w:right w:w="62" w:type="dxa"/>
        </w:tblCellMar>
        <w:tblLook w:val="0000"/>
      </w:tblPr>
      <w:tblGrid>
        <w:gridCol w:w="2618"/>
        <w:gridCol w:w="5904"/>
      </w:tblGrid>
      <w:tr w:rsidTr="00920B77">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r w:rsidRPr="000013AE">
              <w:t>Support</w:t>
            </w:r>
          </w:p>
        </w:tc>
      </w:tr>
    </w:tbl>
    <w:p w:rsidR="00920B77" w:rsidP="000013AE">
      <w:pPr>
        <w:pStyle w:val="BodyText"/>
      </w:pPr>
    </w:p>
    <w:p w:rsidR="00920B77" w:rsidP="000013AE">
      <w:pPr>
        <w:pStyle w:val="BodyText"/>
      </w:pPr>
    </w:p>
    <w:p w:rsidR="00000000" w:rsidRPr="000013AE" w:rsidP="000013AE">
      <w:pPr>
        <w:pStyle w:val="Heading1"/>
      </w:pPr>
      <w:bookmarkStart w:id="13" w:name="O_208230"/>
      <w:bookmarkEnd w:id="13"/>
      <w:r w:rsidRPr="000013AE">
        <w:t>Co-requisite units</w:t>
      </w:r>
    </w:p>
    <w:tbl>
      <w:tblPr>
        <w:tblW w:w="0" w:type="auto"/>
        <w:tblLayout w:type="fixed"/>
        <w:tblCellMar>
          <w:left w:w="62" w:type="dxa"/>
          <w:right w:w="62" w:type="dxa"/>
        </w:tblCellMar>
        <w:tblLook w:val="0000"/>
      </w:tblPr>
      <w:tblGrid>
        <w:gridCol w:w="2641"/>
        <w:gridCol w:w="1322"/>
        <w:gridCol w:w="4559"/>
      </w:tblGrid>
      <w:tr w:rsidTr="00920B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0B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p>
        </w:tc>
      </w:tr>
      <w:tr w:rsidTr="00920B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p>
        </w:tc>
      </w:tr>
    </w:tbl>
    <w:p w:rsidR="00920B77" w:rsidP="000013AE">
      <w:pPr>
        <w:pStyle w:val="BodyText"/>
      </w:pPr>
    </w:p>
    <w:p w:rsidR="00920B77" w:rsidP="000013AE">
      <w:pPr>
        <w:pStyle w:val="BodyText"/>
      </w:pPr>
    </w:p>
    <w:p w:rsidR="00000000" w:rsidRPr="000013AE" w:rsidP="000013AE">
      <w:pPr>
        <w:pStyle w:val="Heading1"/>
      </w:pPr>
      <w:bookmarkStart w:id="14" w:name="O_208232"/>
      <w:bookmarkEnd w:id="14"/>
      <w:r w:rsidRPr="000013AE">
        <w:t>Competency field</w:t>
      </w:r>
    </w:p>
    <w:tbl>
      <w:tblPr>
        <w:tblW w:w="0" w:type="auto"/>
        <w:tblLayout w:type="fixed"/>
        <w:tblCellMar>
          <w:left w:w="62" w:type="dxa"/>
          <w:right w:w="62" w:type="dxa"/>
        </w:tblCellMar>
        <w:tblLook w:val="0000"/>
      </w:tblPr>
      <w:tblGrid>
        <w:gridCol w:w="2784"/>
        <w:gridCol w:w="5738"/>
      </w:tblGrid>
      <w:tr w:rsidTr="00920B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AE">
            <w:pPr>
              <w:pStyle w:val="BodyText"/>
              <w:rPr>
                <w:lang w:val="en-NZ"/>
              </w:rPr>
            </w:pPr>
            <w:r w:rsidRPr="000013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AE" w:rsidP="000013AE">
            <w:pPr>
              <w:pStyle w:val="BodyText"/>
            </w:pPr>
          </w:p>
        </w:tc>
      </w:tr>
    </w:tbl>
    <w:p w:rsidR="00920B77" w:rsidP="000013AE">
      <w:pPr>
        <w:pStyle w:val="BodyText"/>
      </w:pPr>
    </w:p>
    <w:p w:rsidR="00920B77" w:rsidP="000013AE">
      <w:pPr>
        <w:pStyle w:val="BodyText"/>
      </w:pPr>
    </w:p>
    <w:p w:rsidR="00000000" w:rsidRPr="000013AE" w:rsidP="000013AE"/>
    <w:sectPr w:rsidSect="000013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B77" w:rsidP="00920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77" w:rsidP="00001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0B77" w:rsidP="000013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0B77" w:rsidP="000013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B77" w:rsidP="00920B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77" w:rsidP="000013AE">
    <w:pPr>
      <w:pStyle w:val="Header"/>
      <w:framePr w:wrap="around"/>
    </w:pPr>
    <w:r>
      <w:fldChar w:fldCharType="begin"/>
    </w:r>
    <w:r>
      <w:instrText xml:space="preserve"> TITLE   \* MERGEFORMAT </w:instrText>
    </w:r>
    <w:r>
      <w:fldChar w:fldCharType="separate"/>
    </w:r>
    <w:r>
      <w:t>ICAS6254A Manage IT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0B77" w:rsidP="000013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27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C0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E5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3AE"/>
    <w:pPr>
      <w:spacing w:before="360" w:after="60"/>
      <w:outlineLvl w:val="0"/>
    </w:pPr>
    <w:rPr>
      <w:sz w:val="32"/>
    </w:rPr>
  </w:style>
  <w:style w:type="paragraph" w:styleId="Heading2">
    <w:name w:val="heading 2"/>
    <w:basedOn w:val="HeadingBase"/>
    <w:next w:val="BodyText"/>
    <w:link w:val="Heading2Char"/>
    <w:qFormat/>
    <w:rsid w:val="000013AE"/>
    <w:pPr>
      <w:keepLines/>
      <w:spacing w:before="240" w:after="120"/>
      <w:outlineLvl w:val="1"/>
    </w:pPr>
    <w:rPr>
      <w:sz w:val="28"/>
      <w:szCs w:val="40"/>
    </w:rPr>
  </w:style>
  <w:style w:type="paragraph" w:styleId="Heading3">
    <w:name w:val="heading 3"/>
    <w:basedOn w:val="HeadingBase"/>
    <w:next w:val="BodyText"/>
    <w:link w:val="Heading3Char"/>
    <w:qFormat/>
    <w:rsid w:val="000013AE"/>
    <w:pPr>
      <w:spacing w:before="180" w:after="120"/>
      <w:outlineLvl w:val="2"/>
    </w:pPr>
    <w:rPr>
      <w:spacing w:val="-10"/>
      <w:kern w:val="32"/>
    </w:rPr>
  </w:style>
  <w:style w:type="paragraph" w:styleId="Heading4">
    <w:name w:val="heading 4"/>
    <w:basedOn w:val="HeadingBase"/>
    <w:next w:val="BodyText"/>
    <w:link w:val="Heading4Char"/>
    <w:qFormat/>
    <w:rsid w:val="000013AE"/>
    <w:pPr>
      <w:spacing w:before="160" w:after="120"/>
      <w:outlineLvl w:val="3"/>
    </w:pPr>
    <w:rPr>
      <w:sz w:val="22"/>
    </w:rPr>
  </w:style>
  <w:style w:type="paragraph" w:styleId="Heading5">
    <w:name w:val="heading 5"/>
    <w:basedOn w:val="HeadingBase"/>
    <w:next w:val="Normal"/>
    <w:link w:val="Heading5Char"/>
    <w:qFormat/>
    <w:rsid w:val="000013AE"/>
    <w:pPr>
      <w:spacing w:before="80"/>
      <w:outlineLvl w:val="4"/>
    </w:pPr>
    <w:rPr>
      <w:color w:val="918585"/>
      <w:sz w:val="20"/>
    </w:rPr>
  </w:style>
  <w:style w:type="paragraph" w:styleId="Heading6">
    <w:name w:val="heading 6"/>
    <w:basedOn w:val="HeadingBase"/>
    <w:next w:val="Normal"/>
    <w:link w:val="Heading6Char"/>
    <w:qFormat/>
    <w:rsid w:val="000013AE"/>
    <w:pPr>
      <w:spacing w:before="60"/>
      <w:outlineLvl w:val="5"/>
    </w:pPr>
    <w:rPr>
      <w:color w:val="918585"/>
      <w:sz w:val="20"/>
    </w:rPr>
  </w:style>
  <w:style w:type="paragraph" w:styleId="Heading7">
    <w:name w:val="heading 7"/>
    <w:basedOn w:val="Normal"/>
    <w:next w:val="Normal"/>
    <w:link w:val="Heading7Char"/>
    <w:qFormat/>
    <w:rsid w:val="000013AE"/>
    <w:pPr>
      <w:ind w:left="720"/>
      <w:outlineLvl w:val="6"/>
    </w:pPr>
    <w:rPr>
      <w:i/>
    </w:rPr>
  </w:style>
  <w:style w:type="paragraph" w:styleId="Heading8">
    <w:name w:val="heading 8"/>
    <w:basedOn w:val="Normal"/>
    <w:next w:val="Normal"/>
    <w:link w:val="Heading8Char"/>
    <w:qFormat/>
    <w:rsid w:val="000013AE"/>
    <w:pPr>
      <w:ind w:left="720"/>
      <w:outlineLvl w:val="7"/>
    </w:pPr>
    <w:rPr>
      <w:i/>
    </w:rPr>
  </w:style>
  <w:style w:type="paragraph" w:styleId="Heading9">
    <w:name w:val="heading 9"/>
    <w:basedOn w:val="Normal"/>
    <w:next w:val="Normal"/>
    <w:link w:val="Heading9Char"/>
    <w:qFormat/>
    <w:rsid w:val="000013AE"/>
    <w:pPr>
      <w:ind w:left="720"/>
      <w:outlineLvl w:val="8"/>
    </w:pPr>
    <w:rPr>
      <w:i/>
    </w:rPr>
  </w:style>
  <w:style w:type="character" w:default="1" w:styleId="DefaultParagraphFont">
    <w:name w:val="Default Paragraph Font"/>
    <w:uiPriority w:val="1"/>
    <w:unhideWhenUsed/>
    <w:rsid w:val="00001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3AE"/>
  </w:style>
  <w:style w:type="character" w:customStyle="1" w:styleId="Heading1Char">
    <w:name w:val="Heading 1 Char"/>
    <w:basedOn w:val="DefaultParagraphFont"/>
    <w:link w:val="Heading1"/>
    <w:rsid w:val="000013AE"/>
    <w:rPr>
      <w:rFonts w:ascii="Times New Roman" w:eastAsia="Times New Roman" w:hAnsi="Times New Roman" w:cs="Times New Roman"/>
      <w:b/>
      <w:sz w:val="32"/>
      <w:szCs w:val="20"/>
      <w:lang w:eastAsia="en-US"/>
    </w:rPr>
  </w:style>
  <w:style w:type="paragraph" w:styleId="BodyText">
    <w:name w:val="Body Text"/>
    <w:basedOn w:val="Normal"/>
    <w:link w:val="BodyTextChar"/>
    <w:rsid w:val="000013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3AE"/>
    <w:rPr>
      <w:rFonts w:ascii="Times New Roman" w:eastAsia="Times New Roman" w:hAnsi="Times New Roman" w:cs="Times New Roman"/>
      <w:sz w:val="24"/>
      <w:lang w:val="en-US" w:eastAsia="en-US"/>
    </w:rPr>
  </w:style>
  <w:style w:type="paragraph" w:styleId="Footer">
    <w:name w:val="footer"/>
    <w:basedOn w:val="Normal"/>
    <w:link w:val="FooterChar"/>
    <w:rsid w:val="00001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3AE"/>
    <w:rPr>
      <w:rFonts w:ascii="Times New Roman" w:eastAsia="Times New Roman" w:hAnsi="Times New Roman" w:cs="Times New Roman"/>
      <w:sz w:val="16"/>
      <w:lang w:val="en-US" w:eastAsia="en-US"/>
    </w:rPr>
  </w:style>
  <w:style w:type="paragraph" w:styleId="List">
    <w:name w:val="List"/>
    <w:basedOn w:val="BodyText"/>
    <w:next w:val="BodyText"/>
    <w:rsid w:val="000013AE"/>
    <w:pPr>
      <w:tabs>
        <w:tab w:val="left" w:pos="340"/>
      </w:tabs>
      <w:spacing w:before="60" w:after="60"/>
      <w:ind w:left="340" w:hanging="340"/>
    </w:pPr>
  </w:style>
  <w:style w:type="paragraph" w:styleId="ListBullet">
    <w:name w:val="List Bullet"/>
    <w:basedOn w:val="List"/>
    <w:rsid w:val="000013AE"/>
    <w:pPr>
      <w:numPr>
        <w:numId w:val="13"/>
      </w:numPr>
      <w:tabs>
        <w:tab w:val="clear" w:pos="340"/>
      </w:tabs>
      <w:spacing w:before="40" w:after="40"/>
    </w:pPr>
  </w:style>
  <w:style w:type="character" w:customStyle="1" w:styleId="SpecialBold">
    <w:name w:val="Special Bold"/>
    <w:basedOn w:val="DefaultParagraphFont"/>
    <w:rsid w:val="000013AE"/>
    <w:rPr>
      <w:b/>
      <w:spacing w:val="0"/>
    </w:rPr>
  </w:style>
  <w:style w:type="paragraph" w:styleId="ListBullet2">
    <w:name w:val="List Bullet 2"/>
    <w:basedOn w:val="List2"/>
    <w:rsid w:val="000013AE"/>
    <w:pPr>
      <w:numPr>
        <w:numId w:val="14"/>
      </w:numPr>
      <w:tabs>
        <w:tab w:val="clear" w:pos="680"/>
      </w:tabs>
    </w:pPr>
  </w:style>
  <w:style w:type="paragraph" w:styleId="Header">
    <w:name w:val="header"/>
    <w:basedOn w:val="Normal"/>
    <w:link w:val="HeaderChar"/>
    <w:rsid w:val="00001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3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013AE"/>
    <w:rPr>
      <w:i/>
    </w:rPr>
  </w:style>
  <w:style w:type="paragraph" w:customStyle="1" w:styleId="SuperHeading">
    <w:name w:val="SuperHeading"/>
    <w:basedOn w:val="Normal"/>
    <w:rsid w:val="000013AE"/>
    <w:pPr>
      <w:spacing w:before="240" w:after="120"/>
      <w:outlineLvl w:val="0"/>
    </w:pPr>
    <w:rPr>
      <w:rFonts w:ascii="Times New Roman" w:hAnsi="Times New Roman"/>
      <w:b/>
      <w:sz w:val="28"/>
    </w:rPr>
  </w:style>
  <w:style w:type="paragraph" w:customStyle="1" w:styleId="AllowPageBreak">
    <w:name w:val="AllowPageBreak"/>
    <w:rsid w:val="000013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3AE"/>
    <w:pPr>
      <w:tabs>
        <w:tab w:val="left" w:pos="680"/>
      </w:tabs>
      <w:spacing w:before="60" w:after="60"/>
      <w:ind w:left="680" w:hanging="340"/>
    </w:pPr>
  </w:style>
  <w:style w:type="character" w:customStyle="1" w:styleId="BoldandItalics">
    <w:name w:val="Bold and Italics"/>
    <w:qFormat/>
    <w:rsid w:val="000013AE"/>
    <w:rPr>
      <w:b/>
      <w:i/>
      <w:u w:val="none"/>
    </w:rPr>
  </w:style>
  <w:style w:type="character" w:customStyle="1" w:styleId="Heading2Char">
    <w:name w:val="Heading 2 Char"/>
    <w:basedOn w:val="DefaultParagraphFont"/>
    <w:link w:val="Heading2"/>
    <w:rsid w:val="00001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3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3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3AE"/>
    <w:rPr>
      <w:rFonts w:ascii="Courier New" w:eastAsia="Times New Roman" w:hAnsi="Courier New" w:cs="Times New Roman"/>
      <w:i/>
      <w:szCs w:val="20"/>
      <w:lang w:val="en-US" w:eastAsia="en-US"/>
    </w:rPr>
  </w:style>
  <w:style w:type="paragraph" w:customStyle="1" w:styleId="HeadingBase">
    <w:name w:val="Heading Base"/>
    <w:rsid w:val="00001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3AE"/>
    <w:pPr>
      <w:tabs>
        <w:tab w:val="right" w:leader="dot" w:pos="9072"/>
      </w:tabs>
      <w:ind w:left="567"/>
    </w:pPr>
    <w:rPr>
      <w:szCs w:val="22"/>
    </w:rPr>
  </w:style>
  <w:style w:type="paragraph" w:customStyle="1" w:styleId="TOCBase">
    <w:name w:val="TOC Base"/>
    <w:rsid w:val="00001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3AE"/>
    <w:pPr>
      <w:tabs>
        <w:tab w:val="right" w:leader="dot" w:pos="9072"/>
      </w:tabs>
      <w:spacing w:before="40" w:after="40"/>
      <w:ind w:left="284"/>
    </w:pPr>
    <w:rPr>
      <w:rFonts w:ascii="Times New Roman" w:hAnsi="Times New Roman"/>
    </w:rPr>
  </w:style>
  <w:style w:type="paragraph" w:styleId="TOC1">
    <w:name w:val="toc 1"/>
    <w:basedOn w:val="TOCBase"/>
    <w:next w:val="Normal"/>
    <w:rsid w:val="000013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3AE"/>
    <w:pPr>
      <w:spacing w:before="5040"/>
      <w:jc w:val="center"/>
    </w:pPr>
    <w:rPr>
      <w:sz w:val="48"/>
      <w:szCs w:val="72"/>
      <w:lang w:val="en-US"/>
    </w:rPr>
  </w:style>
  <w:style w:type="character" w:customStyle="1" w:styleId="TitleChar">
    <w:name w:val="Title Char"/>
    <w:basedOn w:val="DefaultParagraphFont"/>
    <w:link w:val="Title"/>
    <w:rsid w:val="00001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3AE"/>
    <w:pPr>
      <w:tabs>
        <w:tab w:val="left" w:pos="3600"/>
        <w:tab w:val="left" w:pos="3958"/>
      </w:tabs>
    </w:pPr>
  </w:style>
  <w:style w:type="paragraph" w:customStyle="1" w:styleId="Note">
    <w:name w:val="Note"/>
    <w:basedOn w:val="BodyText"/>
    <w:rsid w:val="00001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3AE"/>
    <w:pPr>
      <w:framePr w:wrap="auto" w:hAnchor="text" w:y="6049"/>
    </w:pPr>
    <w:rPr>
      <w:color w:val="000000"/>
      <w:sz w:val="40"/>
    </w:rPr>
  </w:style>
  <w:style w:type="paragraph" w:customStyle="1" w:styleId="TOCTitle">
    <w:name w:val="TOCTitle"/>
    <w:basedOn w:val="Heading1"/>
    <w:rsid w:val="000013AE"/>
    <w:pPr>
      <w:spacing w:after="240"/>
      <w:jc w:val="center"/>
      <w:outlineLvl w:val="9"/>
    </w:pPr>
    <w:rPr>
      <w:caps/>
    </w:rPr>
  </w:style>
  <w:style w:type="paragraph" w:customStyle="1" w:styleId="Version">
    <w:name w:val="Version"/>
    <w:rsid w:val="000013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3AE"/>
    <w:pPr>
      <w:keepNext w:val="0"/>
      <w:tabs>
        <w:tab w:val="right" w:pos="4176"/>
      </w:tabs>
      <w:ind w:left="198" w:hanging="198"/>
    </w:pPr>
    <w:rPr>
      <w:rFonts w:ascii="Garamond" w:hAnsi="Garamond"/>
    </w:rPr>
  </w:style>
  <w:style w:type="paragraph" w:styleId="IndexHeading">
    <w:name w:val="index heading"/>
    <w:basedOn w:val="Normal"/>
    <w:next w:val="Index1"/>
    <w:semiHidden/>
    <w:rsid w:val="000013AE"/>
    <w:pPr>
      <w:spacing w:before="120" w:after="120"/>
    </w:pPr>
    <w:rPr>
      <w:rFonts w:ascii="Arial" w:hAnsi="Arial"/>
      <w:b/>
      <w:color w:val="918585"/>
      <w:sz w:val="24"/>
    </w:rPr>
  </w:style>
  <w:style w:type="paragraph" w:customStyle="1" w:styleId="Chapter">
    <w:name w:val="Chapter"/>
    <w:basedOn w:val="Normal"/>
    <w:rsid w:val="000013AE"/>
    <w:pPr>
      <w:spacing w:before="240"/>
    </w:pPr>
    <w:rPr>
      <w:rFonts w:ascii="Times New Roman" w:hAnsi="Times New Roman"/>
      <w:smallCaps/>
      <w:spacing w:val="80"/>
      <w:sz w:val="28"/>
    </w:rPr>
  </w:style>
  <w:style w:type="paragraph" w:customStyle="1" w:styleId="InChapter">
    <w:name w:val="InChapter"/>
    <w:basedOn w:val="Heading3"/>
    <w:rsid w:val="000013AE"/>
    <w:pPr>
      <w:spacing w:after="240"/>
      <w:outlineLvl w:val="9"/>
    </w:pPr>
    <w:rPr>
      <w:noProof/>
    </w:rPr>
  </w:style>
  <w:style w:type="paragraph" w:styleId="Index2">
    <w:name w:val="index 2"/>
    <w:basedOn w:val="Normal"/>
    <w:next w:val="Normal"/>
    <w:semiHidden/>
    <w:rsid w:val="000013AE"/>
    <w:pPr>
      <w:tabs>
        <w:tab w:val="right" w:pos="4176"/>
      </w:tabs>
      <w:ind w:left="568" w:hanging="284"/>
    </w:pPr>
    <w:rPr>
      <w:rFonts w:ascii="Garamond" w:hAnsi="Garamond"/>
    </w:rPr>
  </w:style>
  <w:style w:type="paragraph" w:customStyle="1" w:styleId="Byline">
    <w:name w:val="Byline"/>
    <w:rsid w:val="00001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3AE"/>
    <w:pPr>
      <w:tabs>
        <w:tab w:val="clear" w:pos="3600"/>
        <w:tab w:val="clear" w:pos="3958"/>
      </w:tabs>
      <w:jc w:val="right"/>
    </w:pPr>
  </w:style>
  <w:style w:type="paragraph" w:styleId="Caption">
    <w:name w:val="caption"/>
    <w:basedOn w:val="BodyText"/>
    <w:next w:val="Normal"/>
    <w:qFormat/>
    <w:rsid w:val="000013AE"/>
    <w:pPr>
      <w:framePr w:w="2268" w:hSpace="181" w:vSpace="181" w:wrap="around" w:vAnchor="text" w:hAnchor="page" w:x="1135" w:y="285" w:anchorLock="1"/>
    </w:pPr>
    <w:rPr>
      <w:i/>
    </w:rPr>
  </w:style>
  <w:style w:type="paragraph" w:customStyle="1" w:styleId="MiniTOCTitle">
    <w:name w:val="MiniTOCTitle"/>
    <w:basedOn w:val="Heading4"/>
    <w:rsid w:val="000013AE"/>
    <w:pPr>
      <w:spacing w:before="240"/>
      <w:outlineLvl w:val="9"/>
    </w:pPr>
    <w:rPr>
      <w:noProof/>
      <w:sz w:val="24"/>
    </w:rPr>
  </w:style>
  <w:style w:type="paragraph" w:customStyle="1" w:styleId="MiniTOCItem">
    <w:name w:val="MiniTOCItem"/>
    <w:basedOn w:val="ListBullet"/>
    <w:rsid w:val="000013AE"/>
    <w:pPr>
      <w:numPr>
        <w:numId w:val="0"/>
      </w:numPr>
      <w:tabs>
        <w:tab w:val="right" w:leader="dot" w:pos="6521"/>
      </w:tabs>
      <w:spacing w:before="0" w:after="0"/>
    </w:pPr>
  </w:style>
  <w:style w:type="paragraph" w:customStyle="1" w:styleId="TOFTitle">
    <w:name w:val="TOFTitle"/>
    <w:basedOn w:val="TOCTitle"/>
    <w:rsid w:val="000013AE"/>
  </w:style>
  <w:style w:type="paragraph" w:styleId="TableofFigures">
    <w:name w:val="table of figures"/>
    <w:basedOn w:val="Normal"/>
    <w:next w:val="Normal"/>
    <w:semiHidden/>
    <w:rsid w:val="000013AE"/>
    <w:pPr>
      <w:tabs>
        <w:tab w:val="right" w:leader="dot" w:pos="9072"/>
      </w:tabs>
      <w:ind w:left="970" w:hanging="403"/>
    </w:pPr>
    <w:rPr>
      <w:rFonts w:ascii="Times New Roman" w:hAnsi="Times New Roman"/>
      <w:b/>
    </w:rPr>
  </w:style>
  <w:style w:type="paragraph" w:styleId="ListNumber">
    <w:name w:val="List Number"/>
    <w:basedOn w:val="List"/>
    <w:rsid w:val="000013AE"/>
    <w:pPr>
      <w:numPr>
        <w:numId w:val="11"/>
      </w:numPr>
    </w:pPr>
  </w:style>
  <w:style w:type="character" w:customStyle="1" w:styleId="WingdingSymbols">
    <w:name w:val="Wingding Symbols"/>
    <w:rsid w:val="000013AE"/>
    <w:rPr>
      <w:rFonts w:ascii="Wingdings" w:hAnsi="Wingdings"/>
    </w:rPr>
  </w:style>
  <w:style w:type="paragraph" w:customStyle="1" w:styleId="TableHeading">
    <w:name w:val="Table Heading"/>
    <w:basedOn w:val="HeadingBase"/>
    <w:rsid w:val="000013AE"/>
    <w:pPr>
      <w:keepLines/>
      <w:pBdr>
        <w:bottom w:val="single" w:sz="6" w:space="1" w:color="918585"/>
      </w:pBdr>
      <w:spacing w:before="240"/>
    </w:pPr>
  </w:style>
  <w:style w:type="character" w:customStyle="1" w:styleId="HotSpot">
    <w:name w:val="HotSpot"/>
    <w:rsid w:val="000013AE"/>
    <w:rPr>
      <w:color w:val="0033CC"/>
      <w:u w:val="none"/>
    </w:rPr>
  </w:style>
  <w:style w:type="paragraph" w:customStyle="1" w:styleId="BodyTextRight">
    <w:name w:val="Body Text Right"/>
    <w:basedOn w:val="BodyText"/>
    <w:rsid w:val="000013AE"/>
    <w:pPr>
      <w:spacing w:before="0" w:after="0"/>
      <w:jc w:val="right"/>
    </w:pPr>
  </w:style>
  <w:style w:type="paragraph" w:styleId="Index3">
    <w:name w:val="index 3"/>
    <w:basedOn w:val="ListNumber2"/>
    <w:next w:val="Normal"/>
    <w:semiHidden/>
    <w:rsid w:val="000013AE"/>
    <w:pPr>
      <w:numPr>
        <w:numId w:val="0"/>
      </w:numPr>
      <w:tabs>
        <w:tab w:val="right" w:leader="dot" w:pos="4176"/>
      </w:tabs>
    </w:pPr>
  </w:style>
  <w:style w:type="paragraph" w:styleId="ListNumber2">
    <w:name w:val="List Number 2"/>
    <w:basedOn w:val="List2"/>
    <w:rsid w:val="000013AE"/>
    <w:pPr>
      <w:numPr>
        <w:numId w:val="10"/>
      </w:numPr>
      <w:tabs>
        <w:tab w:val="clear" w:pos="1060"/>
      </w:tabs>
    </w:pPr>
  </w:style>
  <w:style w:type="paragraph" w:customStyle="1" w:styleId="MarginNote">
    <w:name w:val="Margin Note"/>
    <w:basedOn w:val="BodyText"/>
    <w:rsid w:val="00001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3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3AE"/>
    <w:rPr>
      <w:sz w:val="32"/>
    </w:rPr>
  </w:style>
  <w:style w:type="paragraph" w:customStyle="1" w:styleId="HeadingProcedure">
    <w:name w:val="Heading Procedure"/>
    <w:basedOn w:val="HeadingBase"/>
    <w:next w:val="Normal"/>
    <w:rsid w:val="000013AE"/>
    <w:pPr>
      <w:tabs>
        <w:tab w:val="left" w:pos="0"/>
      </w:tabs>
      <w:spacing w:before="120" w:after="60"/>
    </w:pPr>
    <w:rPr>
      <w:i/>
      <w:color w:val="918585"/>
      <w:sz w:val="22"/>
    </w:rPr>
  </w:style>
  <w:style w:type="paragraph" w:customStyle="1" w:styleId="TableBodyText">
    <w:name w:val="Table Body Text"/>
    <w:basedOn w:val="BodyText"/>
    <w:rsid w:val="000013AE"/>
    <w:pPr>
      <w:spacing w:before="60" w:after="60"/>
    </w:pPr>
  </w:style>
  <w:style w:type="paragraph" w:styleId="ListContinue">
    <w:name w:val="List Continue"/>
    <w:basedOn w:val="List"/>
    <w:rsid w:val="000013AE"/>
    <w:pPr>
      <w:ind w:firstLine="0"/>
    </w:pPr>
  </w:style>
  <w:style w:type="paragraph" w:customStyle="1" w:styleId="ListNote">
    <w:name w:val="List Note"/>
    <w:basedOn w:val="List"/>
    <w:rsid w:val="000013AE"/>
    <w:pPr>
      <w:pBdr>
        <w:top w:val="single" w:sz="6" w:space="2" w:color="918585"/>
        <w:bottom w:val="single" w:sz="6" w:space="2" w:color="918585"/>
      </w:pBdr>
      <w:tabs>
        <w:tab w:val="left" w:pos="1021"/>
      </w:tabs>
      <w:ind w:firstLine="0"/>
    </w:pPr>
  </w:style>
  <w:style w:type="paragraph" w:customStyle="1" w:styleId="Warning">
    <w:name w:val="Warning"/>
    <w:basedOn w:val="BodyText"/>
    <w:rsid w:val="000013AE"/>
    <w:pPr>
      <w:shd w:val="clear" w:color="auto" w:fill="D9D9D9"/>
      <w:tabs>
        <w:tab w:val="left" w:pos="992"/>
      </w:tabs>
      <w:ind w:left="119" w:right="119"/>
    </w:pPr>
    <w:rPr>
      <w:sz w:val="20"/>
    </w:rPr>
  </w:style>
  <w:style w:type="paragraph" w:customStyle="1" w:styleId="MarginIcons">
    <w:name w:val="Margin Icons"/>
    <w:basedOn w:val="BodyText"/>
    <w:rsid w:val="00001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3AE"/>
    <w:rPr>
      <w:rFonts w:ascii="Courier New" w:hAnsi="Courier New"/>
    </w:rPr>
  </w:style>
  <w:style w:type="paragraph" w:customStyle="1" w:styleId="NoteBullet">
    <w:name w:val="Note Bullet"/>
    <w:basedOn w:val="Note"/>
    <w:rsid w:val="000013AE"/>
    <w:pPr>
      <w:tabs>
        <w:tab w:val="clear" w:pos="680"/>
      </w:tabs>
      <w:spacing w:before="60" w:after="60"/>
    </w:pPr>
  </w:style>
  <w:style w:type="paragraph" w:customStyle="1" w:styleId="SubHeading2">
    <w:name w:val="SubHeading2"/>
    <w:basedOn w:val="HeadingBase"/>
    <w:rsid w:val="000013AE"/>
    <w:pPr>
      <w:spacing w:before="240" w:after="60"/>
    </w:pPr>
    <w:rPr>
      <w:sz w:val="20"/>
    </w:rPr>
  </w:style>
  <w:style w:type="paragraph" w:customStyle="1" w:styleId="SubHeading1">
    <w:name w:val="SubHeading1"/>
    <w:basedOn w:val="HeadingBase"/>
    <w:rsid w:val="000013AE"/>
    <w:pPr>
      <w:spacing w:before="240" w:after="60"/>
    </w:pPr>
    <w:rPr>
      <w:color w:val="918585"/>
      <w:sz w:val="22"/>
    </w:rPr>
  </w:style>
  <w:style w:type="paragraph" w:customStyle="1" w:styleId="SideHeading">
    <w:name w:val="Side Heading"/>
    <w:basedOn w:val="HeadingBase"/>
    <w:rsid w:val="00001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3AE"/>
    <w:pPr>
      <w:numPr>
        <w:numId w:val="12"/>
      </w:numPr>
    </w:pPr>
  </w:style>
  <w:style w:type="paragraph" w:styleId="PlainText">
    <w:name w:val="Plain Text"/>
    <w:basedOn w:val="Normal"/>
    <w:link w:val="PlainTextChar"/>
    <w:rsid w:val="000013AE"/>
    <w:rPr>
      <w:sz w:val="20"/>
    </w:rPr>
  </w:style>
  <w:style w:type="character" w:customStyle="1" w:styleId="PlainTextChar">
    <w:name w:val="Plain Text Char"/>
    <w:basedOn w:val="DefaultParagraphFont"/>
    <w:link w:val="PlainText"/>
    <w:rsid w:val="000013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3AE"/>
    <w:rPr>
      <w:b/>
      <w:smallCaps/>
    </w:rPr>
  </w:style>
  <w:style w:type="paragraph" w:customStyle="1" w:styleId="TableListNumber">
    <w:name w:val="Table List Number"/>
    <w:basedOn w:val="ListNumber"/>
    <w:rsid w:val="000013AE"/>
    <w:pPr>
      <w:numPr>
        <w:numId w:val="0"/>
      </w:numPr>
    </w:pPr>
  </w:style>
  <w:style w:type="paragraph" w:styleId="TOC4">
    <w:name w:val="toc 4"/>
    <w:basedOn w:val="TOCBase"/>
    <w:next w:val="Normal"/>
    <w:semiHidden/>
    <w:rsid w:val="000013AE"/>
    <w:pPr>
      <w:tabs>
        <w:tab w:val="right" w:leader="dot" w:pos="9071"/>
      </w:tabs>
      <w:ind w:left="1701"/>
    </w:pPr>
  </w:style>
  <w:style w:type="paragraph" w:customStyle="1" w:styleId="ListAlpha">
    <w:name w:val="List Alpha"/>
    <w:basedOn w:val="List"/>
    <w:rsid w:val="000013AE"/>
    <w:pPr>
      <w:numPr>
        <w:numId w:val="9"/>
      </w:numPr>
    </w:pPr>
  </w:style>
  <w:style w:type="paragraph" w:customStyle="1" w:styleId="ListAlpha2">
    <w:name w:val="List Alpha 2"/>
    <w:basedOn w:val="List2"/>
    <w:rsid w:val="000013AE"/>
    <w:pPr>
      <w:numPr>
        <w:numId w:val="8"/>
      </w:numPr>
    </w:pPr>
  </w:style>
  <w:style w:type="paragraph" w:styleId="List3">
    <w:name w:val="List 3"/>
    <w:basedOn w:val="BodyText"/>
    <w:rsid w:val="000013AE"/>
    <w:pPr>
      <w:tabs>
        <w:tab w:val="left" w:pos="1021"/>
      </w:tabs>
      <w:spacing w:before="60" w:after="60"/>
      <w:ind w:left="1020" w:hanging="340"/>
    </w:pPr>
  </w:style>
  <w:style w:type="paragraph" w:styleId="List4">
    <w:name w:val="List 4"/>
    <w:basedOn w:val="BodyText"/>
    <w:rsid w:val="000013AE"/>
    <w:pPr>
      <w:tabs>
        <w:tab w:val="left" w:pos="1361"/>
      </w:tabs>
      <w:spacing w:before="60" w:after="60"/>
      <w:ind w:left="1361" w:hanging="340"/>
    </w:pPr>
  </w:style>
  <w:style w:type="paragraph" w:styleId="List5">
    <w:name w:val="List 5"/>
    <w:basedOn w:val="BodyText"/>
    <w:rsid w:val="000013AE"/>
    <w:pPr>
      <w:tabs>
        <w:tab w:val="left" w:pos="1701"/>
      </w:tabs>
      <w:spacing w:before="60" w:after="60"/>
      <w:ind w:left="1701" w:hanging="340"/>
    </w:pPr>
  </w:style>
  <w:style w:type="paragraph" w:styleId="ListBullet3">
    <w:name w:val="List Bullet 3"/>
    <w:basedOn w:val="List3"/>
    <w:rsid w:val="000013AE"/>
    <w:pPr>
      <w:numPr>
        <w:numId w:val="15"/>
      </w:numPr>
      <w:tabs>
        <w:tab w:val="clear" w:pos="1021"/>
      </w:tabs>
      <w:ind w:left="1037" w:hanging="357"/>
    </w:pPr>
  </w:style>
  <w:style w:type="paragraph" w:styleId="ListBullet4">
    <w:name w:val="List Bullet 4"/>
    <w:basedOn w:val="List4"/>
    <w:rsid w:val="000013AE"/>
    <w:pPr>
      <w:numPr>
        <w:numId w:val="3"/>
      </w:numPr>
    </w:pPr>
  </w:style>
  <w:style w:type="paragraph" w:styleId="ListBullet5">
    <w:name w:val="List Bullet 5"/>
    <w:basedOn w:val="List5"/>
    <w:rsid w:val="000013AE"/>
    <w:pPr>
      <w:numPr>
        <w:numId w:val="4"/>
      </w:numPr>
    </w:pPr>
  </w:style>
  <w:style w:type="paragraph" w:styleId="ListContinue2">
    <w:name w:val="List Continue 2"/>
    <w:basedOn w:val="List2"/>
    <w:rsid w:val="000013AE"/>
    <w:pPr>
      <w:ind w:firstLine="0"/>
    </w:pPr>
  </w:style>
  <w:style w:type="paragraph" w:styleId="ListContinue3">
    <w:name w:val="List Continue 3"/>
    <w:basedOn w:val="List3"/>
    <w:rsid w:val="000013AE"/>
    <w:pPr>
      <w:ind w:left="1021" w:firstLine="0"/>
    </w:pPr>
  </w:style>
  <w:style w:type="paragraph" w:styleId="ListContinue4">
    <w:name w:val="List Continue 4"/>
    <w:basedOn w:val="List4"/>
    <w:rsid w:val="000013AE"/>
    <w:pPr>
      <w:ind w:firstLine="0"/>
    </w:pPr>
  </w:style>
  <w:style w:type="paragraph" w:styleId="ListContinue5">
    <w:name w:val="List Continue 5"/>
    <w:basedOn w:val="List5"/>
    <w:rsid w:val="000013AE"/>
    <w:pPr>
      <w:ind w:firstLine="0"/>
    </w:pPr>
  </w:style>
  <w:style w:type="paragraph" w:styleId="ListNumber3">
    <w:name w:val="List Number 3"/>
    <w:basedOn w:val="List3"/>
    <w:rsid w:val="000013AE"/>
    <w:pPr>
      <w:numPr>
        <w:numId w:val="5"/>
      </w:numPr>
    </w:pPr>
  </w:style>
  <w:style w:type="paragraph" w:styleId="ListNumber4">
    <w:name w:val="List Number 4"/>
    <w:basedOn w:val="List4"/>
    <w:rsid w:val="000013AE"/>
    <w:pPr>
      <w:numPr>
        <w:numId w:val="6"/>
      </w:numPr>
    </w:pPr>
  </w:style>
  <w:style w:type="paragraph" w:styleId="ListNumber5">
    <w:name w:val="List Number 5"/>
    <w:basedOn w:val="List5"/>
    <w:rsid w:val="000013AE"/>
    <w:pPr>
      <w:numPr>
        <w:numId w:val="7"/>
      </w:numPr>
    </w:pPr>
  </w:style>
  <w:style w:type="paragraph" w:styleId="BlockText">
    <w:name w:val="Block Text"/>
    <w:basedOn w:val="Normal"/>
    <w:rsid w:val="000013AE"/>
    <w:pPr>
      <w:spacing w:after="120"/>
      <w:ind w:left="1440" w:right="1440"/>
    </w:pPr>
  </w:style>
  <w:style w:type="character" w:customStyle="1" w:styleId="Subscript">
    <w:name w:val="Subscript"/>
    <w:basedOn w:val="DefaultParagraphFont"/>
    <w:rsid w:val="000013AE"/>
    <w:rPr>
      <w:sz w:val="16"/>
      <w:vertAlign w:val="subscript"/>
    </w:rPr>
  </w:style>
  <w:style w:type="character" w:customStyle="1" w:styleId="Superscript">
    <w:name w:val="Superscript"/>
    <w:basedOn w:val="DefaultParagraphFont"/>
    <w:rsid w:val="000013AE"/>
    <w:rPr>
      <w:sz w:val="16"/>
      <w:vertAlign w:val="superscript"/>
    </w:rPr>
  </w:style>
  <w:style w:type="character" w:customStyle="1" w:styleId="Symbols">
    <w:name w:val="Symbols"/>
    <w:basedOn w:val="DefaultParagraphFont"/>
    <w:rsid w:val="000013AE"/>
    <w:rPr>
      <w:rFonts w:ascii="Symbol" w:hAnsi="Symbol"/>
    </w:rPr>
  </w:style>
  <w:style w:type="character" w:customStyle="1" w:styleId="MenuOptions">
    <w:name w:val="Menu Options"/>
    <w:basedOn w:val="DefaultParagraphFont"/>
    <w:rsid w:val="000013AE"/>
    <w:rPr>
      <w:rFonts w:ascii="Arial Narrow" w:hAnsi="Arial Narrow"/>
      <w:smallCaps/>
    </w:rPr>
  </w:style>
  <w:style w:type="character" w:customStyle="1" w:styleId="Buttons">
    <w:name w:val="Buttons"/>
    <w:basedOn w:val="DefaultParagraphFont"/>
    <w:rsid w:val="000013AE"/>
    <w:rPr>
      <w:b/>
    </w:rPr>
  </w:style>
  <w:style w:type="character" w:customStyle="1" w:styleId="Underlined">
    <w:name w:val="Underlined"/>
    <w:basedOn w:val="DefaultParagraphFont"/>
    <w:rsid w:val="000013AE"/>
    <w:rPr>
      <w:u w:val="single"/>
    </w:rPr>
  </w:style>
  <w:style w:type="paragraph" w:customStyle="1" w:styleId="TableBodyTextRight">
    <w:name w:val="Table Body Text Right"/>
    <w:basedOn w:val="TableBodyText"/>
    <w:rsid w:val="000013AE"/>
    <w:pPr>
      <w:widowControl w:val="0"/>
      <w:autoSpaceDE w:val="0"/>
      <w:autoSpaceDN w:val="0"/>
      <w:adjustRightInd w:val="0"/>
      <w:jc w:val="right"/>
    </w:pPr>
    <w:rPr>
      <w:rFonts w:cs="Arial"/>
      <w:szCs w:val="18"/>
    </w:rPr>
  </w:style>
  <w:style w:type="paragraph" w:customStyle="1" w:styleId="CopyrightText">
    <w:name w:val="Copyright Text"/>
    <w:basedOn w:val="BodyText"/>
    <w:rsid w:val="000013AE"/>
    <w:rPr>
      <w:sz w:val="18"/>
    </w:rPr>
  </w:style>
  <w:style w:type="paragraph" w:customStyle="1" w:styleId="BodySmallRight">
    <w:name w:val="Body Small Right"/>
    <w:basedOn w:val="BodyTextRight"/>
    <w:rsid w:val="000013AE"/>
    <w:rPr>
      <w:sz w:val="18"/>
      <w:szCs w:val="18"/>
    </w:rPr>
  </w:style>
  <w:style w:type="paragraph" w:customStyle="1" w:styleId="MarginEdition">
    <w:name w:val="Margin Edition"/>
    <w:basedOn w:val="MarginNote"/>
    <w:rsid w:val="000013AE"/>
    <w:pPr>
      <w:spacing w:before="0" w:after="0"/>
    </w:pPr>
    <w:rPr>
      <w:rFonts w:ascii="Times New Roman" w:hAnsi="Times New Roman"/>
      <w:color w:val="999999"/>
    </w:rPr>
  </w:style>
  <w:style w:type="paragraph" w:customStyle="1" w:styleId="Spacer">
    <w:name w:val="Spacer"/>
    <w:basedOn w:val="Normal"/>
    <w:rsid w:val="000013AE"/>
    <w:rPr>
      <w:sz w:val="2"/>
      <w:szCs w:val="2"/>
    </w:rPr>
  </w:style>
  <w:style w:type="character" w:customStyle="1" w:styleId="Small">
    <w:name w:val="Small"/>
    <w:basedOn w:val="DefaultParagraphFont"/>
    <w:rsid w:val="000013AE"/>
    <w:rPr>
      <w:sz w:val="16"/>
    </w:rPr>
  </w:style>
  <w:style w:type="paragraph" w:customStyle="1" w:styleId="WideTable">
    <w:name w:val="Wide Table"/>
    <w:basedOn w:val="Normal"/>
    <w:rsid w:val="000013AE"/>
    <w:pPr>
      <w:ind w:left="-1418"/>
    </w:pPr>
    <w:rPr>
      <w:sz w:val="2"/>
      <w:szCs w:val="2"/>
    </w:rPr>
  </w:style>
  <w:style w:type="character" w:styleId="PageNumber">
    <w:name w:val="page number"/>
    <w:basedOn w:val="DefaultParagraphFont"/>
    <w:rsid w:val="000013AE"/>
  </w:style>
  <w:style w:type="paragraph" w:styleId="Quote">
    <w:name w:val="Quote"/>
    <w:basedOn w:val="Heading1"/>
    <w:link w:val="QuoteChar"/>
    <w:qFormat/>
    <w:rsid w:val="000013AE"/>
    <w:rPr>
      <w:b w:val="0"/>
      <w:sz w:val="72"/>
      <w:szCs w:val="72"/>
      <w:lang w:val="en-NZ"/>
    </w:rPr>
  </w:style>
  <w:style w:type="character" w:customStyle="1" w:styleId="QuoteChar">
    <w:name w:val="Quote Char"/>
    <w:basedOn w:val="DefaultParagraphFont"/>
    <w:link w:val="Quote"/>
    <w:rsid w:val="00001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3AE"/>
    <w:pPr>
      <w:pageBreakBefore/>
    </w:pPr>
  </w:style>
  <w:style w:type="paragraph" w:customStyle="1" w:styleId="Border">
    <w:name w:val="Border"/>
    <w:basedOn w:val="Normal"/>
    <w:qFormat/>
    <w:rsid w:val="00001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3AE"/>
    <w:rPr>
      <w:b/>
      <w:bCs/>
      <w:i/>
      <w:iCs/>
      <w:color w:val="auto"/>
    </w:rPr>
  </w:style>
  <w:style w:type="paragraph" w:styleId="IntenseQuote">
    <w:name w:val="Intense Quote"/>
    <w:basedOn w:val="Normal"/>
    <w:next w:val="Normal"/>
    <w:link w:val="IntenseQuoteChar"/>
    <w:uiPriority w:val="30"/>
    <w:qFormat/>
    <w:rsid w:val="00001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3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3AE"/>
    <w:rPr>
      <w:smallCaps/>
      <w:color w:val="auto"/>
      <w:u w:val="single"/>
    </w:rPr>
  </w:style>
  <w:style w:type="character" w:styleId="IntenseReference">
    <w:name w:val="Intense Reference"/>
    <w:basedOn w:val="DefaultParagraphFont"/>
    <w:uiPriority w:val="32"/>
    <w:qFormat/>
    <w:rsid w:val="000013AE"/>
    <w:rPr>
      <w:b/>
      <w:bCs/>
      <w:smallCaps/>
      <w:color w:val="auto"/>
      <w:spacing w:val="5"/>
      <w:u w:val="single"/>
    </w:rPr>
  </w:style>
  <w:style w:type="paragraph" w:customStyle="1" w:styleId="2ColumnHeading">
    <w:name w:val="2Column Heading"/>
    <w:basedOn w:val="BodyText"/>
    <w:qFormat/>
    <w:rsid w:val="000013AE"/>
    <w:pPr>
      <w:spacing w:after="60"/>
      <w:ind w:left="-2268"/>
    </w:pPr>
    <w:rPr>
      <w:b/>
    </w:rPr>
  </w:style>
  <w:style w:type="paragraph" w:customStyle="1" w:styleId="Heading1TOC">
    <w:name w:val="Heading1 TOC"/>
    <w:basedOn w:val="Normal"/>
    <w:qFormat/>
    <w:rsid w:val="000013AE"/>
    <w:pPr>
      <w:spacing w:before="240" w:after="120"/>
    </w:pPr>
    <w:rPr>
      <w:rFonts w:ascii="Times New Roman" w:hAnsi="Times New Roman"/>
      <w:b/>
      <w:sz w:val="32"/>
    </w:rPr>
  </w:style>
  <w:style w:type="paragraph" w:customStyle="1" w:styleId="Heading2TOC">
    <w:name w:val="Heading2 TOC"/>
    <w:basedOn w:val="Normal"/>
    <w:qFormat/>
    <w:rsid w:val="000013AE"/>
    <w:pPr>
      <w:spacing w:before="240" w:after="60"/>
    </w:pPr>
    <w:rPr>
      <w:rFonts w:ascii="Times New Roman" w:hAnsi="Times New Roman"/>
      <w:b/>
      <w:sz w:val="28"/>
    </w:rPr>
  </w:style>
  <w:style w:type="character" w:customStyle="1" w:styleId="Underline">
    <w:name w:val="Underline"/>
    <w:basedOn w:val="DefaultParagraphFont"/>
    <w:qFormat/>
    <w:rsid w:val="000013AE"/>
    <w:rPr>
      <w:u w:val="single"/>
    </w:rPr>
  </w:style>
  <w:style w:type="paragraph" w:styleId="BalloonText">
    <w:name w:val="Balloon Text"/>
    <w:basedOn w:val="Normal"/>
    <w:link w:val="BalloonTextChar"/>
    <w:rsid w:val="000013AE"/>
    <w:rPr>
      <w:rFonts w:ascii="Tahoma" w:hAnsi="Tahoma" w:cs="Tahoma"/>
      <w:sz w:val="16"/>
      <w:szCs w:val="16"/>
    </w:rPr>
  </w:style>
  <w:style w:type="character" w:customStyle="1" w:styleId="BalloonTextChar">
    <w:name w:val="Balloon Text Char"/>
    <w:basedOn w:val="DefaultParagraphFont"/>
    <w:link w:val="BalloonText"/>
    <w:rsid w:val="000013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3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3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1554</Words>
  <Characters>10289</Characters>
  <Application>Microsoft Office Word</Application>
  <DocSecurity>0</DocSecurity>
  <Lines>367</Lines>
  <Paragraphs>179</Paragraphs>
  <ScaleCrop>false</ScaleCrop>
  <Company>Author-it Software Corporation Ltd.</Company>
  <LinksUpToDate>false</LinksUpToDate>
  <CharactersWithSpaces>11744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ICAS6254A Manage IT security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2012-05-27T00:57:00Z</dcterms:created>
  <dcterms:modified xsi:type="dcterms:W3CDTF">2012-05-27T00:57:00Z</dcterms:modified>
</cp:coreProperties>
</file>