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5F0" w:rsidP="00F365F0">
      <w:pPr>
        <w:pStyle w:val="Title"/>
      </w:pPr>
      <w:bookmarkStart w:id="0" w:name="_GoBack"/>
      <w:bookmarkEnd w:id="0"/>
      <w:r>
        <w:fldChar w:fldCharType="begin"/>
      </w:r>
      <w:r>
        <w:instrText xml:space="preserve"> TITLE   \* MERGEFORMAT </w:instrText>
      </w:r>
      <w:r>
        <w:fldChar w:fldCharType="separate"/>
      </w:r>
      <w:r>
        <w:t>ICAI5250A Develop, implement and evaluate system and application security</w:t>
      </w:r>
      <w:r>
        <w:fldChar w:fldCharType="end"/>
      </w:r>
    </w:p>
    <w:p w:rsidR="00F365F0" w:rsidP="00F365F0">
      <w:pPr>
        <w:pStyle w:val="Version"/>
        <w:sectPr w:rsidSect="00C753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53C9" w:rsidP="00C753C9">
      <w:pPr>
        <w:pStyle w:val="SuperHeading"/>
      </w:pPr>
      <w:r w:rsidRPr="00C753C9">
        <w:t>ICAI5250A Develop, implement and evaluate system and application security</w:t>
      </w:r>
    </w:p>
    <w:p w:rsidR="00000000" w:rsidRPr="00C753C9" w:rsidP="00C753C9">
      <w:pPr>
        <w:pStyle w:val="Heading1"/>
      </w:pPr>
      <w:bookmarkStart w:id="1" w:name="O_271626"/>
      <w:bookmarkEnd w:id="1"/>
      <w:r w:rsidRPr="00C753C9">
        <w:t>Modification History</w:t>
      </w:r>
    </w:p>
    <w:p w:rsidR="00000000" w:rsidRPr="00C753C9" w:rsidP="00C753C9">
      <w:pPr>
        <w:pStyle w:val="BodyText"/>
      </w:pPr>
      <w:r w:rsidRPr="00C753C9">
        <w:t>Not Applicable</w:t>
      </w:r>
    </w:p>
    <w:p w:rsidR="00000000" w:rsidRPr="00C753C9" w:rsidP="00C753C9">
      <w:pPr>
        <w:pStyle w:val="AllowPageBreak"/>
      </w:pPr>
    </w:p>
    <w:p w:rsidR="00000000" w:rsidRPr="00C753C9" w:rsidP="00C753C9">
      <w:pPr>
        <w:pStyle w:val="Heading1"/>
      </w:pPr>
      <w:bookmarkStart w:id="2" w:name="O_207821"/>
      <w:bookmarkEnd w:id="2"/>
      <w:r w:rsidRPr="00C753C9">
        <w:t>Unit Descriptor</w:t>
      </w:r>
    </w:p>
    <w:tbl>
      <w:tblPr>
        <w:tblW w:w="0" w:type="auto"/>
        <w:tblLayout w:type="fixed"/>
        <w:tblCellMar>
          <w:left w:w="62" w:type="dxa"/>
          <w:right w:w="62" w:type="dxa"/>
        </w:tblCellMar>
        <w:tblLook w:val="0000"/>
      </w:tblPr>
      <w:tblGrid>
        <w:gridCol w:w="2661"/>
        <w:gridCol w:w="5861"/>
      </w:tblGrid>
      <w:tr w:rsidTr="00F365F0">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Unit de</w:t>
            </w:r>
            <w:r w:rsidRPr="00C753C9">
              <w:rPr>
                <w:rStyle w:val="SpecialBold"/>
              </w:rPr>
              <w:t>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BodyText"/>
            </w:pPr>
            <w:r w:rsidRPr="00C753C9">
              <w:t xml:space="preserve">This unit defines the competency required to develop, implement and evaluate information security in an IT system or application during the System Development Life Cycle (SDLC) prior to the Operations and Maintenance phase. </w:t>
            </w:r>
          </w:p>
          <w:p w:rsidR="00000000" w:rsidRPr="00C753C9" w:rsidP="00C753C9">
            <w:pPr>
              <w:pStyle w:val="BodyText"/>
            </w:pPr>
          </w:p>
          <w:p w:rsidR="00000000" w:rsidRPr="00C753C9" w:rsidP="00C753C9">
            <w:pPr>
              <w:pStyle w:val="BodyText"/>
            </w:pPr>
            <w:r w:rsidRPr="00C753C9">
              <w:t>The practice of these</w:t>
            </w:r>
            <w:r w:rsidRPr="00C753C9">
              <w:t xml:space="preserve"> protocols ensures that the operation of IT systems and software does not present undue risk to the enterprise and its information assets. </w:t>
            </w:r>
          </w:p>
          <w:p w:rsidR="00000000" w:rsidRPr="00C753C9" w:rsidP="00C753C9">
            <w:pPr>
              <w:pStyle w:val="BodyText"/>
            </w:pPr>
          </w:p>
          <w:p w:rsidR="00000000" w:rsidRPr="00C753C9" w:rsidP="00C753C9">
            <w:pPr>
              <w:pStyle w:val="BodyText"/>
            </w:pPr>
            <w:r w:rsidRPr="00C753C9">
              <w:t>This objective is accomplished through risk assessment; risk mitigation; security control selection, implementation</w:t>
            </w:r>
            <w:r w:rsidRPr="00C753C9">
              <w:t xml:space="preserve"> and evaluation; and software security standards compliance.</w:t>
            </w:r>
          </w:p>
          <w:p w:rsidR="00000000" w:rsidRPr="00C753C9" w:rsidP="00C753C9">
            <w:pPr>
              <w:pStyle w:val="BodyText"/>
            </w:pPr>
          </w:p>
          <w:p w:rsidR="00000000" w:rsidRPr="00C753C9" w:rsidP="00C753C9">
            <w:pPr>
              <w:pStyle w:val="BodyText"/>
            </w:pPr>
            <w:r w:rsidRPr="00C753C9">
              <w:t>No licensing, legislative, regulatory or certification requirements apply to this unit at the time of publication.</w:t>
            </w:r>
          </w:p>
        </w:tc>
      </w:tr>
    </w:tbl>
    <w:p w:rsidR="00F365F0" w:rsidP="00C753C9">
      <w:pPr>
        <w:pStyle w:val="BodyText"/>
      </w:pPr>
    </w:p>
    <w:p w:rsidR="00F365F0" w:rsidP="00C753C9">
      <w:pPr>
        <w:pStyle w:val="BodyText"/>
      </w:pPr>
    </w:p>
    <w:p w:rsidR="00000000" w:rsidRPr="00C753C9" w:rsidP="00C753C9">
      <w:pPr>
        <w:pStyle w:val="Heading1"/>
      </w:pPr>
      <w:bookmarkStart w:id="3" w:name="O_207825"/>
      <w:bookmarkEnd w:id="3"/>
      <w:r w:rsidRPr="00C753C9">
        <w:t>Application of the Unit</w:t>
      </w:r>
    </w:p>
    <w:tbl>
      <w:tblPr>
        <w:tblW w:w="0" w:type="auto"/>
        <w:tblLayout w:type="fixed"/>
        <w:tblCellMar>
          <w:left w:w="62" w:type="dxa"/>
          <w:right w:w="62" w:type="dxa"/>
        </w:tblCellMar>
        <w:tblLook w:val="0000"/>
      </w:tblPr>
      <w:tblGrid>
        <w:gridCol w:w="2764"/>
        <w:gridCol w:w="5758"/>
      </w:tblGrid>
      <w:tr w:rsidTr="00F365F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BodyText"/>
            </w:pPr>
          </w:p>
        </w:tc>
      </w:tr>
    </w:tbl>
    <w:p w:rsidR="00F365F0" w:rsidP="00C753C9">
      <w:pPr>
        <w:pStyle w:val="BodyText"/>
      </w:pPr>
    </w:p>
    <w:p w:rsidR="00F365F0" w:rsidP="00C753C9">
      <w:pPr>
        <w:pStyle w:val="BodyText"/>
      </w:pPr>
    </w:p>
    <w:p w:rsidR="00000000" w:rsidRPr="00C753C9" w:rsidP="00C753C9">
      <w:pPr>
        <w:pStyle w:val="Heading1"/>
      </w:pPr>
      <w:bookmarkStart w:id="4" w:name="O_279886"/>
      <w:bookmarkEnd w:id="4"/>
      <w:r w:rsidRPr="00C753C9">
        <w:t>Licensing/Regulatory Information</w:t>
      </w:r>
    </w:p>
    <w:p w:rsidR="00000000" w:rsidRPr="00C753C9" w:rsidP="00C753C9">
      <w:pPr>
        <w:pStyle w:val="BodyText"/>
      </w:pPr>
      <w:r w:rsidRPr="00C753C9">
        <w:t>Refer to Unit Descriptor</w:t>
      </w:r>
    </w:p>
    <w:p w:rsidR="00000000" w:rsidRPr="00C753C9" w:rsidP="00C753C9">
      <w:pPr>
        <w:pStyle w:val="AllowPageBreak"/>
      </w:pPr>
    </w:p>
    <w:p w:rsidR="00000000" w:rsidRPr="00C753C9" w:rsidP="00C753C9">
      <w:pPr>
        <w:pStyle w:val="Heading1"/>
      </w:pPr>
      <w:bookmarkStart w:id="5" w:name="O_207823"/>
      <w:bookmarkEnd w:id="5"/>
      <w:r w:rsidRPr="00C753C9">
        <w:t>Pre-Requisites</w:t>
      </w:r>
    </w:p>
    <w:tbl>
      <w:tblPr>
        <w:tblW w:w="0" w:type="auto"/>
        <w:tblLayout w:type="fixed"/>
        <w:tblCellMar>
          <w:left w:w="62" w:type="dxa"/>
          <w:right w:w="62" w:type="dxa"/>
        </w:tblCellMar>
        <w:tblLook w:val="0000"/>
      </w:tblPr>
      <w:tblGrid>
        <w:gridCol w:w="2716"/>
        <w:gridCol w:w="2073"/>
        <w:gridCol w:w="3733"/>
      </w:tblGrid>
      <w:tr w:rsidTr="00F365F0">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Prerequisite units</w:t>
            </w:r>
          </w:p>
        </w:tc>
        <w:tc>
          <w:tcPr>
            <w:tcW w:w="58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p>
        </w:tc>
      </w:tr>
      <w:tr w:rsidTr="00F365F0">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t>ICAB4225B</w:t>
            </w:r>
          </w:p>
        </w:tc>
        <w:tc>
          <w:tcPr>
            <w:tcW w:w="3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BodyText"/>
            </w:pPr>
            <w:r w:rsidRPr="00C753C9">
              <w:t>Automate processes</w:t>
            </w:r>
          </w:p>
        </w:tc>
      </w:tr>
    </w:tbl>
    <w:p w:rsidR="00F365F0" w:rsidP="00C753C9">
      <w:pPr>
        <w:pStyle w:val="BodyText"/>
      </w:pPr>
    </w:p>
    <w:p w:rsidR="00F365F0" w:rsidP="00C753C9">
      <w:pPr>
        <w:pStyle w:val="BodyText"/>
      </w:pPr>
    </w:p>
    <w:p w:rsidR="00000000" w:rsidRPr="00C753C9" w:rsidP="00C753C9">
      <w:pPr>
        <w:pStyle w:val="Heading1"/>
      </w:pPr>
      <w:bookmarkStart w:id="6" w:name="O_207822"/>
      <w:bookmarkEnd w:id="6"/>
      <w:r w:rsidRPr="00C753C9">
        <w:t>Employability Skills Information</w:t>
      </w:r>
    </w:p>
    <w:tbl>
      <w:tblPr>
        <w:tblW w:w="0" w:type="auto"/>
        <w:tblLayout w:type="fixed"/>
        <w:tblCellMar>
          <w:left w:w="62" w:type="dxa"/>
          <w:right w:w="62" w:type="dxa"/>
        </w:tblCellMar>
        <w:tblLook w:val="0000"/>
      </w:tblPr>
      <w:tblGrid>
        <w:gridCol w:w="2802"/>
        <w:gridCol w:w="5720"/>
      </w:tblGrid>
      <w:tr w:rsidTr="00F365F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BodyText"/>
            </w:pPr>
            <w:r w:rsidRPr="00C753C9">
              <w:t>This unit contains employability skills.</w:t>
            </w:r>
          </w:p>
        </w:tc>
      </w:tr>
    </w:tbl>
    <w:p w:rsidR="00F365F0" w:rsidP="00C753C9">
      <w:pPr>
        <w:pStyle w:val="BodyText"/>
      </w:pPr>
    </w:p>
    <w:p w:rsidR="00F365F0" w:rsidP="00C753C9">
      <w:pPr>
        <w:pStyle w:val="BodyText"/>
      </w:pPr>
    </w:p>
    <w:p w:rsidR="00000000" w:rsidRPr="00C753C9" w:rsidP="00C753C9">
      <w:pPr>
        <w:pStyle w:val="Heading1"/>
      </w:pPr>
      <w:bookmarkStart w:id="7" w:name="O_289672"/>
      <w:bookmarkEnd w:id="7"/>
      <w:r w:rsidRPr="00C753C9">
        <w:t>Elements and Performance Criteria Pre-Content</w:t>
      </w:r>
    </w:p>
    <w:tbl>
      <w:tblPr>
        <w:tblW w:w="0" w:type="auto"/>
        <w:tblLayout w:type="fixed"/>
        <w:tblCellMar>
          <w:left w:w="62" w:type="dxa"/>
          <w:right w:w="62" w:type="dxa"/>
        </w:tblCellMar>
        <w:tblLook w:val="0000"/>
      </w:tblPr>
      <w:tblGrid>
        <w:gridCol w:w="2577"/>
        <w:gridCol w:w="5945"/>
      </w:tblGrid>
      <w:tr w:rsidTr="00F365F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BodyText"/>
            </w:pPr>
            <w:r w:rsidRPr="00C753C9">
              <w:t>Performance criteria describe the performance needed to demonstrate achievement of the element. Where bold italicised text is used, further information is detailed in the required skills and knowledge section and the range statement. Assessment of performa</w:t>
            </w:r>
            <w:r w:rsidRPr="00C753C9">
              <w:t>nce is to be consistent with the evidence guide.</w:t>
            </w:r>
          </w:p>
        </w:tc>
      </w:tr>
    </w:tbl>
    <w:p w:rsidR="00000000" w:rsidRPr="00C753C9" w:rsidP="00C753C9">
      <w:pPr>
        <w:pStyle w:val="BodyText"/>
      </w:pPr>
    </w:p>
    <w:p w:rsidR="00000000" w:rsidRPr="00C753C9" w:rsidP="00C753C9">
      <w:pPr>
        <w:pStyle w:val="AllowPageBreak"/>
      </w:pPr>
    </w:p>
    <w:p w:rsidR="00000000" w:rsidRPr="00C753C9" w:rsidP="00C753C9">
      <w:pPr>
        <w:pStyle w:val="Heading1"/>
      </w:pPr>
      <w:bookmarkStart w:id="8" w:name="O_236339"/>
      <w:bookmarkEnd w:id="8"/>
      <w:r w:rsidRPr="00C753C9">
        <w:t>Elements and Performance Criteria</w:t>
      </w:r>
    </w:p>
    <w:tbl>
      <w:tblPr>
        <w:tblW w:w="0" w:type="auto"/>
        <w:tblLayout w:type="fixed"/>
        <w:tblCellMar>
          <w:left w:w="62" w:type="dxa"/>
          <w:right w:w="62" w:type="dxa"/>
        </w:tblCellMar>
        <w:tblLook w:val="0000"/>
      </w:tblPr>
      <w:tblGrid>
        <w:gridCol w:w="2577"/>
        <w:gridCol w:w="5945"/>
      </w:tblGrid>
      <w:tr w:rsidTr="00F365F0">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BodyText"/>
            </w:pPr>
            <w:r w:rsidRPr="00C753C9">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PERFORMANCE CRITERIA</w:t>
            </w:r>
          </w:p>
        </w:tc>
      </w:tr>
      <w:tr w:rsidTr="00F365F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List"/>
              <w:rPr>
                <w:lang w:val="en-NZ"/>
              </w:rPr>
            </w:pPr>
            <w:r w:rsidRPr="00C753C9">
              <w:t>1.</w:t>
            </w:r>
            <w:r w:rsidRPr="00C753C9">
              <w:tab/>
              <w:t>Develop system and application security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List2"/>
            </w:pPr>
            <w:r w:rsidRPr="00C753C9">
              <w:t>1.1.</w:t>
            </w:r>
            <w:r w:rsidRPr="00C753C9">
              <w:tab/>
              <w:t xml:space="preserve">Specify the enterprise and </w:t>
            </w:r>
            <w:r w:rsidRPr="00C753C9">
              <w:rPr>
                <w:rStyle w:val="BoldandItalics"/>
              </w:rPr>
              <w:t>IT system or application</w:t>
            </w:r>
            <w:r w:rsidRPr="00C753C9">
              <w:t xml:space="preserve"> security policies</w:t>
            </w:r>
          </w:p>
          <w:p w:rsidR="00000000" w:rsidRPr="00C753C9" w:rsidP="00C753C9">
            <w:pPr>
              <w:pStyle w:val="List2"/>
            </w:pPr>
            <w:r w:rsidRPr="00C753C9">
              <w:t>1.2.</w:t>
            </w:r>
            <w:r w:rsidRPr="00C753C9">
              <w:tab/>
            </w:r>
            <w:r w:rsidRPr="00C753C9">
              <w:t xml:space="preserve">Specify the security requirements for the </w:t>
            </w:r>
            <w:r w:rsidRPr="00C753C9">
              <w:rPr>
                <w:rStyle w:val="BoldandItalics"/>
              </w:rPr>
              <w:t>IT system or application</w:t>
            </w:r>
          </w:p>
          <w:p w:rsidR="00000000" w:rsidRPr="00C753C9" w:rsidP="00C753C9">
            <w:pPr>
              <w:pStyle w:val="List2"/>
            </w:pPr>
            <w:r w:rsidRPr="00C753C9">
              <w:t>1.3.</w:t>
            </w:r>
            <w:r w:rsidRPr="00C753C9">
              <w:tab/>
              <w:t xml:space="preserve">Author an IT system or application security plan in accordance with the enterprise and </w:t>
            </w:r>
            <w:r w:rsidRPr="00C753C9">
              <w:rPr>
                <w:rStyle w:val="BoldandItalics"/>
              </w:rPr>
              <w:t>IT system or application</w:t>
            </w:r>
            <w:r w:rsidRPr="00C753C9">
              <w:t xml:space="preserve"> security policies</w:t>
            </w:r>
          </w:p>
          <w:p w:rsidR="00000000" w:rsidRPr="00C753C9" w:rsidP="00C753C9">
            <w:pPr>
              <w:pStyle w:val="List2"/>
            </w:pPr>
            <w:r w:rsidRPr="00C753C9">
              <w:t>1.4.</w:t>
            </w:r>
            <w:r w:rsidRPr="00C753C9">
              <w:tab/>
              <w:t xml:space="preserve">Identify the standards against which to engineer </w:t>
            </w:r>
            <w:r w:rsidRPr="00C753C9">
              <w:t xml:space="preserve">the </w:t>
            </w:r>
            <w:r w:rsidRPr="00C753C9">
              <w:rPr>
                <w:rStyle w:val="BoldandItalics"/>
              </w:rPr>
              <w:t>IT system or application</w:t>
            </w:r>
          </w:p>
          <w:p w:rsidR="00000000" w:rsidRPr="00C753C9" w:rsidP="00C753C9">
            <w:pPr>
              <w:pStyle w:val="List2"/>
            </w:pPr>
            <w:r w:rsidRPr="00C753C9">
              <w:t>1.5.</w:t>
            </w:r>
            <w:r w:rsidRPr="00C753C9">
              <w:tab/>
              <w:t>Specify the criteria for performing risk-based audits against the IT system or application</w:t>
            </w:r>
          </w:p>
          <w:p w:rsidR="00000000" w:rsidRPr="00C753C9" w:rsidP="00C753C9">
            <w:pPr>
              <w:pStyle w:val="List2"/>
            </w:pPr>
            <w:r w:rsidRPr="00C753C9">
              <w:t>1.6.</w:t>
            </w:r>
            <w:r w:rsidRPr="00C753C9">
              <w:tab/>
              <w:t xml:space="preserve">Develop processes and procedures to mitigate the introduction of </w:t>
            </w:r>
            <w:r w:rsidRPr="00C753C9">
              <w:rPr>
                <w:rStyle w:val="BoldandItalics"/>
              </w:rPr>
              <w:t>vulnerabilities</w:t>
            </w:r>
            <w:r w:rsidRPr="00C753C9">
              <w:t xml:space="preserve"> during the engineering process</w:t>
            </w:r>
          </w:p>
          <w:p w:rsidR="00000000" w:rsidP="00C753C9">
            <w:pPr>
              <w:pStyle w:val="List2"/>
              <w:rPr>
                <w:lang w:val="en-NZ"/>
              </w:rPr>
            </w:pPr>
            <w:r w:rsidRPr="00C753C9">
              <w:t>1.7.</w:t>
            </w:r>
            <w:r w:rsidRPr="00C753C9">
              <w:tab/>
              <w:t>Integrate</w:t>
            </w:r>
            <w:r w:rsidRPr="00C753C9">
              <w:t xml:space="preserve"> applicable information security requirements, controls, processes, and procedures into </w:t>
            </w:r>
            <w:r w:rsidRPr="00C753C9">
              <w:rPr>
                <w:rStyle w:val="BoldandItalics"/>
              </w:rPr>
              <w:t>IT system and application</w:t>
            </w:r>
            <w:r w:rsidRPr="00C753C9">
              <w:t xml:space="preserve"> design specifications in accordance with </w:t>
            </w:r>
            <w:r w:rsidRPr="00C753C9">
              <w:rPr>
                <w:rStyle w:val="BoldandItalics"/>
              </w:rPr>
              <w:t>established requirements</w:t>
            </w:r>
            <w:r w:rsidRPr="00C753C9">
              <w:t>.</w:t>
            </w:r>
          </w:p>
        </w:tc>
      </w:tr>
      <w:tr w:rsidTr="00F365F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List"/>
              <w:rPr>
                <w:lang w:val="en-NZ"/>
              </w:rPr>
            </w:pPr>
            <w:r w:rsidRPr="00C753C9">
              <w:t>2.</w:t>
            </w:r>
            <w:r w:rsidRPr="00C753C9">
              <w:tab/>
              <w:t>Implement system and application security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List2"/>
            </w:pPr>
            <w:r w:rsidRPr="00C753C9">
              <w:t>2.1.</w:t>
            </w:r>
            <w:r w:rsidRPr="00C753C9">
              <w:tab/>
              <w:t>Execute the enterprise a</w:t>
            </w:r>
            <w:r w:rsidRPr="00C753C9">
              <w:t>nd IT system or application security policies</w:t>
            </w:r>
          </w:p>
          <w:p w:rsidR="00000000" w:rsidRPr="00C753C9" w:rsidP="00C753C9">
            <w:pPr>
              <w:pStyle w:val="List2"/>
            </w:pPr>
            <w:r w:rsidRPr="00C753C9">
              <w:t>2.2.</w:t>
            </w:r>
            <w:r w:rsidRPr="00C753C9">
              <w:tab/>
              <w:t xml:space="preserve">Apply and verify compliance with the identified standards against which to engineer </w:t>
            </w:r>
            <w:r w:rsidRPr="00C753C9">
              <w:rPr>
                <w:rStyle w:val="BoldandItalics"/>
              </w:rPr>
              <w:t>the IT system or application</w:t>
            </w:r>
          </w:p>
          <w:p w:rsidR="00000000" w:rsidRPr="00C753C9" w:rsidP="00C753C9">
            <w:pPr>
              <w:pStyle w:val="List2"/>
            </w:pPr>
            <w:r w:rsidRPr="00C753C9">
              <w:t>2.3.</w:t>
            </w:r>
            <w:r w:rsidRPr="00C753C9">
              <w:tab/>
              <w:t xml:space="preserve">Perform the processes and procedures to mitigate the introduction of </w:t>
            </w:r>
            <w:r w:rsidRPr="00C753C9">
              <w:rPr>
                <w:rStyle w:val="BoldandItalics"/>
              </w:rPr>
              <w:t>vulnerabilities</w:t>
            </w:r>
            <w:r w:rsidRPr="00C753C9">
              <w:t xml:space="preserve"> du</w:t>
            </w:r>
            <w:r w:rsidRPr="00C753C9">
              <w:t>ring the engineering process</w:t>
            </w:r>
          </w:p>
          <w:p w:rsidR="00000000" w:rsidRPr="00C753C9" w:rsidP="00C753C9">
            <w:pPr>
              <w:pStyle w:val="List2"/>
            </w:pPr>
            <w:r w:rsidRPr="00C753C9">
              <w:t>2.4.</w:t>
            </w:r>
            <w:r w:rsidRPr="00C753C9">
              <w:tab/>
              <w:t>Perform secure configuration management practices</w:t>
            </w:r>
          </w:p>
          <w:p w:rsidR="00000000" w:rsidRPr="00C753C9" w:rsidP="00C753C9">
            <w:pPr>
              <w:pStyle w:val="List2"/>
            </w:pPr>
            <w:r w:rsidRPr="00C753C9">
              <w:t>2.5.</w:t>
            </w:r>
            <w:r w:rsidRPr="00C753C9">
              <w:tab/>
              <w:t xml:space="preserve">Validate that the engineered </w:t>
            </w:r>
            <w:r w:rsidRPr="00C753C9">
              <w:rPr>
                <w:rStyle w:val="BoldandItalics"/>
              </w:rPr>
              <w:t>IT system and application</w:t>
            </w:r>
            <w:r w:rsidRPr="00C753C9">
              <w:t xml:space="preserve"> security controls meet the specified requirements</w:t>
            </w:r>
          </w:p>
          <w:p w:rsidR="00000000" w:rsidRPr="00C753C9" w:rsidP="00C753C9">
            <w:pPr>
              <w:pStyle w:val="List2"/>
            </w:pPr>
            <w:r w:rsidRPr="00C753C9">
              <w:t>2.6.</w:t>
            </w:r>
            <w:r w:rsidRPr="00C753C9">
              <w:tab/>
              <w:t xml:space="preserve">Reengineer security controls to mitigate </w:t>
            </w:r>
            <w:r w:rsidRPr="00C753C9">
              <w:rPr>
                <w:rStyle w:val="BoldandItalics"/>
              </w:rPr>
              <w:t>vulnerabilities</w:t>
            </w:r>
            <w:r w:rsidRPr="00C753C9">
              <w:t xml:space="preserve"> identified during the operations phase</w:t>
            </w:r>
          </w:p>
          <w:p w:rsidR="00000000" w:rsidRPr="00C753C9" w:rsidP="00C753C9">
            <w:pPr>
              <w:pStyle w:val="List2"/>
            </w:pPr>
            <w:r w:rsidRPr="00C753C9">
              <w:t>2.7.</w:t>
            </w:r>
            <w:r w:rsidRPr="00C753C9">
              <w:tab/>
              <w:t>Ensure the integration of information security practices throughout the SDLC process</w:t>
            </w:r>
          </w:p>
          <w:p w:rsidR="00000000" w:rsidRPr="00C753C9" w:rsidP="00C753C9">
            <w:pPr>
              <w:pStyle w:val="List2"/>
            </w:pPr>
            <w:r w:rsidRPr="00C753C9">
              <w:t>2.8.</w:t>
            </w:r>
            <w:r w:rsidRPr="00C753C9">
              <w:tab/>
              <w:t xml:space="preserve">Document </w:t>
            </w:r>
            <w:r w:rsidRPr="00C753C9">
              <w:rPr>
                <w:rStyle w:val="BoldandItalics"/>
              </w:rPr>
              <w:t>IT system or application security</w:t>
            </w:r>
            <w:r w:rsidRPr="00C753C9">
              <w:t xml:space="preserve"> controls addressed within the system</w:t>
            </w:r>
          </w:p>
          <w:p w:rsidR="00000000" w:rsidP="00C753C9">
            <w:pPr>
              <w:pStyle w:val="List2"/>
              <w:rPr>
                <w:lang w:val="en-NZ"/>
              </w:rPr>
            </w:pPr>
            <w:r w:rsidRPr="00C753C9">
              <w:t>2.9.</w:t>
            </w:r>
            <w:r w:rsidRPr="00C753C9">
              <w:tab/>
              <w:t>Practise secure coding practices</w:t>
            </w:r>
          </w:p>
        </w:tc>
      </w:tr>
      <w:tr w:rsidTr="00F365F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List"/>
              <w:rPr>
                <w:lang w:val="en-NZ"/>
              </w:rPr>
            </w:pPr>
            <w:r w:rsidRPr="00C753C9">
              <w:t>3.</w:t>
            </w:r>
            <w:r w:rsidRPr="00C753C9">
              <w:tab/>
              <w:t>Evaluate system and application security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List2"/>
            </w:pPr>
            <w:r w:rsidRPr="00C753C9">
              <w:t>3.1.</w:t>
            </w:r>
            <w:r w:rsidRPr="00C753C9">
              <w:tab/>
              <w:t>Review new and existing risk management technologies to achieve an optimal enterprise risk posture</w:t>
            </w:r>
          </w:p>
          <w:p w:rsidR="00000000" w:rsidRPr="00C753C9" w:rsidP="00C753C9">
            <w:pPr>
              <w:pStyle w:val="List2"/>
            </w:pPr>
            <w:r w:rsidRPr="00C753C9">
              <w:t>3.2.</w:t>
            </w:r>
            <w:r w:rsidRPr="00C753C9">
              <w:tab/>
              <w:t>Review new and existing IT security technologies to support secure engineering across the SDLC phases</w:t>
            </w:r>
          </w:p>
          <w:p w:rsidR="00000000" w:rsidRPr="00C753C9" w:rsidP="00C753C9">
            <w:pPr>
              <w:pStyle w:val="List2"/>
            </w:pPr>
            <w:r w:rsidRPr="00C753C9">
              <w:t>3.3</w:t>
            </w:r>
            <w:r w:rsidRPr="00C753C9">
              <w:t>.</w:t>
            </w:r>
            <w:r w:rsidRPr="00C753C9">
              <w:tab/>
              <w:t>Continually assess the effectiveness of the information system's controls based on risk management practices and procedures</w:t>
            </w:r>
          </w:p>
          <w:p w:rsidR="00000000" w:rsidRPr="00C753C9" w:rsidP="00C753C9">
            <w:pPr>
              <w:pStyle w:val="List2"/>
            </w:pPr>
            <w:r w:rsidRPr="00C753C9">
              <w:t>3.4.</w:t>
            </w:r>
            <w:r w:rsidRPr="00C753C9">
              <w:tab/>
              <w:t>Assess and evaluate system compliance with corporate policies and architectures</w:t>
            </w:r>
          </w:p>
          <w:p w:rsidR="00000000" w:rsidRPr="00C753C9" w:rsidP="00C753C9">
            <w:pPr>
              <w:pStyle w:val="List2"/>
            </w:pPr>
            <w:r w:rsidRPr="00C753C9">
              <w:t>3.5.</w:t>
            </w:r>
            <w:r w:rsidRPr="00C753C9">
              <w:tab/>
              <w:t>Assess system maturation and readiness f</w:t>
            </w:r>
            <w:r w:rsidRPr="00C753C9">
              <w:t>or promotion to the production stage</w:t>
            </w:r>
          </w:p>
          <w:p w:rsidR="00000000" w:rsidRPr="00C753C9" w:rsidP="00C753C9">
            <w:pPr>
              <w:pStyle w:val="List2"/>
            </w:pPr>
            <w:r w:rsidRPr="00C753C9">
              <w:t>3.6.</w:t>
            </w:r>
            <w:r w:rsidRPr="00C753C9">
              <w:tab/>
              <w:t>Collect lessons learned from integration of information security into the SDLC and use to identify improvement actions</w:t>
            </w:r>
          </w:p>
          <w:p w:rsidR="00000000" w:rsidRPr="00C753C9" w:rsidP="00C753C9">
            <w:pPr>
              <w:pStyle w:val="List2"/>
            </w:pPr>
            <w:r w:rsidRPr="00C753C9">
              <w:t>3.7.</w:t>
            </w:r>
            <w:r w:rsidRPr="00C753C9">
              <w:tab/>
              <w:t>Collect, analyse and report performance measures</w:t>
            </w:r>
          </w:p>
        </w:tc>
      </w:tr>
    </w:tbl>
    <w:p w:rsidR="00F365F0" w:rsidP="00C753C9">
      <w:pPr>
        <w:pStyle w:val="BodyText"/>
      </w:pPr>
    </w:p>
    <w:p w:rsidR="00F365F0" w:rsidP="00C753C9">
      <w:pPr>
        <w:pStyle w:val="BodyText"/>
      </w:pPr>
    </w:p>
    <w:p w:rsidR="00000000" w:rsidRPr="00C753C9" w:rsidP="00C753C9">
      <w:pPr>
        <w:pStyle w:val="Heading1"/>
      </w:pPr>
      <w:bookmarkStart w:id="9" w:name="O_260289"/>
      <w:bookmarkEnd w:id="9"/>
      <w:r w:rsidRPr="00C753C9">
        <w:t>Required Skills and Knowledge</w:t>
      </w:r>
    </w:p>
    <w:tbl>
      <w:tblPr>
        <w:tblW w:w="0" w:type="auto"/>
        <w:tblLayout w:type="fixed"/>
        <w:tblCellMar>
          <w:left w:w="62" w:type="dxa"/>
          <w:right w:w="62" w:type="dxa"/>
        </w:tblCellMar>
        <w:tblLook w:val="0000"/>
      </w:tblPr>
      <w:tblGrid>
        <w:gridCol w:w="8522"/>
      </w:tblGrid>
      <w:tr w:rsidTr="00F365F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REQUIRED SKILLS AND KNOWLEDGE</w:t>
            </w:r>
          </w:p>
        </w:tc>
      </w:tr>
      <w:tr w:rsidTr="00F365F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t>This section describes the skills and knowledge required for this unit.</w:t>
            </w:r>
          </w:p>
        </w:tc>
      </w:tr>
      <w:tr w:rsidTr="00F365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Required skills</w:t>
            </w:r>
          </w:p>
        </w:tc>
      </w:tr>
      <w:tr w:rsidTr="00F365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ListBullet"/>
            </w:pPr>
            <w:r w:rsidRPr="00C753C9">
              <w:t>Reading and interpreting program specifications</w:t>
            </w:r>
          </w:p>
          <w:p w:rsidR="00000000" w:rsidRPr="00C753C9" w:rsidP="00C753C9">
            <w:pPr>
              <w:pStyle w:val="ListBullet"/>
            </w:pPr>
            <w:r w:rsidRPr="00C753C9">
              <w:t>Translating requirements from problem space to machine space</w:t>
            </w:r>
          </w:p>
          <w:p w:rsidR="00000000" w:rsidRPr="00C753C9" w:rsidP="00C753C9">
            <w:pPr>
              <w:pStyle w:val="ListBullet"/>
            </w:pPr>
            <w:r w:rsidRPr="00C753C9">
              <w:t>Integrated development environment usage</w:t>
            </w:r>
          </w:p>
          <w:p w:rsidR="00000000" w:rsidRPr="00C753C9" w:rsidP="00C753C9">
            <w:pPr>
              <w:pStyle w:val="ListBullet"/>
            </w:pPr>
            <w:r w:rsidRPr="00C753C9">
              <w:t>Basic programming techniques</w:t>
            </w:r>
          </w:p>
          <w:p w:rsidR="00000000" w:rsidRPr="00C753C9" w:rsidP="00C753C9">
            <w:pPr>
              <w:pStyle w:val="ListBullet"/>
            </w:pPr>
            <w:r w:rsidRPr="00C753C9">
              <w:t>Internal (code) documentation techniques</w:t>
            </w:r>
          </w:p>
          <w:p w:rsidR="00000000" w:rsidRPr="00C753C9" w:rsidP="00C753C9">
            <w:pPr>
              <w:pStyle w:val="ListBullet"/>
            </w:pPr>
            <w:r w:rsidRPr="00C753C9">
              <w:t>Basic debugging techniques</w:t>
            </w:r>
          </w:p>
          <w:p w:rsidR="00000000" w:rsidRPr="00C753C9" w:rsidP="00C753C9">
            <w:pPr>
              <w:pStyle w:val="ListBullet"/>
            </w:pPr>
            <w:r w:rsidRPr="00C753C9">
              <w:t>Testing techniques</w:t>
            </w:r>
          </w:p>
          <w:p w:rsidR="00000000" w:rsidP="00C753C9">
            <w:pPr>
              <w:pStyle w:val="ListBullet"/>
              <w:rPr>
                <w:lang w:val="en-NZ"/>
              </w:rPr>
            </w:pPr>
            <w:r w:rsidRPr="00C753C9">
              <w:t>Basic documentation techniques</w:t>
            </w:r>
          </w:p>
        </w:tc>
      </w:tr>
      <w:tr w:rsidTr="00F365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Requir</w:t>
            </w:r>
            <w:r w:rsidRPr="00C753C9">
              <w:rPr>
                <w:rStyle w:val="SpecialBold"/>
              </w:rPr>
              <w:t>ed knowledge</w:t>
            </w:r>
          </w:p>
        </w:tc>
      </w:tr>
      <w:tr w:rsidTr="00F365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ListBullet"/>
            </w:pPr>
            <w:r w:rsidRPr="00C753C9">
              <w:t>Programming language</w:t>
            </w:r>
          </w:p>
          <w:p w:rsidR="00000000" w:rsidRPr="00C753C9" w:rsidP="00C753C9">
            <w:pPr>
              <w:pStyle w:val="ListBullet"/>
            </w:pPr>
            <w:r w:rsidRPr="00C753C9">
              <w:t>Small size application development</w:t>
            </w:r>
          </w:p>
          <w:p w:rsidR="00000000" w:rsidRPr="00C753C9" w:rsidP="00C753C9">
            <w:pPr>
              <w:pStyle w:val="ListBullet"/>
            </w:pPr>
            <w:r w:rsidRPr="00C753C9">
              <w:t>Data structures</w:t>
            </w:r>
          </w:p>
          <w:p w:rsidR="00000000" w:rsidRPr="00C753C9" w:rsidP="00C753C9">
            <w:pPr>
              <w:pStyle w:val="ListBullet"/>
            </w:pPr>
            <w:r w:rsidRPr="00C753C9">
              <w:t>GUI interfaces</w:t>
            </w:r>
          </w:p>
          <w:p w:rsidR="00000000" w:rsidRPr="00C753C9" w:rsidP="00C753C9">
            <w:pPr>
              <w:pStyle w:val="ListBullet"/>
            </w:pPr>
            <w:r w:rsidRPr="00C753C9">
              <w:t>Best practice in application of language syntax rules</w:t>
            </w:r>
          </w:p>
        </w:tc>
      </w:tr>
    </w:tbl>
    <w:p w:rsidR="00F365F0" w:rsidP="00C753C9">
      <w:pPr>
        <w:pStyle w:val="BodyText"/>
      </w:pPr>
    </w:p>
    <w:p w:rsidR="00F365F0" w:rsidP="00C753C9">
      <w:pPr>
        <w:pStyle w:val="BodyText"/>
      </w:pPr>
    </w:p>
    <w:p w:rsidR="00000000" w:rsidRPr="00C753C9" w:rsidP="00C753C9">
      <w:pPr>
        <w:pStyle w:val="AllowPageBreak"/>
      </w:pPr>
    </w:p>
    <w:p w:rsidR="00000000" w:rsidRPr="00C753C9" w:rsidP="00C753C9">
      <w:pPr>
        <w:pStyle w:val="Heading1"/>
      </w:pPr>
      <w:bookmarkStart w:id="10" w:name="O_244323"/>
      <w:bookmarkEnd w:id="10"/>
      <w:r w:rsidRPr="00C753C9">
        <w:t>Evidence Guide</w:t>
      </w:r>
    </w:p>
    <w:tbl>
      <w:tblPr>
        <w:tblW w:w="9570" w:type="dxa"/>
        <w:tblLayout w:type="fixed"/>
        <w:tblCellMar>
          <w:left w:w="62" w:type="dxa"/>
          <w:right w:w="62" w:type="dxa"/>
        </w:tblCellMar>
        <w:tblLook w:val="0000"/>
      </w:tblPr>
      <w:tblGrid>
        <w:gridCol w:w="3908"/>
        <w:gridCol w:w="5662"/>
      </w:tblGrid>
      <w:tr w:rsidTr="00F365F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EVIDENCE GUIDE</w:t>
            </w:r>
          </w:p>
        </w:tc>
      </w:tr>
      <w:tr w:rsidTr="00F365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t>The evidence guide provides advice on assessment and must be read in conjunction with the performance criteria, required skills and knowledge, range statement and the Assessment Guidelines for the Training Package.</w:t>
            </w:r>
          </w:p>
        </w:tc>
      </w:tr>
      <w:tr w:rsidTr="00F365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p>
        </w:tc>
      </w:tr>
      <w:tr w:rsidTr="00F365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BodyText"/>
            </w:pPr>
            <w:r w:rsidRPr="00C753C9">
              <w:t>Evidence of the following is essential:</w:t>
            </w:r>
          </w:p>
          <w:p w:rsidR="00000000" w:rsidRPr="00C753C9" w:rsidP="00C753C9">
            <w:pPr>
              <w:pStyle w:val="ListBullet"/>
            </w:pPr>
            <w:r w:rsidRPr="00C753C9">
              <w:t>IT system or application security plan</w:t>
            </w:r>
          </w:p>
          <w:p w:rsidR="00000000" w:rsidRPr="00C753C9" w:rsidP="00C753C9">
            <w:pPr>
              <w:pStyle w:val="ListBullet"/>
            </w:pPr>
            <w:r w:rsidRPr="00C753C9">
              <w:t>Application and verifying compliance with the identified standards</w:t>
            </w:r>
          </w:p>
          <w:p w:rsidR="00000000" w:rsidRPr="00C753C9" w:rsidP="00C753C9">
            <w:pPr>
              <w:pStyle w:val="ListBullet"/>
            </w:pPr>
            <w:r w:rsidRPr="00C753C9">
              <w:t>Practise secure c</w:t>
            </w:r>
            <w:r w:rsidRPr="00C753C9">
              <w:t>oding practices</w:t>
            </w:r>
          </w:p>
          <w:p w:rsidR="00000000" w:rsidP="00C753C9">
            <w:pPr>
              <w:pStyle w:val="ListBullet"/>
              <w:rPr>
                <w:lang w:val="en-NZ"/>
              </w:rPr>
            </w:pPr>
            <w:r w:rsidRPr="00C753C9">
              <w:t>Assess and evaluate system compliance</w:t>
            </w:r>
          </w:p>
        </w:tc>
      </w:tr>
      <w:tr w:rsidTr="00F365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BodyText"/>
            </w:pPr>
            <w:r w:rsidRPr="00C753C9">
              <w:t>Assessment must ensure:</w:t>
            </w:r>
          </w:p>
          <w:p w:rsidR="00000000" w:rsidRPr="00C753C9" w:rsidP="00C753C9">
            <w:pPr>
              <w:pStyle w:val="ListBullet"/>
            </w:pPr>
            <w:r w:rsidRPr="00C753C9">
              <w:t>Author an IT system or application security plan</w:t>
            </w:r>
          </w:p>
          <w:p w:rsidR="00000000" w:rsidRPr="00C753C9" w:rsidP="00C753C9">
            <w:pPr>
              <w:pStyle w:val="ListBullet"/>
            </w:pPr>
            <w:r w:rsidRPr="00C753C9">
              <w:t>Apply and verify compliance with the identified standards</w:t>
            </w:r>
          </w:p>
          <w:p w:rsidR="00000000" w:rsidRPr="00C753C9" w:rsidP="00C753C9">
            <w:pPr>
              <w:pStyle w:val="ListBullet"/>
            </w:pPr>
            <w:r w:rsidRPr="00C753C9">
              <w:t>Ensure the integratio</w:t>
            </w:r>
            <w:r w:rsidRPr="00C753C9">
              <w:t>n of information security practices</w:t>
            </w:r>
          </w:p>
          <w:p w:rsidR="00000000" w:rsidRPr="00C753C9" w:rsidP="00C753C9">
            <w:pPr>
              <w:pStyle w:val="ListBullet"/>
            </w:pPr>
            <w:r w:rsidRPr="00C753C9">
              <w:t>Re-engineer security controls to mitigate vulnerabilities</w:t>
            </w:r>
          </w:p>
          <w:p w:rsidR="00000000" w:rsidRPr="00C753C9" w:rsidP="00C753C9">
            <w:pPr>
              <w:pStyle w:val="ListBullet"/>
            </w:pPr>
            <w:r w:rsidRPr="00C753C9">
              <w:t>Assess and evaluate system compliance</w:t>
            </w:r>
          </w:p>
          <w:p w:rsidR="00000000" w:rsidRPr="00C753C9" w:rsidP="00C753C9">
            <w:pPr>
              <w:pStyle w:val="ListBullet"/>
            </w:pPr>
          </w:p>
          <w:p w:rsidR="00000000" w:rsidRPr="00C753C9" w:rsidP="00C753C9">
            <w:pPr>
              <w:pStyle w:val="BodyText"/>
            </w:pPr>
            <w:r w:rsidRPr="00C753C9">
              <w:t>To demonstrate competency in this unit the following resources will be needed:</w:t>
            </w:r>
          </w:p>
          <w:p w:rsidR="00000000" w:rsidRPr="00C753C9" w:rsidP="00C753C9">
            <w:pPr>
              <w:pStyle w:val="ListBullet"/>
            </w:pPr>
            <w:r w:rsidRPr="00C753C9">
              <w:t>IT business specifications</w:t>
            </w:r>
          </w:p>
          <w:p w:rsidR="00000000" w:rsidRPr="00C753C9" w:rsidP="00C753C9">
            <w:pPr>
              <w:pStyle w:val="ListBullet"/>
            </w:pPr>
            <w:r w:rsidRPr="00C753C9">
              <w:t>Information on th</w:t>
            </w:r>
            <w:r w:rsidRPr="00C753C9">
              <w:t>e security environment including relevant laws/legislation, existing organisational security policies, organisational expertise and knowledge</w:t>
            </w:r>
          </w:p>
          <w:p w:rsidR="00000000" w:rsidRPr="00C753C9" w:rsidP="00C753C9">
            <w:pPr>
              <w:pStyle w:val="ListBullet"/>
            </w:pPr>
            <w:r w:rsidRPr="00C753C9">
              <w:t>Possible security environment also includes the threats to security that are, or are held to be, present in the en</w:t>
            </w:r>
            <w:r w:rsidRPr="00C753C9">
              <w:t>vironment</w:t>
            </w:r>
          </w:p>
          <w:p w:rsidR="00000000" w:rsidRPr="00C753C9" w:rsidP="00C753C9">
            <w:pPr>
              <w:pStyle w:val="ListBullet"/>
            </w:pPr>
            <w:r w:rsidRPr="00C753C9">
              <w:t>Risk analysis tools/methodologies</w:t>
            </w:r>
          </w:p>
          <w:p w:rsidR="00000000" w:rsidRPr="00C753C9" w:rsidP="00C753C9">
            <w:pPr>
              <w:pStyle w:val="ListBullet"/>
            </w:pPr>
            <w:r w:rsidRPr="00C753C9">
              <w:t>IT security assurance specifications</w:t>
            </w:r>
          </w:p>
          <w:p w:rsidR="00000000" w:rsidP="00C753C9">
            <w:pPr>
              <w:pStyle w:val="ListBullet"/>
              <w:rPr>
                <w:lang w:val="en-NZ"/>
              </w:rPr>
            </w:pPr>
            <w:r w:rsidRPr="00C753C9">
              <w:t>Application and system scenarios</w:t>
            </w:r>
          </w:p>
        </w:tc>
      </w:tr>
      <w:tr w:rsidTr="00F365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BodyText"/>
            </w:pPr>
            <w:r w:rsidRPr="00C753C9">
              <w:t>The purpose of this unit is to define the standard of perform</w:t>
            </w:r>
            <w:r w:rsidRPr="00C753C9">
              <w:t>ance to be achieved in the workplace. In undertaking training and assessment activities related to this unit, consideration should be given to the implementation of appropriate diversity and accessibility practices in order to accommodate people who may ha</w:t>
            </w:r>
            <w:r w:rsidRPr="00C753C9">
              <w:t>ve special needs. Additional guidance on these and related matters is provided in ICA05 Section 1.</w:t>
            </w:r>
          </w:p>
          <w:p w:rsidR="00000000" w:rsidRPr="00C753C9" w:rsidP="00C753C9">
            <w:pPr>
              <w:pStyle w:val="BodyText"/>
            </w:pPr>
          </w:p>
          <w:p w:rsidR="00000000" w:rsidRPr="00C753C9" w:rsidP="00C753C9">
            <w:pPr>
              <w:pStyle w:val="BodyText"/>
            </w:pPr>
            <w:r w:rsidRPr="00C753C9">
              <w:t xml:space="preserve">The following assessment method is appropriate for this unit: </w:t>
            </w:r>
          </w:p>
          <w:p w:rsidR="00000000" w:rsidRPr="00C753C9" w:rsidP="00C753C9">
            <w:pPr>
              <w:pStyle w:val="BodyText"/>
            </w:pPr>
          </w:p>
          <w:p w:rsidR="00000000" w:rsidRPr="00C753C9" w:rsidP="00C753C9">
            <w:pPr>
              <w:pStyle w:val="ListBullet"/>
            </w:pPr>
            <w:r w:rsidRPr="00C753C9">
              <w:t>Competency in this unit should to be assessed using summative assessment to ensure consisten</w:t>
            </w:r>
            <w:r w:rsidRPr="00C753C9">
              <w:t>cy of performance in a range of contexts. This unit can be assessed either in the workplace or in a simulated environment. However, simulated activities must closely reflect the workplace to enable full demonstration of competency.</w:t>
            </w:r>
          </w:p>
          <w:p w:rsidR="00000000" w:rsidRPr="00C753C9" w:rsidP="00C753C9">
            <w:pPr>
              <w:pStyle w:val="BodyText"/>
            </w:pPr>
          </w:p>
          <w:p w:rsidR="00000000" w:rsidP="00C753C9">
            <w:pPr>
              <w:pStyle w:val="BodyText"/>
              <w:rPr>
                <w:lang w:val="en-NZ"/>
              </w:rPr>
            </w:pPr>
            <w:r w:rsidRPr="00C753C9">
              <w:t>Assessment will usually</w:t>
            </w:r>
            <w:r w:rsidRPr="00C753C9">
              <w:t xml:space="preserve"> include observation of real or simulated work processes and procedures and/or performance in a project context as well as questioning on underpinning knowledge and skills. The questioning of team members, supervisors, subordinates, peers and clients where</w:t>
            </w:r>
            <w:r w:rsidRPr="00C753C9">
              <w:t xml:space="preserve"> appropriate may provide valuable input to the assessment process. The interdependence of units for assessment purposes may vary with the particular project or scenario. </w:t>
            </w:r>
          </w:p>
        </w:tc>
      </w:tr>
      <w:tr w:rsidTr="00F365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BodyText"/>
            </w:pPr>
            <w:r w:rsidRPr="00C753C9">
              <w:t>Holistic assessment with other units relevant to</w:t>
            </w:r>
            <w:r w:rsidRPr="00C753C9">
              <w:t xml:space="preserve"> the industry sector, workplace and job role is recommended.</w:t>
            </w:r>
          </w:p>
          <w:p w:rsidR="00000000" w:rsidRPr="00C753C9" w:rsidP="00C753C9">
            <w:pPr>
              <w:pStyle w:val="BodyText"/>
            </w:pPr>
          </w:p>
          <w:p w:rsidR="00000000" w:rsidRPr="00C753C9" w:rsidP="00C753C9">
            <w:pPr>
              <w:pStyle w:val="BodyText"/>
            </w:pPr>
            <w:r w:rsidRPr="00C753C9">
              <w:t>Additionally, an individual demonstrating this competency would be able to:</w:t>
            </w:r>
          </w:p>
          <w:p w:rsidR="00000000" w:rsidRPr="00C753C9" w:rsidP="00C753C9">
            <w:pPr>
              <w:pStyle w:val="ListBullet"/>
            </w:pPr>
            <w:r w:rsidRPr="00C753C9">
              <w:t>Demonstrate understanding of specialised knowledge with depth in some areas</w:t>
            </w:r>
          </w:p>
          <w:p w:rsidR="00000000" w:rsidRPr="00C753C9" w:rsidP="00C753C9">
            <w:pPr>
              <w:pStyle w:val="ListBullet"/>
            </w:pPr>
            <w:r w:rsidRPr="00C753C9">
              <w:t>Analyse, diagnose, design and execute judg</w:t>
            </w:r>
            <w:r w:rsidRPr="00C753C9">
              <w:t>ement across a broad range of technical or management functions</w:t>
            </w:r>
          </w:p>
          <w:p w:rsidR="00000000" w:rsidRPr="00C753C9" w:rsidP="00C753C9">
            <w:pPr>
              <w:pStyle w:val="ListBullet"/>
            </w:pPr>
            <w:r w:rsidRPr="00C753C9">
              <w:t>Generate ideas through the analysis of information and concepts at an abstract level</w:t>
            </w:r>
          </w:p>
          <w:p w:rsidR="00000000" w:rsidRPr="00C753C9" w:rsidP="00C753C9">
            <w:pPr>
              <w:pStyle w:val="ListBullet"/>
            </w:pPr>
            <w:r w:rsidRPr="00C753C9">
              <w:t>Demonstrate a command of wide-ranging, highly specialised technical, creative or conceptual skills</w:t>
            </w:r>
          </w:p>
          <w:p w:rsidR="00000000" w:rsidRPr="00C753C9" w:rsidP="00C753C9">
            <w:pPr>
              <w:pStyle w:val="ListBullet"/>
            </w:pPr>
            <w:r w:rsidRPr="00C753C9">
              <w:t>Demonstrate accountability for personal outputs within broad parameters</w:t>
            </w:r>
          </w:p>
          <w:p w:rsidR="00000000" w:rsidRPr="00C753C9" w:rsidP="00C753C9">
            <w:pPr>
              <w:pStyle w:val="ListBullet"/>
            </w:pPr>
            <w:r w:rsidRPr="00C753C9">
              <w:t>Demonstrate accountability for personal and group outcomes within broad parameters.</w:t>
            </w:r>
          </w:p>
        </w:tc>
      </w:tr>
    </w:tbl>
    <w:p w:rsidR="00F365F0" w:rsidP="00C753C9">
      <w:pPr>
        <w:pStyle w:val="BodyText"/>
      </w:pPr>
    </w:p>
    <w:p w:rsidR="00F365F0" w:rsidP="00C753C9">
      <w:pPr>
        <w:pStyle w:val="BodyText"/>
      </w:pPr>
    </w:p>
    <w:p w:rsidR="00000000" w:rsidRPr="00C753C9" w:rsidP="00C753C9">
      <w:pPr>
        <w:pStyle w:val="Heading1"/>
      </w:pPr>
      <w:bookmarkStart w:id="11" w:name="O_252306"/>
      <w:bookmarkEnd w:id="11"/>
      <w:r w:rsidRPr="00C753C9">
        <w:t>Range Statement</w:t>
      </w:r>
    </w:p>
    <w:tbl>
      <w:tblPr>
        <w:tblW w:w="0" w:type="auto"/>
        <w:tblLayout w:type="fixed"/>
        <w:tblCellMar>
          <w:left w:w="62" w:type="dxa"/>
          <w:right w:w="62" w:type="dxa"/>
        </w:tblCellMar>
        <w:tblLook w:val="0000"/>
      </w:tblPr>
      <w:tblGrid>
        <w:gridCol w:w="3533"/>
        <w:gridCol w:w="4989"/>
      </w:tblGrid>
      <w:tr w:rsidTr="00F365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RANGE STATEMENT</w:t>
            </w:r>
          </w:p>
        </w:tc>
      </w:tr>
      <w:tr w:rsidTr="00F365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t>The range statement relates to the unit of competency as a whole. It allows for different work environments and situations that may affect performance. Bold italicised wording, if used in the performance criteria, is detailed below. Essential operating con</w:t>
            </w:r>
            <w:r w:rsidRPr="00C753C9">
              <w:t>ditions that may be present with training and assessment (depending on the work situation, needs of the candidate, accessibility of the item, and local industry and regional contexts) may also be included.</w:t>
            </w:r>
          </w:p>
        </w:tc>
      </w:tr>
      <w:tr w:rsidTr="00F365F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Established requirements may include</w:t>
            </w:r>
            <w:r w:rsidRPr="00C753C9">
              <w: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ListBullet"/>
            </w:pPr>
            <w:r w:rsidRPr="00C753C9">
              <w:t>standards</w:t>
            </w:r>
          </w:p>
          <w:p w:rsidR="00000000" w:rsidRPr="00C753C9" w:rsidP="00C753C9">
            <w:pPr>
              <w:pStyle w:val="ListBullet"/>
            </w:pPr>
            <w:r w:rsidRPr="00C753C9">
              <w:t>policies</w:t>
            </w:r>
          </w:p>
          <w:p w:rsidR="00000000" w:rsidRPr="00C753C9" w:rsidP="00C753C9">
            <w:pPr>
              <w:pStyle w:val="ListBullet"/>
            </w:pPr>
            <w:r w:rsidRPr="00C753C9">
              <w:t>regulations</w:t>
            </w:r>
          </w:p>
          <w:p w:rsidR="00000000" w:rsidP="00C753C9">
            <w:pPr>
              <w:pStyle w:val="ListBullet"/>
              <w:rPr>
                <w:lang w:val="en-NZ"/>
              </w:rPr>
            </w:pPr>
            <w:r w:rsidRPr="00C753C9">
              <w:t>and laws</w:t>
            </w:r>
          </w:p>
        </w:tc>
      </w:tr>
      <w:tr w:rsidTr="00F365F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IT system or application may include</w:t>
            </w:r>
            <w:r w:rsidRPr="00C753C9">
              <w: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ListBullet"/>
            </w:pPr>
            <w:r w:rsidRPr="00C753C9">
              <w:t>program</w:t>
            </w:r>
          </w:p>
          <w:p w:rsidR="00000000" w:rsidRPr="00C753C9" w:rsidP="00C753C9">
            <w:pPr>
              <w:pStyle w:val="ListBullet"/>
            </w:pPr>
            <w:r w:rsidRPr="00C753C9">
              <w:t>applications</w:t>
            </w:r>
          </w:p>
          <w:p w:rsidR="00000000" w:rsidRPr="00C753C9" w:rsidP="00C753C9">
            <w:pPr>
              <w:pStyle w:val="ListBullet"/>
            </w:pPr>
            <w:r w:rsidRPr="00C753C9">
              <w:t>collection of programs</w:t>
            </w:r>
          </w:p>
          <w:p w:rsidR="00000000" w:rsidRPr="00C753C9" w:rsidP="00C753C9">
            <w:pPr>
              <w:pStyle w:val="ListBullet"/>
            </w:pPr>
            <w:r w:rsidRPr="00C753C9">
              <w:t>integrated suite of programs</w:t>
            </w:r>
          </w:p>
          <w:p w:rsidR="00000000" w:rsidP="00C753C9">
            <w:pPr>
              <w:pStyle w:val="ListBullet"/>
              <w:rPr>
                <w:lang w:val="en-NZ"/>
              </w:rPr>
            </w:pPr>
            <w:r w:rsidRPr="00C753C9">
              <w:t>operating system and system software</w:t>
            </w:r>
          </w:p>
        </w:tc>
      </w:tr>
      <w:tr w:rsidTr="00F365F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Vulnerabilities may include</w:t>
            </w:r>
            <w:r w:rsidRPr="00C753C9">
              <w: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ListBullet"/>
            </w:pPr>
            <w:r w:rsidRPr="00C753C9">
              <w:t>errors in application or system</w:t>
            </w:r>
          </w:p>
          <w:p w:rsidR="00000000" w:rsidRPr="00C753C9" w:rsidP="00C753C9">
            <w:pPr>
              <w:pStyle w:val="ListBullet"/>
            </w:pPr>
            <w:r w:rsidRPr="00C753C9">
              <w:t>trapdoors</w:t>
            </w:r>
          </w:p>
          <w:p w:rsidR="00000000" w:rsidRPr="00C753C9" w:rsidP="00C753C9">
            <w:pPr>
              <w:pStyle w:val="ListBullet"/>
            </w:pPr>
            <w:r w:rsidRPr="00C753C9">
              <w:t>undefined variables</w:t>
            </w:r>
          </w:p>
          <w:p w:rsidR="00000000" w:rsidRPr="00C753C9" w:rsidP="00C753C9">
            <w:pPr>
              <w:pStyle w:val="ListBullet"/>
            </w:pPr>
            <w:r w:rsidRPr="00C753C9">
              <w:t>buffer overflows</w:t>
            </w:r>
          </w:p>
          <w:p w:rsidR="00000000" w:rsidRPr="00C753C9" w:rsidP="00C753C9">
            <w:pPr>
              <w:pStyle w:val="ListBullet"/>
            </w:pPr>
            <w:r w:rsidRPr="00C753C9">
              <w:t>undefined or undocumented code</w:t>
            </w:r>
          </w:p>
          <w:p w:rsidR="00000000" w:rsidRPr="00C753C9" w:rsidP="00C753C9">
            <w:pPr>
              <w:pStyle w:val="ListBullet"/>
            </w:pPr>
            <w:r w:rsidRPr="00C753C9">
              <w:t>untested code</w:t>
            </w:r>
          </w:p>
          <w:p w:rsidR="00000000" w:rsidRPr="00C753C9" w:rsidP="00C753C9">
            <w:pPr>
              <w:pStyle w:val="ListBullet"/>
            </w:pPr>
            <w:r w:rsidRPr="00C753C9">
              <w:t>poor design</w:t>
            </w:r>
          </w:p>
        </w:tc>
      </w:tr>
    </w:tbl>
    <w:p w:rsidR="00F365F0" w:rsidP="00C753C9">
      <w:pPr>
        <w:pStyle w:val="BodyText"/>
      </w:pPr>
    </w:p>
    <w:p w:rsidR="00F365F0" w:rsidP="00C753C9">
      <w:pPr>
        <w:pStyle w:val="BodyText"/>
      </w:pPr>
    </w:p>
    <w:p w:rsidR="00000000" w:rsidRPr="00C753C9" w:rsidP="00C753C9">
      <w:pPr>
        <w:pStyle w:val="Heading1"/>
      </w:pPr>
      <w:bookmarkStart w:id="12" w:name="O_207827"/>
      <w:bookmarkEnd w:id="12"/>
      <w:r w:rsidRPr="00C753C9">
        <w:t>Unit Sector(s)</w:t>
      </w:r>
    </w:p>
    <w:tbl>
      <w:tblPr>
        <w:tblW w:w="0" w:type="auto"/>
        <w:tblLayout w:type="fixed"/>
        <w:tblCellMar>
          <w:left w:w="62" w:type="dxa"/>
          <w:right w:w="62" w:type="dxa"/>
        </w:tblCellMar>
        <w:tblLook w:val="0000"/>
      </w:tblPr>
      <w:tblGrid>
        <w:gridCol w:w="2654"/>
        <w:gridCol w:w="5868"/>
      </w:tblGrid>
      <w:tr w:rsidTr="00F365F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BodyText"/>
            </w:pPr>
          </w:p>
        </w:tc>
      </w:tr>
    </w:tbl>
    <w:p w:rsidR="00F365F0" w:rsidP="00C753C9">
      <w:pPr>
        <w:pStyle w:val="BodyText"/>
      </w:pPr>
    </w:p>
    <w:p w:rsidR="00F365F0" w:rsidP="00C753C9">
      <w:pPr>
        <w:pStyle w:val="BodyText"/>
      </w:pPr>
    </w:p>
    <w:p w:rsidR="00000000" w:rsidRPr="00C753C9" w:rsidP="00C753C9">
      <w:pPr>
        <w:pStyle w:val="Heading1"/>
      </w:pPr>
      <w:bookmarkStart w:id="13" w:name="O_207824"/>
      <w:bookmarkEnd w:id="13"/>
      <w:r w:rsidRPr="00C753C9">
        <w:t>Co-requisite units</w:t>
      </w:r>
    </w:p>
    <w:tbl>
      <w:tblPr>
        <w:tblW w:w="0" w:type="auto"/>
        <w:tblLayout w:type="fixed"/>
        <w:tblCellMar>
          <w:left w:w="62" w:type="dxa"/>
          <w:right w:w="62" w:type="dxa"/>
        </w:tblCellMar>
        <w:tblLook w:val="0000"/>
      </w:tblPr>
      <w:tblGrid>
        <w:gridCol w:w="2641"/>
        <w:gridCol w:w="1322"/>
        <w:gridCol w:w="4559"/>
      </w:tblGrid>
      <w:tr w:rsidTr="00F365F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p>
        </w:tc>
      </w:tr>
      <w:tr w:rsidTr="00F365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p>
        </w:tc>
      </w:tr>
      <w:tr w:rsidTr="00F365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BodyText"/>
            </w:pPr>
          </w:p>
        </w:tc>
      </w:tr>
    </w:tbl>
    <w:p w:rsidR="00F365F0" w:rsidP="00C753C9">
      <w:pPr>
        <w:pStyle w:val="BodyText"/>
      </w:pPr>
    </w:p>
    <w:p w:rsidR="00F365F0" w:rsidP="00C753C9">
      <w:pPr>
        <w:pStyle w:val="BodyText"/>
      </w:pPr>
    </w:p>
    <w:p w:rsidR="00000000" w:rsidRPr="00C753C9" w:rsidP="00C753C9">
      <w:pPr>
        <w:pStyle w:val="Heading1"/>
      </w:pPr>
      <w:bookmarkStart w:id="14" w:name="O_207826"/>
      <w:bookmarkEnd w:id="14"/>
      <w:r w:rsidRPr="00C753C9">
        <w:t>Competency field</w:t>
      </w:r>
    </w:p>
    <w:tbl>
      <w:tblPr>
        <w:tblW w:w="0" w:type="auto"/>
        <w:tblLayout w:type="fixed"/>
        <w:tblCellMar>
          <w:left w:w="62" w:type="dxa"/>
          <w:right w:w="62" w:type="dxa"/>
        </w:tblCellMar>
        <w:tblLook w:val="0000"/>
      </w:tblPr>
      <w:tblGrid>
        <w:gridCol w:w="2784"/>
        <w:gridCol w:w="5738"/>
      </w:tblGrid>
      <w:tr w:rsidTr="00F365F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C9">
            <w:pPr>
              <w:pStyle w:val="BodyText"/>
              <w:rPr>
                <w:lang w:val="en-NZ"/>
              </w:rPr>
            </w:pPr>
            <w:r w:rsidRPr="00C753C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C9" w:rsidP="00C753C9">
            <w:pPr>
              <w:pStyle w:val="BodyText"/>
            </w:pPr>
          </w:p>
        </w:tc>
      </w:tr>
    </w:tbl>
    <w:p w:rsidR="00F365F0" w:rsidP="00C753C9">
      <w:pPr>
        <w:pStyle w:val="BodyText"/>
      </w:pPr>
    </w:p>
    <w:p w:rsidR="00F365F0" w:rsidP="00C753C9">
      <w:pPr>
        <w:pStyle w:val="BodyText"/>
      </w:pPr>
    </w:p>
    <w:p w:rsidR="00000000" w:rsidRPr="00C753C9" w:rsidP="00C753C9"/>
    <w:sectPr w:rsidSect="00C753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65F0" w:rsidP="00F365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5F0" w:rsidP="00C753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365F0" w:rsidP="00C753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65F0" w:rsidP="00C753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C9" w:rsidRPr="00F365F0" w:rsidP="00F365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5F0" w:rsidRPr="002D2AF8" w:rsidP="00C753C9">
    <w:pPr>
      <w:pStyle w:val="Header"/>
      <w:framePr w:wrap="around"/>
    </w:pPr>
    <w:r>
      <w:fldChar w:fldCharType="begin"/>
    </w:r>
    <w:r>
      <w:instrText xml:space="preserve"> TITLE   \* MERGEFORMAT </w:instrText>
    </w:r>
    <w:r>
      <w:fldChar w:fldCharType="separate"/>
    </w:r>
    <w:r>
      <w:t>ICAI5250A Develop, implement and evaluate system and application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365F0" w:rsidP="00C753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DCF4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3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53C9"/>
    <w:pPr>
      <w:spacing w:before="360" w:after="60"/>
      <w:outlineLvl w:val="0"/>
    </w:pPr>
    <w:rPr>
      <w:sz w:val="32"/>
    </w:rPr>
  </w:style>
  <w:style w:type="paragraph" w:styleId="Heading2">
    <w:name w:val="heading 2"/>
    <w:basedOn w:val="HeadingBase"/>
    <w:next w:val="BodyText"/>
    <w:link w:val="Heading2Char"/>
    <w:qFormat/>
    <w:rsid w:val="00C753C9"/>
    <w:pPr>
      <w:keepLines/>
      <w:spacing w:before="240" w:after="120"/>
      <w:outlineLvl w:val="1"/>
    </w:pPr>
    <w:rPr>
      <w:sz w:val="28"/>
      <w:szCs w:val="40"/>
    </w:rPr>
  </w:style>
  <w:style w:type="paragraph" w:styleId="Heading3">
    <w:name w:val="heading 3"/>
    <w:basedOn w:val="HeadingBase"/>
    <w:next w:val="BodyText"/>
    <w:link w:val="Heading3Char"/>
    <w:qFormat/>
    <w:rsid w:val="00C753C9"/>
    <w:pPr>
      <w:spacing w:before="180" w:after="120"/>
      <w:outlineLvl w:val="2"/>
    </w:pPr>
    <w:rPr>
      <w:spacing w:val="-10"/>
      <w:kern w:val="32"/>
    </w:rPr>
  </w:style>
  <w:style w:type="paragraph" w:styleId="Heading4">
    <w:name w:val="heading 4"/>
    <w:basedOn w:val="HeadingBase"/>
    <w:next w:val="BodyText"/>
    <w:link w:val="Heading4Char"/>
    <w:qFormat/>
    <w:rsid w:val="00C753C9"/>
    <w:pPr>
      <w:spacing w:before="160" w:after="120"/>
      <w:outlineLvl w:val="3"/>
    </w:pPr>
    <w:rPr>
      <w:sz w:val="22"/>
    </w:rPr>
  </w:style>
  <w:style w:type="paragraph" w:styleId="Heading5">
    <w:name w:val="heading 5"/>
    <w:basedOn w:val="HeadingBase"/>
    <w:next w:val="Normal"/>
    <w:link w:val="Heading5Char"/>
    <w:qFormat/>
    <w:rsid w:val="00C753C9"/>
    <w:pPr>
      <w:spacing w:before="80"/>
      <w:outlineLvl w:val="4"/>
    </w:pPr>
    <w:rPr>
      <w:color w:val="918585"/>
      <w:sz w:val="20"/>
    </w:rPr>
  </w:style>
  <w:style w:type="paragraph" w:styleId="Heading6">
    <w:name w:val="heading 6"/>
    <w:basedOn w:val="HeadingBase"/>
    <w:next w:val="Normal"/>
    <w:link w:val="Heading6Char"/>
    <w:qFormat/>
    <w:rsid w:val="00C753C9"/>
    <w:pPr>
      <w:spacing w:before="60"/>
      <w:outlineLvl w:val="5"/>
    </w:pPr>
    <w:rPr>
      <w:color w:val="918585"/>
      <w:sz w:val="20"/>
    </w:rPr>
  </w:style>
  <w:style w:type="paragraph" w:styleId="Heading7">
    <w:name w:val="heading 7"/>
    <w:basedOn w:val="Normal"/>
    <w:next w:val="Normal"/>
    <w:link w:val="Heading7Char"/>
    <w:qFormat/>
    <w:rsid w:val="00C753C9"/>
    <w:pPr>
      <w:ind w:left="720"/>
      <w:outlineLvl w:val="6"/>
    </w:pPr>
    <w:rPr>
      <w:i/>
    </w:rPr>
  </w:style>
  <w:style w:type="paragraph" w:styleId="Heading8">
    <w:name w:val="heading 8"/>
    <w:basedOn w:val="Normal"/>
    <w:next w:val="Normal"/>
    <w:link w:val="Heading8Char"/>
    <w:qFormat/>
    <w:rsid w:val="00C753C9"/>
    <w:pPr>
      <w:ind w:left="720"/>
      <w:outlineLvl w:val="7"/>
    </w:pPr>
    <w:rPr>
      <w:i/>
    </w:rPr>
  </w:style>
  <w:style w:type="paragraph" w:styleId="Heading9">
    <w:name w:val="heading 9"/>
    <w:basedOn w:val="Normal"/>
    <w:next w:val="Normal"/>
    <w:link w:val="Heading9Char"/>
    <w:qFormat/>
    <w:rsid w:val="00C753C9"/>
    <w:pPr>
      <w:ind w:left="720"/>
      <w:outlineLvl w:val="8"/>
    </w:pPr>
    <w:rPr>
      <w:i/>
    </w:rPr>
  </w:style>
  <w:style w:type="character" w:default="1" w:styleId="DefaultParagraphFont">
    <w:name w:val="Default Paragraph Font"/>
    <w:uiPriority w:val="1"/>
    <w:unhideWhenUsed/>
    <w:rsid w:val="00C753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3C9"/>
  </w:style>
  <w:style w:type="character" w:customStyle="1" w:styleId="Heading1Char">
    <w:name w:val="Heading 1 Char"/>
    <w:basedOn w:val="DefaultParagraphFont"/>
    <w:link w:val="Heading1"/>
    <w:rsid w:val="00C753C9"/>
    <w:rPr>
      <w:rFonts w:ascii="Times New Roman" w:eastAsia="Times New Roman" w:hAnsi="Times New Roman" w:cs="Times New Roman"/>
      <w:b/>
      <w:sz w:val="32"/>
      <w:szCs w:val="20"/>
      <w:lang w:eastAsia="en-US"/>
    </w:rPr>
  </w:style>
  <w:style w:type="paragraph" w:styleId="BodyText">
    <w:name w:val="Body Text"/>
    <w:basedOn w:val="Normal"/>
    <w:link w:val="BodyTextChar"/>
    <w:rsid w:val="00C753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53C9"/>
    <w:rPr>
      <w:rFonts w:ascii="Times New Roman" w:eastAsia="Times New Roman" w:hAnsi="Times New Roman" w:cs="Times New Roman"/>
      <w:sz w:val="24"/>
      <w:lang w:eastAsia="en-US"/>
    </w:rPr>
  </w:style>
  <w:style w:type="paragraph" w:styleId="Footer">
    <w:name w:val="footer"/>
    <w:basedOn w:val="Normal"/>
    <w:link w:val="FooterChar"/>
    <w:rsid w:val="00C753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3C9"/>
    <w:rPr>
      <w:rFonts w:ascii="Times New Roman" w:eastAsia="Times New Roman" w:hAnsi="Times New Roman" w:cs="Times New Roman"/>
      <w:sz w:val="16"/>
      <w:lang w:eastAsia="en-US"/>
    </w:rPr>
  </w:style>
  <w:style w:type="paragraph" w:styleId="List">
    <w:name w:val="List"/>
    <w:basedOn w:val="BodyText"/>
    <w:next w:val="BodyText"/>
    <w:rsid w:val="00C753C9"/>
    <w:pPr>
      <w:tabs>
        <w:tab w:val="left" w:pos="340"/>
      </w:tabs>
      <w:spacing w:before="60" w:after="60"/>
      <w:ind w:left="340" w:hanging="340"/>
    </w:pPr>
  </w:style>
  <w:style w:type="paragraph" w:styleId="ListBullet">
    <w:name w:val="List Bullet"/>
    <w:basedOn w:val="List"/>
    <w:rsid w:val="00C753C9"/>
    <w:pPr>
      <w:numPr>
        <w:numId w:val="12"/>
      </w:numPr>
      <w:tabs>
        <w:tab w:val="clear" w:pos="340"/>
      </w:tabs>
      <w:spacing w:before="40" w:after="40"/>
    </w:pPr>
  </w:style>
  <w:style w:type="character" w:customStyle="1" w:styleId="SpecialBold">
    <w:name w:val="Special Bold"/>
    <w:basedOn w:val="DefaultParagraphFont"/>
    <w:rsid w:val="00C753C9"/>
    <w:rPr>
      <w:b/>
      <w:spacing w:val="0"/>
    </w:rPr>
  </w:style>
  <w:style w:type="paragraph" w:customStyle="1" w:styleId="SuperHeading">
    <w:name w:val="SuperHeading"/>
    <w:basedOn w:val="Normal"/>
    <w:rsid w:val="00C753C9"/>
    <w:pPr>
      <w:spacing w:before="240" w:after="120"/>
      <w:outlineLvl w:val="0"/>
    </w:pPr>
    <w:rPr>
      <w:rFonts w:ascii="Times New Roman" w:hAnsi="Times New Roman"/>
      <w:b/>
      <w:sz w:val="28"/>
    </w:rPr>
  </w:style>
  <w:style w:type="paragraph" w:customStyle="1" w:styleId="AllowPageBreak">
    <w:name w:val="AllowPageBreak"/>
    <w:rsid w:val="00C753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53C9"/>
    <w:pPr>
      <w:tabs>
        <w:tab w:val="left" w:pos="680"/>
      </w:tabs>
      <w:spacing w:before="60" w:after="60"/>
      <w:ind w:left="680" w:hanging="340"/>
    </w:pPr>
  </w:style>
  <w:style w:type="character" w:customStyle="1" w:styleId="BoldandItalics">
    <w:name w:val="Bold and Italics"/>
    <w:qFormat/>
    <w:rsid w:val="00C753C9"/>
    <w:rPr>
      <w:b/>
      <w:i/>
      <w:u w:val="none"/>
    </w:rPr>
  </w:style>
  <w:style w:type="character" w:customStyle="1" w:styleId="Heading2Char">
    <w:name w:val="Heading 2 Char"/>
    <w:basedOn w:val="DefaultParagraphFont"/>
    <w:link w:val="Heading2"/>
    <w:rsid w:val="00C753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3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3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3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3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3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53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53C9"/>
    <w:rPr>
      <w:rFonts w:ascii="Courier New" w:eastAsia="Times New Roman" w:hAnsi="Courier New" w:cs="Times New Roman"/>
      <w:i/>
      <w:szCs w:val="20"/>
      <w:lang w:eastAsia="en-US"/>
    </w:rPr>
  </w:style>
  <w:style w:type="paragraph" w:customStyle="1" w:styleId="HeadingBase">
    <w:name w:val="Heading Base"/>
    <w:rsid w:val="00C753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3C9"/>
    <w:pPr>
      <w:tabs>
        <w:tab w:val="right" w:leader="dot" w:pos="9072"/>
      </w:tabs>
      <w:ind w:left="567"/>
    </w:pPr>
    <w:rPr>
      <w:szCs w:val="22"/>
    </w:rPr>
  </w:style>
  <w:style w:type="paragraph" w:customStyle="1" w:styleId="TOCBase">
    <w:name w:val="TOC Base"/>
    <w:rsid w:val="00C753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3C9"/>
    <w:pPr>
      <w:tabs>
        <w:tab w:val="right" w:leader="dot" w:pos="9072"/>
      </w:tabs>
      <w:spacing w:before="40" w:after="40"/>
      <w:ind w:left="284"/>
    </w:pPr>
    <w:rPr>
      <w:rFonts w:ascii="Times New Roman" w:hAnsi="Times New Roman"/>
    </w:rPr>
  </w:style>
  <w:style w:type="paragraph" w:styleId="TOC1">
    <w:name w:val="toc 1"/>
    <w:basedOn w:val="TOCBase"/>
    <w:next w:val="Normal"/>
    <w:rsid w:val="00C753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53C9"/>
    <w:pPr>
      <w:spacing w:before="5040"/>
      <w:jc w:val="center"/>
    </w:pPr>
    <w:rPr>
      <w:sz w:val="48"/>
      <w:szCs w:val="72"/>
      <w:lang w:val="en-US"/>
    </w:rPr>
  </w:style>
  <w:style w:type="character" w:customStyle="1" w:styleId="TitleChar">
    <w:name w:val="Title Char"/>
    <w:basedOn w:val="DefaultParagraphFont"/>
    <w:link w:val="Title"/>
    <w:rsid w:val="00C753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3C9"/>
    <w:pPr>
      <w:tabs>
        <w:tab w:val="left" w:pos="3600"/>
        <w:tab w:val="left" w:pos="3958"/>
      </w:tabs>
    </w:pPr>
  </w:style>
  <w:style w:type="paragraph" w:customStyle="1" w:styleId="Note">
    <w:name w:val="Note"/>
    <w:basedOn w:val="BodyText"/>
    <w:rsid w:val="00C753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3C9"/>
    <w:pPr>
      <w:framePr w:wrap="auto" w:hAnchor="text" w:y="6049"/>
    </w:pPr>
    <w:rPr>
      <w:color w:val="000000"/>
      <w:sz w:val="40"/>
    </w:rPr>
  </w:style>
  <w:style w:type="paragraph" w:customStyle="1" w:styleId="TOCTitle">
    <w:name w:val="TOCTitle"/>
    <w:basedOn w:val="Heading1"/>
    <w:rsid w:val="00C753C9"/>
    <w:pPr>
      <w:spacing w:after="240"/>
      <w:jc w:val="center"/>
      <w:outlineLvl w:val="9"/>
    </w:pPr>
    <w:rPr>
      <w:caps/>
    </w:rPr>
  </w:style>
  <w:style w:type="paragraph" w:customStyle="1" w:styleId="Version">
    <w:name w:val="Version"/>
    <w:rsid w:val="00C753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53C9"/>
    <w:pPr>
      <w:numPr>
        <w:numId w:val="13"/>
      </w:numPr>
      <w:tabs>
        <w:tab w:val="clear" w:pos="680"/>
      </w:tabs>
    </w:pPr>
  </w:style>
  <w:style w:type="paragraph" w:styleId="Index1">
    <w:name w:val="index 1"/>
    <w:basedOn w:val="Normal"/>
    <w:next w:val="Normal"/>
    <w:semiHidden/>
    <w:rsid w:val="00C753C9"/>
    <w:pPr>
      <w:keepNext w:val="0"/>
      <w:tabs>
        <w:tab w:val="right" w:pos="4176"/>
      </w:tabs>
      <w:ind w:left="198" w:hanging="198"/>
    </w:pPr>
    <w:rPr>
      <w:rFonts w:ascii="Garamond" w:hAnsi="Garamond"/>
    </w:rPr>
  </w:style>
  <w:style w:type="paragraph" w:styleId="IndexHeading">
    <w:name w:val="index heading"/>
    <w:basedOn w:val="Normal"/>
    <w:next w:val="Index1"/>
    <w:semiHidden/>
    <w:rsid w:val="00C753C9"/>
    <w:pPr>
      <w:spacing w:before="120" w:after="120"/>
    </w:pPr>
    <w:rPr>
      <w:rFonts w:ascii="Arial" w:hAnsi="Arial"/>
      <w:b/>
      <w:color w:val="918585"/>
      <w:sz w:val="24"/>
    </w:rPr>
  </w:style>
  <w:style w:type="paragraph" w:styleId="Header">
    <w:name w:val="header"/>
    <w:basedOn w:val="Normal"/>
    <w:link w:val="HeaderChar"/>
    <w:rsid w:val="00C753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3C9"/>
    <w:rPr>
      <w:rFonts w:ascii="Times New Roman" w:eastAsia="Times New Roman" w:hAnsi="Times New Roman" w:cs="Times New Roman"/>
      <w:sz w:val="16"/>
      <w:szCs w:val="20"/>
      <w:lang w:val="en-GB" w:eastAsia="en-US"/>
    </w:rPr>
  </w:style>
  <w:style w:type="paragraph" w:customStyle="1" w:styleId="Chapter">
    <w:name w:val="Chapter"/>
    <w:basedOn w:val="Normal"/>
    <w:rsid w:val="00C753C9"/>
    <w:pPr>
      <w:spacing w:before="240"/>
    </w:pPr>
    <w:rPr>
      <w:rFonts w:ascii="Times New Roman" w:hAnsi="Times New Roman"/>
      <w:smallCaps/>
      <w:spacing w:val="80"/>
      <w:sz w:val="28"/>
    </w:rPr>
  </w:style>
  <w:style w:type="paragraph" w:customStyle="1" w:styleId="InChapter">
    <w:name w:val="InChapter"/>
    <w:basedOn w:val="Heading3"/>
    <w:rsid w:val="00C753C9"/>
    <w:pPr>
      <w:spacing w:after="240"/>
      <w:outlineLvl w:val="9"/>
    </w:pPr>
    <w:rPr>
      <w:noProof/>
    </w:rPr>
  </w:style>
  <w:style w:type="paragraph" w:styleId="Index2">
    <w:name w:val="index 2"/>
    <w:basedOn w:val="Normal"/>
    <w:next w:val="Normal"/>
    <w:semiHidden/>
    <w:rsid w:val="00C753C9"/>
    <w:pPr>
      <w:tabs>
        <w:tab w:val="right" w:pos="4176"/>
      </w:tabs>
      <w:ind w:left="568" w:hanging="284"/>
    </w:pPr>
    <w:rPr>
      <w:rFonts w:ascii="Garamond" w:hAnsi="Garamond"/>
    </w:rPr>
  </w:style>
  <w:style w:type="paragraph" w:customStyle="1" w:styleId="Byline">
    <w:name w:val="Byline"/>
    <w:rsid w:val="00C753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3C9"/>
    <w:pPr>
      <w:tabs>
        <w:tab w:val="clear" w:pos="3600"/>
        <w:tab w:val="clear" w:pos="3958"/>
      </w:tabs>
      <w:jc w:val="right"/>
    </w:pPr>
  </w:style>
  <w:style w:type="character" w:styleId="Emphasis">
    <w:name w:val="Emphasis"/>
    <w:basedOn w:val="DefaultParagraphFont"/>
    <w:qFormat/>
    <w:rsid w:val="00C753C9"/>
    <w:rPr>
      <w:i/>
    </w:rPr>
  </w:style>
  <w:style w:type="paragraph" w:styleId="Caption">
    <w:name w:val="caption"/>
    <w:basedOn w:val="BodyText"/>
    <w:next w:val="Normal"/>
    <w:qFormat/>
    <w:rsid w:val="00C753C9"/>
    <w:pPr>
      <w:framePr w:w="2268" w:hSpace="181" w:vSpace="181" w:wrap="around" w:vAnchor="text" w:hAnchor="page" w:x="1135" w:y="285" w:anchorLock="1"/>
    </w:pPr>
    <w:rPr>
      <w:i/>
    </w:rPr>
  </w:style>
  <w:style w:type="paragraph" w:customStyle="1" w:styleId="MiniTOCTitle">
    <w:name w:val="MiniTOCTitle"/>
    <w:basedOn w:val="Heading4"/>
    <w:rsid w:val="00C753C9"/>
    <w:pPr>
      <w:spacing w:before="240"/>
      <w:outlineLvl w:val="9"/>
    </w:pPr>
    <w:rPr>
      <w:noProof/>
      <w:sz w:val="24"/>
    </w:rPr>
  </w:style>
  <w:style w:type="paragraph" w:customStyle="1" w:styleId="MiniTOCItem">
    <w:name w:val="MiniTOCItem"/>
    <w:basedOn w:val="ListBullet"/>
    <w:rsid w:val="00C753C9"/>
    <w:pPr>
      <w:numPr>
        <w:numId w:val="0"/>
      </w:numPr>
      <w:tabs>
        <w:tab w:val="right" w:leader="dot" w:pos="6521"/>
      </w:tabs>
      <w:spacing w:before="0" w:after="0"/>
    </w:pPr>
  </w:style>
  <w:style w:type="paragraph" w:customStyle="1" w:styleId="TOFTitle">
    <w:name w:val="TOFTitle"/>
    <w:basedOn w:val="TOCTitle"/>
    <w:rsid w:val="00C753C9"/>
  </w:style>
  <w:style w:type="paragraph" w:styleId="TableofFigures">
    <w:name w:val="table of figures"/>
    <w:basedOn w:val="Normal"/>
    <w:next w:val="Normal"/>
    <w:semiHidden/>
    <w:rsid w:val="00C753C9"/>
    <w:pPr>
      <w:tabs>
        <w:tab w:val="right" w:leader="dot" w:pos="9072"/>
      </w:tabs>
      <w:ind w:left="970" w:hanging="403"/>
    </w:pPr>
    <w:rPr>
      <w:rFonts w:ascii="Times New Roman" w:hAnsi="Times New Roman"/>
      <w:b/>
    </w:rPr>
  </w:style>
  <w:style w:type="paragraph" w:styleId="ListNumber">
    <w:name w:val="List Number"/>
    <w:basedOn w:val="List"/>
    <w:rsid w:val="00C753C9"/>
    <w:pPr>
      <w:numPr>
        <w:numId w:val="10"/>
      </w:numPr>
    </w:pPr>
  </w:style>
  <w:style w:type="character" w:customStyle="1" w:styleId="WingdingSymbols">
    <w:name w:val="Wingding Symbols"/>
    <w:rsid w:val="00C753C9"/>
    <w:rPr>
      <w:rFonts w:ascii="Wingdings" w:hAnsi="Wingdings"/>
    </w:rPr>
  </w:style>
  <w:style w:type="paragraph" w:customStyle="1" w:styleId="TableHeading">
    <w:name w:val="Table Heading"/>
    <w:basedOn w:val="HeadingBase"/>
    <w:rsid w:val="00C753C9"/>
    <w:pPr>
      <w:keepLines/>
      <w:pBdr>
        <w:bottom w:val="single" w:sz="6" w:space="1" w:color="918585"/>
      </w:pBdr>
      <w:spacing w:before="240"/>
    </w:pPr>
  </w:style>
  <w:style w:type="character" w:customStyle="1" w:styleId="HotSpot">
    <w:name w:val="HotSpot"/>
    <w:rsid w:val="00C753C9"/>
    <w:rPr>
      <w:color w:val="0033CC"/>
      <w:u w:val="none"/>
    </w:rPr>
  </w:style>
  <w:style w:type="paragraph" w:customStyle="1" w:styleId="BodyTextRight">
    <w:name w:val="Body Text Right"/>
    <w:basedOn w:val="BodyText"/>
    <w:rsid w:val="00C753C9"/>
    <w:pPr>
      <w:spacing w:before="0" w:after="0"/>
      <w:jc w:val="right"/>
    </w:pPr>
  </w:style>
  <w:style w:type="paragraph" w:styleId="Index3">
    <w:name w:val="index 3"/>
    <w:basedOn w:val="ListNumber2"/>
    <w:next w:val="Normal"/>
    <w:semiHidden/>
    <w:rsid w:val="00C753C9"/>
    <w:pPr>
      <w:numPr>
        <w:numId w:val="0"/>
      </w:numPr>
      <w:tabs>
        <w:tab w:val="right" w:leader="dot" w:pos="4176"/>
      </w:tabs>
    </w:pPr>
  </w:style>
  <w:style w:type="paragraph" w:styleId="ListNumber2">
    <w:name w:val="List Number 2"/>
    <w:basedOn w:val="List2"/>
    <w:rsid w:val="00C753C9"/>
    <w:pPr>
      <w:numPr>
        <w:numId w:val="9"/>
      </w:numPr>
      <w:tabs>
        <w:tab w:val="clear" w:pos="1060"/>
      </w:tabs>
    </w:pPr>
  </w:style>
  <w:style w:type="paragraph" w:customStyle="1" w:styleId="MarginNote">
    <w:name w:val="Margin Note"/>
    <w:basedOn w:val="BodyText"/>
    <w:rsid w:val="00C753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3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3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53C9"/>
    <w:rPr>
      <w:sz w:val="32"/>
    </w:rPr>
  </w:style>
  <w:style w:type="paragraph" w:customStyle="1" w:styleId="HeadingProcedure">
    <w:name w:val="Heading Procedure"/>
    <w:basedOn w:val="HeadingBase"/>
    <w:next w:val="Normal"/>
    <w:rsid w:val="00C753C9"/>
    <w:pPr>
      <w:tabs>
        <w:tab w:val="left" w:pos="0"/>
      </w:tabs>
      <w:spacing w:before="120" w:after="60"/>
    </w:pPr>
    <w:rPr>
      <w:i/>
      <w:color w:val="918585"/>
      <w:sz w:val="22"/>
    </w:rPr>
  </w:style>
  <w:style w:type="paragraph" w:customStyle="1" w:styleId="TableBodyText">
    <w:name w:val="Table Body Text"/>
    <w:basedOn w:val="BodyText"/>
    <w:rsid w:val="00C753C9"/>
    <w:pPr>
      <w:spacing w:before="60" w:after="60"/>
    </w:pPr>
  </w:style>
  <w:style w:type="paragraph" w:styleId="ListContinue">
    <w:name w:val="List Continue"/>
    <w:basedOn w:val="List"/>
    <w:rsid w:val="00C753C9"/>
    <w:pPr>
      <w:ind w:firstLine="0"/>
    </w:pPr>
  </w:style>
  <w:style w:type="paragraph" w:customStyle="1" w:styleId="ListNote">
    <w:name w:val="List Note"/>
    <w:basedOn w:val="List"/>
    <w:rsid w:val="00C753C9"/>
    <w:pPr>
      <w:pBdr>
        <w:top w:val="single" w:sz="6" w:space="2" w:color="918585"/>
        <w:bottom w:val="single" w:sz="6" w:space="2" w:color="918585"/>
      </w:pBdr>
      <w:tabs>
        <w:tab w:val="left" w:pos="1021"/>
      </w:tabs>
      <w:ind w:firstLine="0"/>
    </w:pPr>
  </w:style>
  <w:style w:type="paragraph" w:customStyle="1" w:styleId="Warning">
    <w:name w:val="Warning"/>
    <w:basedOn w:val="BodyText"/>
    <w:rsid w:val="00C753C9"/>
    <w:pPr>
      <w:shd w:val="clear" w:color="auto" w:fill="D9D9D9"/>
      <w:tabs>
        <w:tab w:val="left" w:pos="992"/>
      </w:tabs>
      <w:ind w:left="119" w:right="119"/>
    </w:pPr>
    <w:rPr>
      <w:sz w:val="20"/>
    </w:rPr>
  </w:style>
  <w:style w:type="paragraph" w:customStyle="1" w:styleId="MarginIcons">
    <w:name w:val="Margin Icons"/>
    <w:basedOn w:val="BodyText"/>
    <w:rsid w:val="00C753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3C9"/>
    <w:rPr>
      <w:rFonts w:ascii="Courier New" w:hAnsi="Courier New"/>
    </w:rPr>
  </w:style>
  <w:style w:type="paragraph" w:customStyle="1" w:styleId="NoteBullet">
    <w:name w:val="Note Bullet"/>
    <w:basedOn w:val="Note"/>
    <w:rsid w:val="00C753C9"/>
    <w:pPr>
      <w:tabs>
        <w:tab w:val="clear" w:pos="680"/>
      </w:tabs>
      <w:spacing w:before="60" w:after="60"/>
    </w:pPr>
  </w:style>
  <w:style w:type="paragraph" w:customStyle="1" w:styleId="SubHeading2">
    <w:name w:val="SubHeading2"/>
    <w:basedOn w:val="HeadingBase"/>
    <w:rsid w:val="00C753C9"/>
    <w:pPr>
      <w:spacing w:before="240" w:after="60"/>
    </w:pPr>
    <w:rPr>
      <w:sz w:val="20"/>
    </w:rPr>
  </w:style>
  <w:style w:type="paragraph" w:customStyle="1" w:styleId="SubHeading1">
    <w:name w:val="SubHeading1"/>
    <w:basedOn w:val="HeadingBase"/>
    <w:rsid w:val="00C753C9"/>
    <w:pPr>
      <w:spacing w:before="240" w:after="60"/>
    </w:pPr>
    <w:rPr>
      <w:color w:val="918585"/>
      <w:sz w:val="22"/>
    </w:rPr>
  </w:style>
  <w:style w:type="paragraph" w:customStyle="1" w:styleId="SideHeading">
    <w:name w:val="Side Heading"/>
    <w:basedOn w:val="HeadingBase"/>
    <w:rsid w:val="00C753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3C9"/>
    <w:pPr>
      <w:tabs>
        <w:tab w:val="num" w:pos="360"/>
      </w:tabs>
    </w:pPr>
  </w:style>
  <w:style w:type="paragraph" w:styleId="PlainText">
    <w:name w:val="Plain Text"/>
    <w:basedOn w:val="Normal"/>
    <w:link w:val="PlainTextChar"/>
    <w:rsid w:val="00C753C9"/>
    <w:rPr>
      <w:sz w:val="20"/>
    </w:rPr>
  </w:style>
  <w:style w:type="character" w:customStyle="1" w:styleId="PlainTextChar">
    <w:name w:val="Plain Text Char"/>
    <w:basedOn w:val="DefaultParagraphFont"/>
    <w:link w:val="PlainText"/>
    <w:rsid w:val="00C753C9"/>
    <w:rPr>
      <w:rFonts w:ascii="Courier New" w:eastAsia="Times New Roman" w:hAnsi="Courier New" w:cs="Times New Roman"/>
      <w:sz w:val="20"/>
      <w:szCs w:val="20"/>
      <w:lang w:eastAsia="en-US"/>
    </w:rPr>
  </w:style>
  <w:style w:type="character" w:customStyle="1" w:styleId="MenuOption">
    <w:name w:val="Menu Option"/>
    <w:basedOn w:val="DefaultParagraphFont"/>
    <w:rsid w:val="00C753C9"/>
    <w:rPr>
      <w:b/>
      <w:smallCaps/>
    </w:rPr>
  </w:style>
  <w:style w:type="paragraph" w:customStyle="1" w:styleId="TableListNumber">
    <w:name w:val="Table List Number"/>
    <w:basedOn w:val="ListNumber"/>
    <w:rsid w:val="00C753C9"/>
    <w:pPr>
      <w:numPr>
        <w:numId w:val="0"/>
      </w:numPr>
    </w:pPr>
  </w:style>
  <w:style w:type="paragraph" w:styleId="TOC4">
    <w:name w:val="toc 4"/>
    <w:basedOn w:val="TOCBase"/>
    <w:next w:val="Normal"/>
    <w:semiHidden/>
    <w:rsid w:val="00C753C9"/>
    <w:pPr>
      <w:tabs>
        <w:tab w:val="right" w:leader="dot" w:pos="9071"/>
      </w:tabs>
      <w:ind w:left="1701"/>
    </w:pPr>
  </w:style>
  <w:style w:type="paragraph" w:customStyle="1" w:styleId="ListAlpha">
    <w:name w:val="List Alpha"/>
    <w:basedOn w:val="List"/>
    <w:rsid w:val="00C753C9"/>
    <w:pPr>
      <w:numPr>
        <w:numId w:val="8"/>
      </w:numPr>
    </w:pPr>
  </w:style>
  <w:style w:type="paragraph" w:customStyle="1" w:styleId="ListAlpha2">
    <w:name w:val="List Alpha 2"/>
    <w:basedOn w:val="List2"/>
    <w:rsid w:val="00C753C9"/>
    <w:pPr>
      <w:numPr>
        <w:numId w:val="7"/>
      </w:numPr>
    </w:pPr>
  </w:style>
  <w:style w:type="paragraph" w:styleId="List3">
    <w:name w:val="List 3"/>
    <w:basedOn w:val="BodyText"/>
    <w:rsid w:val="00C753C9"/>
    <w:pPr>
      <w:tabs>
        <w:tab w:val="left" w:pos="1021"/>
      </w:tabs>
      <w:spacing w:before="60" w:after="60"/>
      <w:ind w:left="1020" w:hanging="340"/>
    </w:pPr>
  </w:style>
  <w:style w:type="paragraph" w:styleId="List4">
    <w:name w:val="List 4"/>
    <w:basedOn w:val="BodyText"/>
    <w:rsid w:val="00C753C9"/>
    <w:pPr>
      <w:tabs>
        <w:tab w:val="left" w:pos="1361"/>
      </w:tabs>
      <w:spacing w:before="60" w:after="60"/>
      <w:ind w:left="1361" w:hanging="340"/>
    </w:pPr>
  </w:style>
  <w:style w:type="paragraph" w:styleId="List5">
    <w:name w:val="List 5"/>
    <w:basedOn w:val="BodyText"/>
    <w:rsid w:val="00C753C9"/>
    <w:pPr>
      <w:tabs>
        <w:tab w:val="left" w:pos="1701"/>
      </w:tabs>
      <w:spacing w:before="60" w:after="60"/>
      <w:ind w:left="1701" w:hanging="340"/>
    </w:pPr>
  </w:style>
  <w:style w:type="paragraph" w:styleId="ListBullet3">
    <w:name w:val="List Bullet 3"/>
    <w:basedOn w:val="List3"/>
    <w:rsid w:val="00C753C9"/>
    <w:pPr>
      <w:numPr>
        <w:numId w:val="14"/>
      </w:numPr>
      <w:tabs>
        <w:tab w:val="clear" w:pos="1021"/>
      </w:tabs>
      <w:ind w:left="1037" w:hanging="357"/>
    </w:pPr>
  </w:style>
  <w:style w:type="paragraph" w:styleId="ListBullet4">
    <w:name w:val="List Bullet 4"/>
    <w:basedOn w:val="List4"/>
    <w:rsid w:val="00C753C9"/>
    <w:pPr>
      <w:numPr>
        <w:numId w:val="2"/>
      </w:numPr>
    </w:pPr>
  </w:style>
  <w:style w:type="paragraph" w:styleId="ListBullet5">
    <w:name w:val="List Bullet 5"/>
    <w:basedOn w:val="List5"/>
    <w:rsid w:val="00C753C9"/>
    <w:pPr>
      <w:numPr>
        <w:numId w:val="3"/>
      </w:numPr>
    </w:pPr>
  </w:style>
  <w:style w:type="paragraph" w:styleId="ListContinue2">
    <w:name w:val="List Continue 2"/>
    <w:basedOn w:val="List2"/>
    <w:rsid w:val="00C753C9"/>
    <w:pPr>
      <w:ind w:firstLine="0"/>
    </w:pPr>
  </w:style>
  <w:style w:type="paragraph" w:styleId="ListContinue3">
    <w:name w:val="List Continue 3"/>
    <w:basedOn w:val="List3"/>
    <w:rsid w:val="00C753C9"/>
    <w:pPr>
      <w:ind w:left="1021" w:firstLine="0"/>
    </w:pPr>
  </w:style>
  <w:style w:type="paragraph" w:styleId="ListContinue4">
    <w:name w:val="List Continue 4"/>
    <w:basedOn w:val="List4"/>
    <w:rsid w:val="00C753C9"/>
    <w:pPr>
      <w:ind w:firstLine="0"/>
    </w:pPr>
  </w:style>
  <w:style w:type="paragraph" w:styleId="ListContinue5">
    <w:name w:val="List Continue 5"/>
    <w:basedOn w:val="List5"/>
    <w:rsid w:val="00C753C9"/>
    <w:pPr>
      <w:ind w:firstLine="0"/>
    </w:pPr>
  </w:style>
  <w:style w:type="paragraph" w:styleId="ListNumber3">
    <w:name w:val="List Number 3"/>
    <w:basedOn w:val="List3"/>
    <w:rsid w:val="00C753C9"/>
    <w:pPr>
      <w:numPr>
        <w:numId w:val="4"/>
      </w:numPr>
    </w:pPr>
  </w:style>
  <w:style w:type="paragraph" w:styleId="ListNumber4">
    <w:name w:val="List Number 4"/>
    <w:basedOn w:val="List4"/>
    <w:rsid w:val="00C753C9"/>
    <w:pPr>
      <w:numPr>
        <w:numId w:val="5"/>
      </w:numPr>
    </w:pPr>
  </w:style>
  <w:style w:type="paragraph" w:styleId="ListNumber5">
    <w:name w:val="List Number 5"/>
    <w:basedOn w:val="List5"/>
    <w:rsid w:val="00C753C9"/>
    <w:pPr>
      <w:numPr>
        <w:numId w:val="6"/>
      </w:numPr>
    </w:pPr>
  </w:style>
  <w:style w:type="paragraph" w:styleId="BlockText">
    <w:name w:val="Block Text"/>
    <w:basedOn w:val="Normal"/>
    <w:rsid w:val="00C753C9"/>
    <w:pPr>
      <w:spacing w:after="120"/>
      <w:ind w:left="1440" w:right="1440"/>
    </w:pPr>
  </w:style>
  <w:style w:type="character" w:customStyle="1" w:styleId="Subscript">
    <w:name w:val="Subscript"/>
    <w:basedOn w:val="DefaultParagraphFont"/>
    <w:rsid w:val="00C753C9"/>
    <w:rPr>
      <w:sz w:val="16"/>
      <w:vertAlign w:val="subscript"/>
    </w:rPr>
  </w:style>
  <w:style w:type="character" w:customStyle="1" w:styleId="Superscript">
    <w:name w:val="Superscript"/>
    <w:basedOn w:val="DefaultParagraphFont"/>
    <w:rsid w:val="00C753C9"/>
    <w:rPr>
      <w:sz w:val="16"/>
      <w:vertAlign w:val="superscript"/>
    </w:rPr>
  </w:style>
  <w:style w:type="character" w:customStyle="1" w:styleId="Symbols">
    <w:name w:val="Symbols"/>
    <w:basedOn w:val="DefaultParagraphFont"/>
    <w:rsid w:val="00C753C9"/>
    <w:rPr>
      <w:rFonts w:ascii="Symbol" w:hAnsi="Symbol"/>
    </w:rPr>
  </w:style>
  <w:style w:type="character" w:customStyle="1" w:styleId="MenuOptions">
    <w:name w:val="Menu Options"/>
    <w:basedOn w:val="DefaultParagraphFont"/>
    <w:rsid w:val="00C753C9"/>
    <w:rPr>
      <w:rFonts w:ascii="Arial Narrow" w:hAnsi="Arial Narrow"/>
      <w:smallCaps/>
    </w:rPr>
  </w:style>
  <w:style w:type="character" w:customStyle="1" w:styleId="Buttons">
    <w:name w:val="Buttons"/>
    <w:basedOn w:val="DefaultParagraphFont"/>
    <w:rsid w:val="00C753C9"/>
    <w:rPr>
      <w:b/>
    </w:rPr>
  </w:style>
  <w:style w:type="character" w:customStyle="1" w:styleId="Underlined">
    <w:name w:val="Underlined"/>
    <w:basedOn w:val="DefaultParagraphFont"/>
    <w:rsid w:val="00C753C9"/>
    <w:rPr>
      <w:u w:val="single"/>
    </w:rPr>
  </w:style>
  <w:style w:type="paragraph" w:customStyle="1" w:styleId="TableBodyTextRight">
    <w:name w:val="Table Body Text Right"/>
    <w:basedOn w:val="TableBodyText"/>
    <w:rsid w:val="00C753C9"/>
    <w:pPr>
      <w:widowControl w:val="0"/>
      <w:autoSpaceDE w:val="0"/>
      <w:autoSpaceDN w:val="0"/>
      <w:adjustRightInd w:val="0"/>
      <w:jc w:val="right"/>
    </w:pPr>
    <w:rPr>
      <w:rFonts w:cs="Arial"/>
      <w:szCs w:val="18"/>
    </w:rPr>
  </w:style>
  <w:style w:type="paragraph" w:customStyle="1" w:styleId="CopyrightText">
    <w:name w:val="Copyright Text"/>
    <w:basedOn w:val="BodyText"/>
    <w:rsid w:val="00C753C9"/>
    <w:rPr>
      <w:sz w:val="18"/>
    </w:rPr>
  </w:style>
  <w:style w:type="paragraph" w:customStyle="1" w:styleId="BodySmallRight">
    <w:name w:val="Body Small Right"/>
    <w:basedOn w:val="BodyTextRight"/>
    <w:rsid w:val="00C753C9"/>
    <w:rPr>
      <w:sz w:val="18"/>
      <w:szCs w:val="18"/>
    </w:rPr>
  </w:style>
  <w:style w:type="paragraph" w:customStyle="1" w:styleId="MarginEdition">
    <w:name w:val="Margin Edition"/>
    <w:basedOn w:val="MarginNote"/>
    <w:rsid w:val="00C753C9"/>
    <w:pPr>
      <w:spacing w:before="0" w:after="0"/>
    </w:pPr>
    <w:rPr>
      <w:rFonts w:ascii="Times New Roman" w:hAnsi="Times New Roman"/>
      <w:color w:val="999999"/>
    </w:rPr>
  </w:style>
  <w:style w:type="paragraph" w:customStyle="1" w:styleId="Spacer">
    <w:name w:val="Spacer"/>
    <w:basedOn w:val="Normal"/>
    <w:rsid w:val="00C753C9"/>
    <w:rPr>
      <w:sz w:val="2"/>
      <w:szCs w:val="2"/>
    </w:rPr>
  </w:style>
  <w:style w:type="character" w:customStyle="1" w:styleId="Small">
    <w:name w:val="Small"/>
    <w:basedOn w:val="DefaultParagraphFont"/>
    <w:rsid w:val="00C753C9"/>
    <w:rPr>
      <w:sz w:val="16"/>
    </w:rPr>
  </w:style>
  <w:style w:type="paragraph" w:customStyle="1" w:styleId="WideTable">
    <w:name w:val="Wide Table"/>
    <w:basedOn w:val="Normal"/>
    <w:rsid w:val="00C753C9"/>
    <w:pPr>
      <w:ind w:left="-1418"/>
    </w:pPr>
    <w:rPr>
      <w:sz w:val="2"/>
      <w:szCs w:val="2"/>
    </w:rPr>
  </w:style>
  <w:style w:type="character" w:styleId="PageNumber">
    <w:name w:val="page number"/>
    <w:basedOn w:val="DefaultParagraphFont"/>
    <w:rsid w:val="00C753C9"/>
  </w:style>
  <w:style w:type="paragraph" w:styleId="Quote">
    <w:name w:val="Quote"/>
    <w:basedOn w:val="Heading1"/>
    <w:link w:val="QuoteChar"/>
    <w:qFormat/>
    <w:rsid w:val="00C753C9"/>
    <w:rPr>
      <w:b w:val="0"/>
      <w:sz w:val="72"/>
      <w:szCs w:val="72"/>
      <w:lang w:val="en-NZ"/>
    </w:rPr>
  </w:style>
  <w:style w:type="character" w:customStyle="1" w:styleId="QuoteChar">
    <w:name w:val="Quote Char"/>
    <w:basedOn w:val="DefaultParagraphFont"/>
    <w:link w:val="Quote"/>
    <w:rsid w:val="00C753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3C9"/>
    <w:pPr>
      <w:pageBreakBefore/>
    </w:pPr>
  </w:style>
  <w:style w:type="paragraph" w:customStyle="1" w:styleId="Border">
    <w:name w:val="Border"/>
    <w:basedOn w:val="Normal"/>
    <w:qFormat/>
    <w:rsid w:val="00C753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3C9"/>
    <w:rPr>
      <w:b/>
      <w:bCs/>
      <w:i/>
      <w:iCs/>
      <w:color w:val="auto"/>
    </w:rPr>
  </w:style>
  <w:style w:type="paragraph" w:styleId="IntenseQuote">
    <w:name w:val="Intense Quote"/>
    <w:basedOn w:val="Normal"/>
    <w:next w:val="Normal"/>
    <w:link w:val="IntenseQuoteChar"/>
    <w:uiPriority w:val="30"/>
    <w:qFormat/>
    <w:rsid w:val="00C753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3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53C9"/>
    <w:rPr>
      <w:smallCaps/>
      <w:color w:val="auto"/>
      <w:u w:val="single"/>
    </w:rPr>
  </w:style>
  <w:style w:type="character" w:styleId="IntenseReference">
    <w:name w:val="Intense Reference"/>
    <w:basedOn w:val="DefaultParagraphFont"/>
    <w:uiPriority w:val="32"/>
    <w:qFormat/>
    <w:rsid w:val="00C753C9"/>
    <w:rPr>
      <w:b/>
      <w:bCs/>
      <w:smallCaps/>
      <w:color w:val="auto"/>
      <w:spacing w:val="5"/>
      <w:u w:val="single"/>
    </w:rPr>
  </w:style>
  <w:style w:type="paragraph" w:customStyle="1" w:styleId="2ColumnHeading">
    <w:name w:val="2Column Heading"/>
    <w:basedOn w:val="BodyText"/>
    <w:qFormat/>
    <w:rsid w:val="00C753C9"/>
    <w:pPr>
      <w:spacing w:after="60"/>
      <w:ind w:left="-2268"/>
    </w:pPr>
    <w:rPr>
      <w:b/>
    </w:rPr>
  </w:style>
  <w:style w:type="paragraph" w:customStyle="1" w:styleId="Heading1TOC">
    <w:name w:val="Heading1 TOC"/>
    <w:basedOn w:val="Normal"/>
    <w:qFormat/>
    <w:rsid w:val="00C753C9"/>
    <w:pPr>
      <w:spacing w:before="240" w:after="120"/>
    </w:pPr>
    <w:rPr>
      <w:rFonts w:ascii="Times New Roman" w:hAnsi="Times New Roman"/>
      <w:b/>
      <w:sz w:val="32"/>
    </w:rPr>
  </w:style>
  <w:style w:type="paragraph" w:customStyle="1" w:styleId="Heading2TOC">
    <w:name w:val="Heading2 TOC"/>
    <w:basedOn w:val="Normal"/>
    <w:qFormat/>
    <w:rsid w:val="00C753C9"/>
    <w:pPr>
      <w:spacing w:before="240" w:after="60"/>
    </w:pPr>
    <w:rPr>
      <w:rFonts w:ascii="Times New Roman" w:hAnsi="Times New Roman"/>
      <w:b/>
      <w:sz w:val="28"/>
    </w:rPr>
  </w:style>
  <w:style w:type="character" w:customStyle="1" w:styleId="Underline">
    <w:name w:val="Underline"/>
    <w:basedOn w:val="DefaultParagraphFont"/>
    <w:qFormat/>
    <w:rsid w:val="00C753C9"/>
    <w:rPr>
      <w:u w:val="single"/>
    </w:rPr>
  </w:style>
  <w:style w:type="paragraph" w:styleId="BalloonText">
    <w:name w:val="Balloon Text"/>
    <w:basedOn w:val="Normal"/>
    <w:link w:val="BalloonTextChar"/>
    <w:rsid w:val="00C753C9"/>
    <w:rPr>
      <w:rFonts w:ascii="Tahoma" w:hAnsi="Tahoma" w:cs="Tahoma"/>
      <w:sz w:val="16"/>
      <w:szCs w:val="16"/>
    </w:rPr>
  </w:style>
  <w:style w:type="character" w:customStyle="1" w:styleId="BalloonTextChar">
    <w:name w:val="Balloon Text Char"/>
    <w:basedOn w:val="DefaultParagraphFont"/>
    <w:link w:val="BalloonText"/>
    <w:rsid w:val="00C753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53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53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53C9"/>
    <w:rPr>
      <w:b/>
      <w:color w:val="660033"/>
      <w:spacing w:val="0"/>
    </w:rPr>
  </w:style>
  <w:style w:type="paragraph" w:customStyle="1" w:styleId="Nameditemlist">
    <w:name w:val="Named item list"/>
    <w:basedOn w:val="BodyText"/>
    <w:qFormat/>
    <w:rsid w:val="00C753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1228</Words>
  <Characters>7861</Characters>
  <Application>Microsoft Office Word</Application>
  <DocSecurity>0</DocSecurity>
  <Lines>294</Lines>
  <Paragraphs>138</Paragraphs>
  <ScaleCrop>false</ScaleCrop>
  <Company>Author-it Software Corporation Ltd.</Company>
  <LinksUpToDate>false</LinksUpToDate>
  <CharactersWithSpaces>9006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ICAI5250A Develop, implement and evaluate system and application security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2012-10-05T14:38:00Z</dcterms:created>
  <dcterms:modified xsi:type="dcterms:W3CDTF">2012-10-05T14:38:00Z</dcterms:modified>
</cp:coreProperties>
</file>