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EA2" w:rsidP="00421EA2">
      <w:pPr>
        <w:pStyle w:val="Title"/>
      </w:pPr>
      <w:r>
        <w:fldChar w:fldCharType="begin"/>
      </w:r>
      <w:r>
        <w:instrText xml:space="preserve"> TITLE   \* MERGEFORMAT </w:instrText>
      </w:r>
      <w:r>
        <w:fldChar w:fldCharType="separate"/>
      </w:r>
      <w:r>
        <w:t>ICAI5087B Acquire system components</w:t>
      </w:r>
      <w:r>
        <w:fldChar w:fldCharType="end"/>
      </w:r>
    </w:p>
    <w:p w:rsidR="00421EA2" w:rsidP="00421EA2">
      <w:pPr>
        <w:pStyle w:val="Version"/>
        <w:sectPr w:rsidSect="00B873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3C2" w:rsidP="00B873C2">
      <w:pPr>
        <w:pStyle w:val="SuperHeading"/>
      </w:pPr>
      <w:r w:rsidRPr="00B873C2">
        <w:t>ICAI5087B Acquire system components</w:t>
      </w:r>
    </w:p>
    <w:p w:rsidR="00000000" w:rsidRPr="00B873C2" w:rsidP="00B873C2">
      <w:pPr>
        <w:pStyle w:val="Heading1"/>
      </w:pPr>
      <w:bookmarkStart w:id="1" w:name="O_271610"/>
      <w:bookmarkEnd w:id="1"/>
      <w:r w:rsidRPr="00B873C2">
        <w:t>Modification History</w:t>
      </w:r>
    </w:p>
    <w:p w:rsidR="00000000" w:rsidRPr="00B873C2" w:rsidP="00B873C2">
      <w:pPr>
        <w:pStyle w:val="BodyText"/>
      </w:pPr>
      <w:r w:rsidRPr="00B873C2">
        <w:t>Not Applicable</w:t>
      </w:r>
    </w:p>
    <w:p w:rsidR="00000000" w:rsidRPr="00B873C2" w:rsidP="00B873C2">
      <w:pPr>
        <w:pStyle w:val="AllowPageBreak"/>
      </w:pPr>
    </w:p>
    <w:p w:rsidR="00000000" w:rsidRPr="00B873C2" w:rsidP="00B873C2">
      <w:pPr>
        <w:pStyle w:val="Heading1"/>
      </w:pPr>
      <w:bookmarkStart w:id="2" w:name="O_207709"/>
      <w:bookmarkEnd w:id="2"/>
      <w:r w:rsidRPr="00B873C2">
        <w:t>Unit Descriptor</w:t>
      </w:r>
    </w:p>
    <w:tbl>
      <w:tblPr>
        <w:tblW w:w="0" w:type="auto"/>
        <w:tblLayout w:type="fixed"/>
        <w:tblCellMar>
          <w:left w:w="62" w:type="dxa"/>
          <w:right w:w="62" w:type="dxa"/>
        </w:tblCellMar>
        <w:tblLook w:val="0000"/>
      </w:tblPr>
      <w:tblGrid>
        <w:gridCol w:w="2670"/>
        <w:gridCol w:w="5852"/>
      </w:tblGrid>
      <w:tr w:rsidTr="00421EA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 xml:space="preserve">This unit defines the competency required to identify system components and to follow procedures to purchase those </w:t>
            </w:r>
            <w:r w:rsidRPr="00B873C2">
              <w:t>components.</w:t>
            </w:r>
          </w:p>
        </w:tc>
      </w:tr>
    </w:tbl>
    <w:p w:rsidR="00421EA2" w:rsidP="00B873C2">
      <w:pPr>
        <w:pStyle w:val="BodyText"/>
      </w:pPr>
    </w:p>
    <w:p w:rsidR="00421EA2" w:rsidP="00B873C2">
      <w:pPr>
        <w:pStyle w:val="BodyText"/>
      </w:pPr>
    </w:p>
    <w:p w:rsidR="00000000" w:rsidRPr="00B873C2" w:rsidP="00B873C2">
      <w:pPr>
        <w:pStyle w:val="Heading1"/>
      </w:pPr>
      <w:bookmarkStart w:id="3" w:name="O_207713"/>
      <w:bookmarkEnd w:id="3"/>
      <w:r w:rsidRPr="00B873C2">
        <w:t>Application of the Unit</w:t>
      </w:r>
    </w:p>
    <w:tbl>
      <w:tblPr>
        <w:tblW w:w="0" w:type="auto"/>
        <w:tblLayout w:type="fixed"/>
        <w:tblCellMar>
          <w:left w:w="62" w:type="dxa"/>
          <w:right w:w="62" w:type="dxa"/>
        </w:tblCellMar>
        <w:tblLook w:val="0000"/>
      </w:tblPr>
      <w:tblGrid>
        <w:gridCol w:w="2764"/>
        <w:gridCol w:w="5758"/>
      </w:tblGrid>
      <w:tr w:rsidTr="00421EA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p>
        </w:tc>
      </w:tr>
    </w:tbl>
    <w:p w:rsidR="00421EA2" w:rsidP="00B873C2">
      <w:pPr>
        <w:pStyle w:val="BodyText"/>
      </w:pPr>
    </w:p>
    <w:p w:rsidR="00421EA2" w:rsidP="00B873C2">
      <w:pPr>
        <w:pStyle w:val="BodyText"/>
      </w:pPr>
    </w:p>
    <w:p w:rsidR="00000000" w:rsidRPr="00B873C2" w:rsidP="00B873C2">
      <w:pPr>
        <w:pStyle w:val="Heading1"/>
      </w:pPr>
      <w:bookmarkStart w:id="4" w:name="O_279870"/>
      <w:bookmarkEnd w:id="4"/>
      <w:r w:rsidRPr="00B873C2">
        <w:t>Licensing/Regulatory Information</w:t>
      </w:r>
    </w:p>
    <w:p w:rsidR="00000000" w:rsidRPr="00B873C2" w:rsidP="00B873C2">
      <w:pPr>
        <w:pStyle w:val="BodyText"/>
      </w:pPr>
      <w:r w:rsidRPr="00B873C2">
        <w:t>Not Applicable</w:t>
      </w:r>
    </w:p>
    <w:p w:rsidR="00000000" w:rsidRPr="00B873C2" w:rsidP="00B873C2">
      <w:pPr>
        <w:pStyle w:val="AllowPageBreak"/>
      </w:pPr>
    </w:p>
    <w:p w:rsidR="00000000" w:rsidRPr="00B873C2" w:rsidP="00B873C2">
      <w:pPr>
        <w:pStyle w:val="Heading1"/>
      </w:pPr>
      <w:bookmarkStart w:id="5" w:name="O_207711"/>
      <w:bookmarkEnd w:id="5"/>
      <w:r w:rsidRPr="00B873C2">
        <w:t>Pre-Requisites</w:t>
      </w:r>
    </w:p>
    <w:tbl>
      <w:tblPr>
        <w:tblW w:w="0" w:type="auto"/>
        <w:tblLayout w:type="fixed"/>
        <w:tblCellMar>
          <w:left w:w="62" w:type="dxa"/>
          <w:right w:w="62" w:type="dxa"/>
        </w:tblCellMar>
        <w:tblLook w:val="0000"/>
      </w:tblPr>
      <w:tblGrid>
        <w:gridCol w:w="2775"/>
        <w:gridCol w:w="1295"/>
        <w:gridCol w:w="4452"/>
      </w:tblGrid>
      <w:tr w:rsidTr="00421E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p>
        </w:tc>
      </w:tr>
      <w:tr w:rsidTr="00421E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p>
        </w:tc>
      </w:tr>
      <w:tr w:rsidTr="00421E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p>
        </w:tc>
      </w:tr>
    </w:tbl>
    <w:p w:rsidR="00421EA2" w:rsidP="00B873C2">
      <w:pPr>
        <w:pStyle w:val="BodyText"/>
      </w:pPr>
    </w:p>
    <w:p w:rsidR="00421EA2" w:rsidP="00B873C2">
      <w:pPr>
        <w:pStyle w:val="BodyText"/>
      </w:pPr>
    </w:p>
    <w:p w:rsidR="00000000" w:rsidRPr="00B873C2" w:rsidP="00B873C2">
      <w:pPr>
        <w:pStyle w:val="Heading1"/>
      </w:pPr>
      <w:bookmarkStart w:id="6" w:name="O_207710"/>
      <w:bookmarkEnd w:id="6"/>
      <w:r w:rsidRPr="00B873C2">
        <w:t>Employability S</w:t>
      </w:r>
      <w:r w:rsidRPr="00B873C2">
        <w:t>kills Information</w:t>
      </w:r>
    </w:p>
    <w:tbl>
      <w:tblPr>
        <w:tblW w:w="0" w:type="auto"/>
        <w:tblLayout w:type="fixed"/>
        <w:tblCellMar>
          <w:left w:w="62" w:type="dxa"/>
          <w:right w:w="62" w:type="dxa"/>
        </w:tblCellMar>
        <w:tblLook w:val="0000"/>
      </w:tblPr>
      <w:tblGrid>
        <w:gridCol w:w="2802"/>
        <w:gridCol w:w="5720"/>
      </w:tblGrid>
      <w:tr w:rsidTr="00421E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This unit contains employability skills.</w:t>
            </w:r>
          </w:p>
        </w:tc>
      </w:tr>
    </w:tbl>
    <w:p w:rsidR="00421EA2" w:rsidP="00B873C2">
      <w:pPr>
        <w:pStyle w:val="BodyText"/>
      </w:pPr>
    </w:p>
    <w:p w:rsidR="00421EA2" w:rsidP="00B873C2">
      <w:pPr>
        <w:pStyle w:val="BodyText"/>
      </w:pPr>
    </w:p>
    <w:p w:rsidR="00000000" w:rsidRPr="00B873C2" w:rsidP="00B873C2">
      <w:pPr>
        <w:pStyle w:val="Heading1"/>
      </w:pPr>
      <w:bookmarkStart w:id="7" w:name="O_289656"/>
      <w:bookmarkEnd w:id="7"/>
      <w:r w:rsidRPr="00B873C2">
        <w:t>Elements and Performance Criteria Pre-Content</w:t>
      </w:r>
    </w:p>
    <w:tbl>
      <w:tblPr>
        <w:tblW w:w="0" w:type="auto"/>
        <w:tblLayout w:type="fixed"/>
        <w:tblCellMar>
          <w:left w:w="62" w:type="dxa"/>
          <w:right w:w="62" w:type="dxa"/>
        </w:tblCellMar>
        <w:tblLook w:val="0000"/>
      </w:tblPr>
      <w:tblGrid>
        <w:gridCol w:w="2558"/>
        <w:gridCol w:w="5964"/>
      </w:tblGrid>
      <w:tr w:rsidTr="00421EA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Performance criteria describe the performance needed to demonstrate achievement of the element. Where bold italicised text is used, further information is detailed in the required skills and knowledge section and the range statement. Assessment of performa</w:t>
            </w:r>
            <w:r w:rsidRPr="00B873C2">
              <w:t>nce is to be consistent with the evidence guide.</w:t>
            </w:r>
          </w:p>
        </w:tc>
      </w:tr>
    </w:tbl>
    <w:p w:rsidR="00000000" w:rsidRPr="00B873C2" w:rsidP="00B873C2">
      <w:pPr>
        <w:pStyle w:val="BodyText"/>
      </w:pPr>
    </w:p>
    <w:p w:rsidR="00000000" w:rsidRPr="00B873C2" w:rsidP="00B873C2">
      <w:pPr>
        <w:pStyle w:val="AllowPageBreak"/>
      </w:pPr>
    </w:p>
    <w:p w:rsidR="00000000" w:rsidRPr="00B873C2" w:rsidP="00B873C2">
      <w:pPr>
        <w:pStyle w:val="Heading1"/>
      </w:pPr>
      <w:bookmarkStart w:id="8" w:name="O_236323"/>
      <w:bookmarkEnd w:id="8"/>
      <w:r w:rsidRPr="00B873C2">
        <w:t>Elements and Performance Criteria</w:t>
      </w:r>
    </w:p>
    <w:tbl>
      <w:tblPr>
        <w:tblW w:w="0" w:type="auto"/>
        <w:tblLayout w:type="fixed"/>
        <w:tblCellMar>
          <w:left w:w="62" w:type="dxa"/>
          <w:right w:w="62" w:type="dxa"/>
        </w:tblCellMar>
        <w:tblLook w:val="0000"/>
      </w:tblPr>
      <w:tblGrid>
        <w:gridCol w:w="2558"/>
        <w:gridCol w:w="5964"/>
      </w:tblGrid>
      <w:tr w:rsidTr="00421EA2">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PERFORMANCE CRITERIA</w:t>
            </w:r>
          </w:p>
        </w:tc>
      </w:tr>
      <w:tr w:rsidTr="00421EA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List"/>
              <w:rPr>
                <w:lang w:val="en-NZ"/>
              </w:rPr>
            </w:pPr>
            <w:r w:rsidRPr="00B873C2">
              <w:t>1.</w:t>
            </w:r>
            <w:r w:rsidRPr="00B873C2">
              <w:tab/>
              <w:t>Confirm system components for acquisition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2"/>
            </w:pPr>
            <w:r w:rsidRPr="00B873C2">
              <w:t>1.1.</w:t>
            </w:r>
            <w:r w:rsidRPr="00B873C2">
              <w:tab/>
              <w:t xml:space="preserve">Confirm client </w:t>
            </w:r>
            <w:r w:rsidRPr="00B873C2">
              <w:rPr>
                <w:rStyle w:val="BoldandItalics"/>
              </w:rPr>
              <w:t>requirements</w:t>
            </w:r>
            <w:r w:rsidRPr="00B873C2">
              <w:t xml:space="preserve"> for solution, including </w:t>
            </w:r>
            <w:r w:rsidRPr="00B873C2">
              <w:rPr>
                <w:rStyle w:val="BoldandItalics"/>
              </w:rPr>
              <w:t>software</w:t>
            </w:r>
            <w:r w:rsidRPr="00B873C2">
              <w:t xml:space="preserve"> and </w:t>
            </w:r>
            <w:r w:rsidRPr="00B873C2">
              <w:rPr>
                <w:rStyle w:val="BoldandItalics"/>
              </w:rPr>
              <w:t>operating system</w:t>
            </w:r>
            <w:r w:rsidRPr="00B873C2">
              <w:t xml:space="preserve"> requirements</w:t>
            </w:r>
          </w:p>
          <w:p w:rsidR="00000000" w:rsidRPr="00B873C2" w:rsidP="00B873C2">
            <w:pPr>
              <w:pStyle w:val="List2"/>
            </w:pPr>
            <w:r w:rsidRPr="00B873C2">
              <w:t>1.2.</w:t>
            </w:r>
            <w:r w:rsidRPr="00B873C2">
              <w:tab/>
              <w:t xml:space="preserve">Review technical papers and recommendations that identify required </w:t>
            </w:r>
            <w:r w:rsidRPr="00B873C2">
              <w:rPr>
                <w:rStyle w:val="BoldandItalics"/>
              </w:rPr>
              <w:t>hardware</w:t>
            </w:r>
            <w:r w:rsidRPr="00B873C2">
              <w:t xml:space="preserve"> and </w:t>
            </w:r>
            <w:r w:rsidRPr="00B873C2">
              <w:rPr>
                <w:rStyle w:val="BoldandItalics"/>
              </w:rPr>
              <w:t>software</w:t>
            </w:r>
            <w:r w:rsidRPr="00B873C2">
              <w:t xml:space="preserve"> components</w:t>
            </w:r>
          </w:p>
          <w:p w:rsidR="00000000" w:rsidRPr="00B873C2" w:rsidP="00B873C2">
            <w:pPr>
              <w:pStyle w:val="List2"/>
            </w:pPr>
            <w:r w:rsidRPr="00B873C2">
              <w:t>1.3.</w:t>
            </w:r>
            <w:r w:rsidRPr="00B873C2">
              <w:tab/>
              <w:t xml:space="preserve">Review and clearly identify </w:t>
            </w:r>
            <w:r w:rsidRPr="00B873C2">
              <w:rPr>
                <w:rStyle w:val="BoldandItalics"/>
              </w:rPr>
              <w:t>system components</w:t>
            </w:r>
          </w:p>
          <w:p w:rsidR="00000000" w:rsidRPr="00B873C2" w:rsidP="00B873C2">
            <w:pPr>
              <w:pStyle w:val="List2"/>
            </w:pPr>
            <w:r w:rsidRPr="00B873C2">
              <w:t>1.4.</w:t>
            </w:r>
            <w:r w:rsidRPr="00B873C2">
              <w:tab/>
              <w:t>Assess and determine the fit with existing technology by consulti</w:t>
            </w:r>
            <w:r w:rsidRPr="00B873C2">
              <w:t>ng with system developer</w:t>
            </w:r>
          </w:p>
          <w:p w:rsidR="00000000" w:rsidRPr="00B873C2" w:rsidP="00B873C2">
            <w:pPr>
              <w:pStyle w:val="List2"/>
            </w:pPr>
            <w:r w:rsidRPr="00B873C2">
              <w:t>1.5.</w:t>
            </w:r>
            <w:r w:rsidRPr="00B873C2">
              <w:tab/>
              <w:t>Identify and determine the best and current technology fit for each purpose by consulting with system developer</w:t>
            </w:r>
          </w:p>
          <w:p w:rsidR="00000000" w:rsidP="00B873C2">
            <w:pPr>
              <w:pStyle w:val="List2"/>
              <w:rPr>
                <w:lang w:val="en-NZ"/>
              </w:rPr>
            </w:pPr>
            <w:r w:rsidRPr="00B873C2">
              <w:t>1.6.</w:t>
            </w:r>
            <w:r w:rsidRPr="00B873C2">
              <w:tab/>
              <w:t xml:space="preserve">Develop a list of required </w:t>
            </w:r>
            <w:r w:rsidRPr="00B873C2">
              <w:rPr>
                <w:rStyle w:val="BoldandItalics"/>
              </w:rPr>
              <w:t>system components</w:t>
            </w:r>
            <w:r w:rsidRPr="00B873C2">
              <w:t xml:space="preserve"> with </w:t>
            </w:r>
            <w:r w:rsidRPr="00B873C2">
              <w:rPr>
                <w:rStyle w:val="BoldandItalics"/>
              </w:rPr>
              <w:t>specifications</w:t>
            </w:r>
            <w:r w:rsidRPr="00B873C2">
              <w:t xml:space="preserve"> and possible suppliers</w:t>
            </w:r>
          </w:p>
        </w:tc>
      </w:tr>
      <w:tr w:rsidTr="00421EA2">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List"/>
              <w:rPr>
                <w:lang w:val="en-NZ"/>
              </w:rPr>
            </w:pPr>
            <w:r w:rsidRPr="00B873C2">
              <w:t>2.</w:t>
            </w:r>
            <w:r w:rsidRPr="00B873C2">
              <w:tab/>
              <w:t xml:space="preserve">Agree on methods </w:t>
            </w:r>
            <w:r w:rsidRPr="00B873C2">
              <w:t>of component acquisition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2"/>
            </w:pPr>
            <w:r w:rsidRPr="00B873C2">
              <w:t>2.1.</w:t>
            </w:r>
            <w:r w:rsidRPr="00B873C2">
              <w:tab/>
              <w:t xml:space="preserve">Identify and assess the client organisation's preferred </w:t>
            </w:r>
            <w:r w:rsidRPr="00B873C2">
              <w:rPr>
                <w:rStyle w:val="BoldandItalics"/>
              </w:rPr>
              <w:t>acquisition</w:t>
            </w:r>
            <w:r w:rsidRPr="00B873C2">
              <w:t xml:space="preserve"> </w:t>
            </w:r>
            <w:r w:rsidRPr="00B873C2">
              <w:rPr>
                <w:rStyle w:val="BoldandItalics"/>
              </w:rPr>
              <w:t>methods</w:t>
            </w:r>
            <w:r w:rsidRPr="00B873C2">
              <w:t xml:space="preserve"> and policies</w:t>
            </w:r>
          </w:p>
          <w:p w:rsidR="00000000" w:rsidRPr="00B873C2" w:rsidP="00B873C2">
            <w:pPr>
              <w:pStyle w:val="List2"/>
            </w:pPr>
            <w:r w:rsidRPr="00B873C2">
              <w:t>2.2.</w:t>
            </w:r>
            <w:r w:rsidRPr="00B873C2">
              <w:tab/>
              <w:t xml:space="preserve">Evaluate </w:t>
            </w:r>
            <w:r w:rsidRPr="00B873C2">
              <w:rPr>
                <w:rStyle w:val="BoldandItalics"/>
              </w:rPr>
              <w:t>acquisition</w:t>
            </w:r>
            <w:r w:rsidRPr="00B873C2">
              <w:t xml:space="preserve"> </w:t>
            </w:r>
            <w:r w:rsidRPr="00B873C2">
              <w:rPr>
                <w:rStyle w:val="BoldandItalics"/>
              </w:rPr>
              <w:t>methods</w:t>
            </w:r>
            <w:r w:rsidRPr="00B873C2">
              <w:t xml:space="preserve"> and alternatives for required hardware and/or software components against required service levels, cost</w:t>
            </w:r>
            <w:r w:rsidRPr="00B873C2">
              <w:t xml:space="preserve"> constraints, geographic constraints and user preferences</w:t>
            </w:r>
          </w:p>
          <w:p w:rsidR="00000000" w:rsidRPr="00B873C2" w:rsidP="00B873C2">
            <w:pPr>
              <w:pStyle w:val="List2"/>
            </w:pPr>
            <w:r w:rsidRPr="00B873C2">
              <w:t>2.3.</w:t>
            </w:r>
            <w:r w:rsidRPr="00B873C2">
              <w:tab/>
              <w:t xml:space="preserve">Discuss and agree </w:t>
            </w:r>
            <w:r w:rsidRPr="00B873C2">
              <w:rPr>
                <w:rStyle w:val="BoldandItalics"/>
              </w:rPr>
              <w:t>acquisition method</w:t>
            </w:r>
            <w:r w:rsidRPr="00B873C2">
              <w:t xml:space="preserve"> with client</w:t>
            </w:r>
          </w:p>
          <w:p w:rsidR="00000000" w:rsidRPr="00B873C2" w:rsidP="00B873C2">
            <w:pPr>
              <w:pStyle w:val="List2"/>
            </w:pPr>
            <w:r w:rsidRPr="00B873C2">
              <w:t>2.4.</w:t>
            </w:r>
            <w:r w:rsidRPr="00B873C2">
              <w:tab/>
              <w:t xml:space="preserve">Inform users and other stakeholders of </w:t>
            </w:r>
            <w:r w:rsidRPr="00B873C2">
              <w:rPr>
                <w:rStyle w:val="BoldandItalics"/>
              </w:rPr>
              <w:t>acquisition</w:t>
            </w:r>
            <w:r w:rsidRPr="00B873C2">
              <w:t xml:space="preserve"> </w:t>
            </w:r>
            <w:r w:rsidRPr="00B873C2">
              <w:rPr>
                <w:rStyle w:val="BoldandItalics"/>
              </w:rPr>
              <w:t>method</w:t>
            </w:r>
          </w:p>
        </w:tc>
      </w:tr>
    </w:tbl>
    <w:p w:rsidR="00421EA2" w:rsidP="00B873C2">
      <w:pPr>
        <w:pStyle w:val="BodyText"/>
      </w:pPr>
    </w:p>
    <w:p w:rsidR="00421EA2" w:rsidP="00B873C2">
      <w:pPr>
        <w:pStyle w:val="BodyText"/>
      </w:pPr>
    </w:p>
    <w:p w:rsidR="00000000" w:rsidRPr="00B873C2" w:rsidP="00B873C2">
      <w:pPr>
        <w:pStyle w:val="Heading1"/>
      </w:pPr>
      <w:bookmarkStart w:id="9" w:name="O_260273"/>
      <w:bookmarkEnd w:id="9"/>
      <w:r w:rsidRPr="00B873C2">
        <w:t>Required Skills and Knowledge</w:t>
      </w:r>
    </w:p>
    <w:tbl>
      <w:tblPr>
        <w:tblW w:w="0" w:type="auto"/>
        <w:tblLayout w:type="fixed"/>
        <w:tblCellMar>
          <w:left w:w="62" w:type="dxa"/>
          <w:right w:w="62" w:type="dxa"/>
        </w:tblCellMar>
        <w:tblLook w:val="0000"/>
      </w:tblPr>
      <w:tblGrid>
        <w:gridCol w:w="8522"/>
      </w:tblGrid>
      <w:tr w:rsidTr="00421E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REQUIRED SKILLS AND KNOWLEDGE</w:t>
            </w:r>
          </w:p>
        </w:tc>
      </w:tr>
      <w:tr w:rsidTr="00421E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t>This section describes the skills and knowledge required for this unit.</w:t>
            </w:r>
          </w:p>
        </w:tc>
      </w:tr>
      <w:tr w:rsidTr="00421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Required skills</w:t>
            </w:r>
          </w:p>
        </w:tc>
      </w:tr>
      <w:tr w:rsidTr="00421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Problem solving skills for a defined range of unpredictable problems involving participation in the development of strategic initiativ</w:t>
            </w:r>
            <w:r w:rsidRPr="00B873C2">
              <w:t>es (e.g. when the fit with existing technology is assessed with systems developers)</w:t>
            </w:r>
          </w:p>
          <w:p w:rsidR="00000000" w:rsidRPr="00B873C2" w:rsidP="00B873C2">
            <w:pPr>
              <w:pStyle w:val="ListBullet"/>
            </w:pPr>
            <w:r w:rsidRPr="00B873C2">
              <w:t>Plain English literacy and communication skills in relation to analysis, evaluation and presentation of information (e.g. when recommended acquisition method is selected and discussed with client users and management)</w:t>
            </w:r>
          </w:p>
          <w:p w:rsidR="00000000" w:rsidRPr="00B873C2" w:rsidP="00B873C2">
            <w:pPr>
              <w:pStyle w:val="ListBullet"/>
            </w:pPr>
            <w:r w:rsidRPr="00B873C2">
              <w:t xml:space="preserve">Teamwork skills involving stakeholder </w:t>
            </w:r>
            <w:r w:rsidRPr="00B873C2">
              <w:t>cooperation and contribution to solutions and goals of a non-routine or contingency nature</w:t>
            </w:r>
          </w:p>
          <w:p w:rsidR="00000000" w:rsidRPr="00B873C2" w:rsidP="00B873C2">
            <w:pPr>
              <w:pStyle w:val="ListBullet"/>
            </w:pPr>
            <w:r w:rsidRPr="00B873C2">
              <w:t xml:space="preserve">Facilitation and presentation skills in relation to transferring and collecting </w:t>
            </w:r>
            <w:r w:rsidRPr="00B873C2">
              <w:t>information and gaining consensus on concepts (e.g. when recommended acquisition meth</w:t>
            </w:r>
            <w:r w:rsidRPr="00B873C2">
              <w:t>od is selected and discussed with client users and management)</w:t>
            </w:r>
          </w:p>
          <w:p w:rsidR="00000000" w:rsidRPr="00B873C2" w:rsidP="00B873C2">
            <w:pPr>
              <w:pStyle w:val="ListBullet"/>
            </w:pPr>
            <w:r w:rsidRPr="00B873C2">
              <w:t>Negotiation skills in relation to stakeholders and service or product suppliers and applied to a defined range of predictable problems (e.g. when discussing with systems developers the relative</w:t>
            </w:r>
            <w:r w:rsidRPr="00B873C2">
              <w:t xml:space="preserve"> merits of two or more competing devices for a purchase agreement)</w:t>
            </w:r>
          </w:p>
          <w:p w:rsidR="00000000" w:rsidP="00B873C2">
            <w:pPr>
              <w:pStyle w:val="ListBullet"/>
              <w:rPr>
                <w:lang w:val="en-NZ"/>
              </w:rPr>
            </w:pPr>
            <w:r w:rsidRPr="00B873C2">
              <w:t>Project planning skills in relation to scope, time, procurement, cost, quality, communications and risk management (e.g. when technical papers and recommendations to identify required hardw</w:t>
            </w:r>
            <w:r w:rsidRPr="00B873C2">
              <w:t>are and software components are reviewed)</w:t>
            </w:r>
          </w:p>
        </w:tc>
      </w:tr>
      <w:tr w:rsidTr="00421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Required knowledge</w:t>
            </w:r>
          </w:p>
        </w:tc>
      </w:tr>
      <w:tr w:rsidTr="00421E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Broad general knowledge of the client business domain (e.g. when confirming system components to acquire and when agreeing to methods to acquire components)</w:t>
            </w:r>
          </w:p>
          <w:p w:rsidR="00000000" w:rsidRPr="00B873C2" w:rsidP="00B873C2">
            <w:pPr>
              <w:pStyle w:val="ListBullet"/>
            </w:pPr>
            <w:r w:rsidRPr="00B873C2">
              <w:t>Current industry-accepted hardware and software products</w:t>
            </w:r>
          </w:p>
          <w:p w:rsidR="00000000" w:rsidRPr="00B873C2" w:rsidP="00B873C2">
            <w:pPr>
              <w:pStyle w:val="ListBullet"/>
            </w:pPr>
            <w:r w:rsidRPr="00B873C2">
              <w:t>Broad knowledge of vendor product directions (e.g. when best and current technology fit for each purpose is identified with systems developers)</w:t>
            </w:r>
          </w:p>
          <w:p w:rsidR="00000000" w:rsidRPr="00B873C2" w:rsidP="00B873C2">
            <w:pPr>
              <w:pStyle w:val="ListBullet"/>
            </w:pPr>
            <w:r w:rsidRPr="00B873C2">
              <w:t>Broad knowledge of quality assurance practices (e.g. wh</w:t>
            </w:r>
            <w:r w:rsidRPr="00B873C2">
              <w:t>en best and current technology fit for each purpose is identified with systems developers)</w:t>
            </w:r>
          </w:p>
          <w:p w:rsidR="00000000" w:rsidRPr="00B873C2" w:rsidP="00B873C2">
            <w:pPr>
              <w:pStyle w:val="ListBullet"/>
            </w:pPr>
            <w:r w:rsidRPr="00B873C2">
              <w:t>Basic knowledge of information gathering techniques (e.g. when best and current technology fit for each purpose is identified with systems developers, and when recom</w:t>
            </w:r>
            <w:r w:rsidRPr="00B873C2">
              <w:t>mended acquisition method is selected and discussed with client users and management)</w:t>
            </w:r>
          </w:p>
          <w:p w:rsidR="00000000" w:rsidRPr="00B873C2" w:rsidP="00B873C2">
            <w:pPr>
              <w:pStyle w:val="ListBullet"/>
            </w:pPr>
            <w:r w:rsidRPr="00B873C2">
              <w:t>Broad knowledge of change management systems</w:t>
            </w:r>
          </w:p>
          <w:p w:rsidR="00000000" w:rsidRPr="00B873C2" w:rsidP="00B873C2">
            <w:pPr>
              <w:pStyle w:val="ListBullet"/>
            </w:pPr>
            <w:r w:rsidRPr="00B873C2">
              <w:t>Broad knowledge of risk management</w:t>
            </w:r>
          </w:p>
          <w:p w:rsidR="00000000" w:rsidRPr="00B873C2" w:rsidP="00B873C2">
            <w:pPr>
              <w:pStyle w:val="ListBullet"/>
            </w:pPr>
            <w:r w:rsidRPr="00B873C2">
              <w:t>Broad knowledge of financial management options including leasing arrangements</w:t>
            </w:r>
          </w:p>
        </w:tc>
      </w:tr>
    </w:tbl>
    <w:p w:rsidR="00421EA2" w:rsidP="00B873C2">
      <w:pPr>
        <w:pStyle w:val="BodyText"/>
      </w:pPr>
    </w:p>
    <w:p w:rsidR="00421EA2" w:rsidP="00B873C2">
      <w:pPr>
        <w:pStyle w:val="BodyText"/>
      </w:pPr>
    </w:p>
    <w:p w:rsidR="00000000" w:rsidRPr="00B873C2" w:rsidP="00B873C2">
      <w:pPr>
        <w:pStyle w:val="AllowPageBreak"/>
      </w:pPr>
    </w:p>
    <w:p w:rsidR="00000000" w:rsidRPr="00B873C2" w:rsidP="00B873C2">
      <w:pPr>
        <w:pStyle w:val="Heading1"/>
      </w:pPr>
      <w:bookmarkStart w:id="10" w:name="O_244307"/>
      <w:bookmarkEnd w:id="10"/>
      <w:r w:rsidRPr="00B873C2">
        <w:t>Evidence Guide</w:t>
      </w:r>
    </w:p>
    <w:tbl>
      <w:tblPr>
        <w:tblW w:w="9570" w:type="dxa"/>
        <w:tblLayout w:type="fixed"/>
        <w:tblCellMar>
          <w:left w:w="62" w:type="dxa"/>
          <w:right w:w="62" w:type="dxa"/>
        </w:tblCellMar>
        <w:tblLook w:val="0000"/>
      </w:tblPr>
      <w:tblGrid>
        <w:gridCol w:w="3908"/>
        <w:gridCol w:w="5662"/>
      </w:tblGrid>
      <w:tr w:rsidTr="00421E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EVIDENCE GUIDE</w:t>
            </w:r>
          </w:p>
        </w:tc>
      </w:tr>
      <w:tr w:rsidTr="00421E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t xml:space="preserve">The evidence guide provides advice on assessment and must be read in conjunction with the performance criteria, required skills and knowledge, </w:t>
            </w:r>
            <w:r w:rsidRPr="00B873C2">
              <w:t>range statement and the Assessment Guidelines for the Training Package.</w:t>
            </w:r>
          </w:p>
        </w:tc>
      </w:tr>
      <w:tr w:rsidTr="00421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p>
        </w:tc>
      </w:tr>
      <w:tr w:rsidTr="00421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Evidence of the following is essential:</w:t>
            </w:r>
          </w:p>
          <w:p w:rsidR="00000000" w:rsidRPr="00B873C2" w:rsidP="00B873C2">
            <w:pPr>
              <w:pStyle w:val="ListBullet"/>
            </w:pPr>
            <w:r w:rsidRPr="00B873C2">
              <w:t>Assessment must confirm the ability to identify correct system components and to follow procurement procedures to purchase those components. The acquisition approach should be consistent with technical and business requirements.</w:t>
            </w:r>
          </w:p>
          <w:p w:rsidR="00000000" w:rsidRPr="00B873C2" w:rsidP="00B873C2">
            <w:pPr>
              <w:pStyle w:val="ListBullet"/>
            </w:pPr>
            <w:r w:rsidRPr="00B873C2">
              <w:t>Evidence may include formal</w:t>
            </w:r>
            <w:r w:rsidRPr="00B873C2">
              <w:t xml:space="preserve"> request for tender documentation, evaluation/performance criteria, and comparison checklists.</w:t>
            </w:r>
          </w:p>
          <w:p w:rsidR="00000000" w:rsidRPr="00B873C2" w:rsidP="00B873C2">
            <w:pPr>
              <w:pStyle w:val="BodyText"/>
            </w:pPr>
          </w:p>
          <w:p w:rsidR="00000000" w:rsidRPr="00B873C2" w:rsidP="00B873C2">
            <w:pPr>
              <w:pStyle w:val="BodyText"/>
            </w:pPr>
            <w:r w:rsidRPr="00B873C2">
              <w:t>To demonstrate competency in this unit the person will require access to:</w:t>
            </w:r>
          </w:p>
          <w:p w:rsidR="00000000" w:rsidRPr="00B873C2" w:rsidP="00B873C2">
            <w:pPr>
              <w:pStyle w:val="ListBullet"/>
            </w:pPr>
            <w:r w:rsidRPr="00B873C2">
              <w:t>Current business and IT strategic plans</w:t>
            </w:r>
          </w:p>
          <w:p w:rsidR="00000000" w:rsidRPr="00B873C2" w:rsidP="00B873C2">
            <w:pPr>
              <w:pStyle w:val="ListBullet"/>
            </w:pPr>
            <w:r w:rsidRPr="00B873C2">
              <w:t>Data models</w:t>
            </w:r>
          </w:p>
          <w:p w:rsidR="00000000" w:rsidRPr="00B873C2" w:rsidP="00B873C2">
            <w:pPr>
              <w:pStyle w:val="ListBullet"/>
            </w:pPr>
            <w:r w:rsidRPr="00B873C2">
              <w:t>Functional process descriptions</w:t>
            </w:r>
          </w:p>
          <w:p w:rsidR="00000000" w:rsidRPr="00B873C2" w:rsidP="00B873C2">
            <w:pPr>
              <w:pStyle w:val="ListBullet"/>
            </w:pPr>
            <w:r w:rsidRPr="00B873C2">
              <w:t>U</w:t>
            </w:r>
            <w:r w:rsidRPr="00B873C2">
              <w:t>ser requirements</w:t>
            </w:r>
          </w:p>
          <w:p w:rsidR="00000000" w:rsidRPr="00B873C2" w:rsidP="00B873C2">
            <w:pPr>
              <w:pStyle w:val="ListBullet"/>
            </w:pPr>
            <w:r w:rsidRPr="00B873C2">
              <w:t>Architectures</w:t>
            </w:r>
          </w:p>
          <w:p w:rsidR="00000000" w:rsidP="00B873C2">
            <w:pPr>
              <w:pStyle w:val="ListBullet"/>
              <w:rPr>
                <w:lang w:val="en-NZ"/>
              </w:rPr>
            </w:pPr>
            <w:r w:rsidRPr="00B873C2">
              <w:t>Service levels</w:t>
            </w:r>
          </w:p>
        </w:tc>
      </w:tr>
      <w:tr w:rsidTr="00421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 xml:space="preserve">The breadth, depth and complexity covering planning and initiation of alternative approaches to skills or knowledge applications across a broad </w:t>
            </w:r>
            <w:r w:rsidRPr="00B873C2">
              <w:t>range of technical and/or management requirements, evaluation and coordination would be characteristic.</w:t>
            </w:r>
          </w:p>
          <w:p w:rsidR="00000000" w:rsidRPr="00B873C2" w:rsidP="00B873C2">
            <w:pPr>
              <w:pStyle w:val="BodyText"/>
            </w:pPr>
          </w:p>
          <w:p w:rsidR="00000000" w:rsidRPr="00B873C2" w:rsidP="00B873C2">
            <w:pPr>
              <w:pStyle w:val="BodyText"/>
            </w:pPr>
            <w:r w:rsidRPr="00B873C2">
              <w:t>Assessment must ensure:</w:t>
            </w:r>
          </w:p>
          <w:p w:rsidR="00000000" w:rsidRPr="00B873C2" w:rsidP="00B873C2">
            <w:pPr>
              <w:pStyle w:val="ListBullet"/>
            </w:pPr>
            <w:r w:rsidRPr="00B873C2">
              <w:t xml:space="preserve">The demonstration of competency may also require self-directed application of knowledge and skills, with substantial depth in </w:t>
            </w:r>
            <w:r w:rsidRPr="00B873C2">
              <w:t>some areas where judgement is required in planning and selecting appropriate equipment, services and techniques for self and others.</w:t>
            </w:r>
          </w:p>
          <w:p w:rsidR="00000000" w:rsidRPr="00B873C2" w:rsidP="00B873C2">
            <w:pPr>
              <w:pStyle w:val="BodyText"/>
            </w:pPr>
          </w:p>
          <w:p w:rsidR="00000000" w:rsidP="00B873C2">
            <w:pPr>
              <w:pStyle w:val="ListBullet"/>
              <w:rPr>
                <w:lang w:val="en-NZ"/>
              </w:rPr>
            </w:pPr>
            <w:r w:rsidRPr="00B873C2">
              <w:t>Applications involve participation in development of strategic initiatives as well as personal responsibility and autonom</w:t>
            </w:r>
            <w:r w:rsidRPr="00B873C2">
              <w:t>y in performing complex technical operations or organising others. It may include participation in teams including teams concerned with planning and evaluation functions. Group or team coordination may also be involved.</w:t>
            </w:r>
          </w:p>
        </w:tc>
      </w:tr>
      <w:tr w:rsidTr="00421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The purpose of</w:t>
            </w:r>
            <w:r w:rsidRPr="00B873C2">
              <w:t xml:space="preserve"> this unit is to define the standard of performance to be achieved in the workplace. In undertaking training and assessment activities related to this unit, consideration should be given to the implementation of appropriate diversity and accessibility prac</w:t>
            </w:r>
            <w:r w:rsidRPr="00B873C2">
              <w:t>tices in order to accommodate people who may have special needs. Additional guidance on these and related matters is provided in ICA05 Section 1.</w:t>
            </w:r>
          </w:p>
          <w:p w:rsidR="00000000" w:rsidRPr="00B873C2" w:rsidP="00B873C2">
            <w:pPr>
              <w:pStyle w:val="BodyText"/>
            </w:pPr>
          </w:p>
          <w:p w:rsidR="00000000" w:rsidRPr="00B873C2" w:rsidP="00B873C2">
            <w:pPr>
              <w:pStyle w:val="ListBullet"/>
            </w:pPr>
            <w:r w:rsidRPr="00B873C2">
              <w:t>Competency in this unit should be assessed using summative assessment to ensure consistency of performance i</w:t>
            </w:r>
            <w:r w:rsidRPr="00B873C2">
              <w:t>n a range of contexts. This unit can be assessed either in the workplace or in a simulated environment. However, simulated activities must closely reflect the workplace to enable full demonstration of competency.</w:t>
            </w:r>
          </w:p>
          <w:p w:rsidR="00000000" w:rsidRPr="00B873C2" w:rsidP="00B873C2">
            <w:pPr>
              <w:pStyle w:val="BodyText"/>
            </w:pPr>
          </w:p>
          <w:p w:rsidR="00000000" w:rsidRPr="00B873C2" w:rsidP="00B873C2">
            <w:pPr>
              <w:pStyle w:val="ListBullet"/>
            </w:pPr>
            <w:r w:rsidRPr="00B873C2">
              <w:t>Supplementary questioning may be used dur</w:t>
            </w:r>
            <w:r w:rsidRPr="00B873C2">
              <w:t>ing the summative assessment phase, where necessary, to ensure that all issues relating to different acquisition methods have been considered and appropriate choices made given organisational policy.</w:t>
            </w:r>
          </w:p>
          <w:p w:rsidR="00000000" w:rsidRPr="00B873C2" w:rsidP="00B873C2">
            <w:pPr>
              <w:pStyle w:val="BodyText"/>
            </w:pPr>
          </w:p>
          <w:p w:rsidR="00000000" w:rsidP="00B873C2">
            <w:pPr>
              <w:pStyle w:val="ListBullet"/>
              <w:rPr>
                <w:lang w:val="en-NZ"/>
              </w:rPr>
            </w:pPr>
            <w:r w:rsidRPr="00B873C2">
              <w:t>Assessment will usually include observation of real or</w:t>
            </w:r>
            <w:r w:rsidRPr="00B873C2">
              <w:t xml:space="preserve"> simulated work processes and procedures and/or performance in a project context as well as questioning on underpinning knowledge and skills. The questioning of team members, supervisors, subordinates, peers and clients where appropriate may provide valuab</w:t>
            </w:r>
            <w:r w:rsidRPr="00B873C2">
              <w:t>le input to the assessment process. The interdependence of units for assessment purposes may vary with the particular project or scenario.</w:t>
            </w:r>
          </w:p>
        </w:tc>
      </w:tr>
      <w:tr w:rsidTr="00421E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Holistic assessment with other units relevant to the industry sector, workplace and job role is recommended.</w:t>
            </w:r>
          </w:p>
          <w:p w:rsidR="00000000" w:rsidRPr="00B873C2" w:rsidP="00B873C2">
            <w:pPr>
              <w:pStyle w:val="BodyText"/>
            </w:pPr>
          </w:p>
          <w:p w:rsidR="00000000" w:rsidRPr="00B873C2" w:rsidP="00B873C2">
            <w:pPr>
              <w:pStyle w:val="BodyText"/>
            </w:pPr>
            <w:r w:rsidRPr="00B873C2">
              <w:t>In the case of this unit, it could be assessed in a holistic manner with:</w:t>
            </w:r>
          </w:p>
          <w:p w:rsidR="00000000" w:rsidRPr="00B873C2" w:rsidP="00B873C2">
            <w:pPr>
              <w:pStyle w:val="ListBullet"/>
            </w:pPr>
            <w:r w:rsidRPr="00B873C2">
              <w:t>ICAI5086B Scope implementation requirements</w:t>
            </w:r>
          </w:p>
          <w:p w:rsidR="00000000" w:rsidRPr="00B873C2" w:rsidP="00B873C2">
            <w:pPr>
              <w:pStyle w:val="ListBullet"/>
            </w:pPr>
            <w:r w:rsidRPr="00B873C2">
              <w:t>ICAI5088B Evaluate and nego</w:t>
            </w:r>
            <w:r w:rsidRPr="00B873C2">
              <w:t>tiate vendor offerings</w:t>
            </w:r>
          </w:p>
          <w:p w:rsidR="00000000" w:rsidRPr="00B873C2" w:rsidP="00B873C2">
            <w:pPr>
              <w:pStyle w:val="ListBullet"/>
            </w:pPr>
            <w:r w:rsidRPr="00B873C2">
              <w:t>ICAI5089B Implement and hand over system components</w:t>
            </w:r>
          </w:p>
          <w:p w:rsidR="00000000" w:rsidRPr="00B873C2" w:rsidP="00B873C2">
            <w:pPr>
              <w:pStyle w:val="ListBullet"/>
            </w:pPr>
            <w:r w:rsidRPr="00B873C2">
              <w:t>ICAI5090B Conduct pre installation audit for software installation</w:t>
            </w:r>
          </w:p>
          <w:p w:rsidR="00000000" w:rsidRPr="00B873C2" w:rsidP="00B873C2">
            <w:pPr>
              <w:pStyle w:val="BodyText"/>
            </w:pPr>
          </w:p>
          <w:p w:rsidR="00000000" w:rsidRPr="00B873C2" w:rsidP="00B873C2">
            <w:pPr>
              <w:pStyle w:val="BodyText"/>
            </w:pPr>
            <w:r w:rsidRPr="00B873C2">
              <w:t>An individual demonstrating this competency would be able to:</w:t>
            </w:r>
          </w:p>
          <w:p w:rsidR="00000000" w:rsidRPr="00B873C2" w:rsidP="00B873C2">
            <w:pPr>
              <w:pStyle w:val="ListBullet"/>
            </w:pPr>
            <w:r w:rsidRPr="00B873C2">
              <w:t>Demonstrate understanding of a broad knowledge bas</w:t>
            </w:r>
            <w:r w:rsidRPr="00B873C2">
              <w:t>e incorporating theoretical concepts, with substantial depth in some areas</w:t>
            </w:r>
          </w:p>
          <w:p w:rsidR="00000000" w:rsidRPr="00B873C2" w:rsidP="00B873C2">
            <w:pPr>
              <w:pStyle w:val="ListBullet"/>
            </w:pPr>
            <w:r w:rsidRPr="00B873C2">
              <w:t>Analyse and plan approaches to technical problems or management requirements</w:t>
            </w:r>
          </w:p>
          <w:p w:rsidR="00000000" w:rsidRPr="00B873C2" w:rsidP="00B873C2">
            <w:pPr>
              <w:pStyle w:val="ListBullet"/>
            </w:pPr>
            <w:r w:rsidRPr="00B873C2">
              <w:t>Transfer and apply theoretical concepts and/or technical or creative skills to a range of situations</w:t>
            </w:r>
          </w:p>
          <w:p w:rsidR="00000000" w:rsidRPr="00B873C2" w:rsidP="00B873C2">
            <w:pPr>
              <w:pStyle w:val="ListBullet"/>
            </w:pPr>
            <w:r w:rsidRPr="00B873C2">
              <w:t>Eva</w:t>
            </w:r>
            <w:r w:rsidRPr="00B873C2">
              <w:t>luate information, using it to forecast for planning or research purposes</w:t>
            </w:r>
          </w:p>
          <w:p w:rsidR="00000000" w:rsidRPr="00B873C2" w:rsidP="00B873C2">
            <w:pPr>
              <w:pStyle w:val="ListBullet"/>
            </w:pPr>
            <w:r w:rsidRPr="00B873C2">
              <w:t>Take responsibility for own outputs in relation to broad quantity and quality parameters</w:t>
            </w:r>
          </w:p>
          <w:p w:rsidR="00000000" w:rsidRPr="00B873C2" w:rsidP="00B873C2">
            <w:pPr>
              <w:pStyle w:val="ListBullet"/>
            </w:pPr>
            <w:r w:rsidRPr="00B873C2">
              <w:t>Take some responsibility for the achievement of group outcomes</w:t>
            </w:r>
          </w:p>
          <w:p w:rsidR="00000000" w:rsidRPr="00B873C2" w:rsidP="00B873C2">
            <w:pPr>
              <w:pStyle w:val="ListBullet"/>
            </w:pPr>
            <w:r w:rsidRPr="00B873C2">
              <w:t>Maintain knowledge of industry products and services</w:t>
            </w:r>
          </w:p>
        </w:tc>
      </w:tr>
    </w:tbl>
    <w:p w:rsidR="00421EA2" w:rsidP="00B873C2">
      <w:pPr>
        <w:pStyle w:val="BodyText"/>
      </w:pPr>
    </w:p>
    <w:p w:rsidR="00421EA2" w:rsidP="00B873C2">
      <w:pPr>
        <w:pStyle w:val="BodyText"/>
      </w:pPr>
    </w:p>
    <w:p w:rsidR="00000000" w:rsidRPr="00B873C2" w:rsidP="00B873C2">
      <w:pPr>
        <w:pStyle w:val="Heading1"/>
      </w:pPr>
      <w:bookmarkStart w:id="11" w:name="O_252290"/>
      <w:bookmarkEnd w:id="11"/>
      <w:r w:rsidRPr="00B873C2">
        <w:t>Range Statement</w:t>
      </w:r>
    </w:p>
    <w:tbl>
      <w:tblPr>
        <w:tblW w:w="0" w:type="auto"/>
        <w:tblLayout w:type="fixed"/>
        <w:tblCellMar>
          <w:left w:w="62" w:type="dxa"/>
          <w:right w:w="62" w:type="dxa"/>
        </w:tblCellMar>
        <w:tblLook w:val="0000"/>
      </w:tblPr>
      <w:tblGrid>
        <w:gridCol w:w="3519"/>
        <w:gridCol w:w="5003"/>
      </w:tblGrid>
      <w:tr w:rsidTr="00421E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RANGE STATEMENT</w:t>
            </w:r>
          </w:p>
        </w:tc>
      </w:tr>
      <w:tr w:rsidTr="00421E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t xml:space="preserve">The range statement relates to the unit of competency as a whole. It allows for different work environments and situations that may affect </w:t>
            </w:r>
            <w:r w:rsidRPr="00B873C2">
              <w:t>performance. Bold italicised wording, if used in the performance criteria, is detailed below. Essential operating conditions that may be present with training and assessment (depending on the work situation, needs of the candidate, accessibility of the ite</w:t>
            </w:r>
            <w:r w:rsidRPr="00B873C2">
              <w:t>m, and local industry and regional contexts) may also be included.</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Requirements</w:t>
            </w:r>
            <w:r w:rsidRPr="00B873C2">
              <w:t xml:space="preserve"> may be in reference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business</w:t>
            </w:r>
          </w:p>
          <w:p w:rsidR="00000000" w:rsidRPr="00B873C2" w:rsidP="00B873C2">
            <w:pPr>
              <w:pStyle w:val="ListBullet"/>
            </w:pPr>
            <w:r w:rsidRPr="00B873C2">
              <w:t>system</w:t>
            </w:r>
          </w:p>
          <w:p w:rsidR="00000000" w:rsidRPr="00B873C2" w:rsidP="00B873C2">
            <w:pPr>
              <w:pStyle w:val="ListBullet"/>
            </w:pPr>
            <w:r w:rsidRPr="00B873C2">
              <w:t>platform</w:t>
            </w:r>
          </w:p>
          <w:p w:rsidR="00000000" w:rsidRPr="00B873C2" w:rsidP="00B873C2">
            <w:pPr>
              <w:pStyle w:val="ListBullet"/>
            </w:pPr>
            <w:r w:rsidRPr="00B873C2">
              <w:t>application</w:t>
            </w:r>
          </w:p>
          <w:p w:rsidR="00000000" w:rsidRPr="00B873C2" w:rsidP="00B873C2">
            <w:pPr>
              <w:pStyle w:val="ListBullet"/>
            </w:pPr>
            <w:r w:rsidRPr="00B873C2">
              <w:t>database</w:t>
            </w:r>
          </w:p>
          <w:p w:rsidR="00000000" w:rsidRPr="00B873C2" w:rsidP="00B873C2">
            <w:pPr>
              <w:pStyle w:val="ListBullet"/>
            </w:pPr>
            <w:r w:rsidRPr="00B873C2">
              <w:t>network</w:t>
            </w:r>
          </w:p>
          <w:p w:rsidR="00000000" w:rsidP="00B873C2">
            <w:pPr>
              <w:pStyle w:val="ListBullet"/>
              <w:rPr>
                <w:lang w:val="en-NZ"/>
              </w:rPr>
            </w:pPr>
            <w:r w:rsidRPr="00B873C2">
              <w:t>people in the organisation</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Software</w:t>
            </w:r>
            <w:r w:rsidRPr="00B873C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commercial software applications</w:t>
            </w:r>
          </w:p>
          <w:p w:rsidR="00000000" w:rsidRPr="00B873C2" w:rsidP="00B873C2">
            <w:pPr>
              <w:pStyle w:val="ListBullet"/>
            </w:pPr>
            <w:r w:rsidRPr="00B873C2">
              <w:t>organisation-specific software</w:t>
            </w:r>
          </w:p>
          <w:p w:rsidR="00000000" w:rsidRPr="00B873C2" w:rsidP="00B873C2">
            <w:pPr>
              <w:pStyle w:val="ListBullet"/>
            </w:pPr>
            <w:r w:rsidRPr="00B873C2">
              <w:t>packaged software</w:t>
            </w:r>
          </w:p>
          <w:p w:rsidR="00000000" w:rsidRPr="00B873C2" w:rsidP="00B873C2">
            <w:pPr>
              <w:pStyle w:val="ListBullet"/>
            </w:pPr>
            <w:r w:rsidRPr="00B873C2">
              <w:t>in-house</w:t>
            </w:r>
          </w:p>
          <w:p w:rsidR="00000000" w:rsidP="00B873C2">
            <w:pPr>
              <w:pStyle w:val="ListBullet"/>
              <w:rPr>
                <w:lang w:val="en-NZ"/>
              </w:rPr>
            </w:pPr>
            <w:r w:rsidRPr="00B873C2">
              <w:t>customised software</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Hardware</w:t>
            </w:r>
            <w:r w:rsidRPr="00B873C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workstations</w:t>
            </w:r>
          </w:p>
          <w:p w:rsidR="00000000" w:rsidRPr="00B873C2" w:rsidP="00B873C2">
            <w:pPr>
              <w:pStyle w:val="ListBullet"/>
            </w:pPr>
            <w:r w:rsidRPr="00B873C2">
              <w:t>personal computers</w:t>
            </w:r>
          </w:p>
          <w:p w:rsidR="00000000" w:rsidRPr="00B873C2" w:rsidP="00B873C2">
            <w:pPr>
              <w:pStyle w:val="ListBullet"/>
            </w:pPr>
            <w:r w:rsidRPr="00B873C2">
              <w:t>modems and other connectivity devices</w:t>
            </w:r>
          </w:p>
          <w:p w:rsidR="00000000" w:rsidRPr="00B873C2" w:rsidP="00B873C2">
            <w:pPr>
              <w:pStyle w:val="ListBullet"/>
            </w:pPr>
            <w:r w:rsidRPr="00B873C2">
              <w:t>networks</w:t>
            </w:r>
          </w:p>
          <w:p w:rsidR="00000000" w:rsidRPr="00B873C2" w:rsidP="00B873C2">
            <w:pPr>
              <w:pStyle w:val="ListBullet"/>
            </w:pPr>
            <w:r w:rsidRPr="00B873C2">
              <w:t>DSL modems</w:t>
            </w:r>
          </w:p>
          <w:p w:rsidR="00000000" w:rsidRPr="00B873C2" w:rsidP="00B873C2">
            <w:pPr>
              <w:pStyle w:val="ListBullet"/>
            </w:pPr>
            <w:r w:rsidRPr="00B873C2">
              <w:t>remote sites</w:t>
            </w:r>
          </w:p>
          <w:p w:rsidR="00000000" w:rsidP="00B873C2">
            <w:pPr>
              <w:pStyle w:val="ListBullet"/>
              <w:rPr>
                <w:lang w:val="en-NZ"/>
              </w:rPr>
            </w:pPr>
            <w:r w:rsidRPr="00B873C2">
              <w:t>servers</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Components</w:t>
            </w:r>
            <w:r w:rsidRPr="00B873C2">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Motherboards</w:t>
            </w:r>
          </w:p>
          <w:p w:rsidR="00000000" w:rsidRPr="00B873C2" w:rsidP="00B873C2">
            <w:pPr>
              <w:pStyle w:val="ListBullet"/>
            </w:pPr>
            <w:r w:rsidRPr="00B873C2">
              <w:t>CMOS battery</w:t>
            </w:r>
          </w:p>
          <w:p w:rsidR="00000000" w:rsidRPr="00B873C2" w:rsidP="00B873C2">
            <w:pPr>
              <w:pStyle w:val="ListBullet"/>
            </w:pPr>
            <w:r w:rsidRPr="00B873C2">
              <w:t>central processing unit (CPU)</w:t>
            </w:r>
          </w:p>
          <w:p w:rsidR="00000000" w:rsidRPr="00B873C2" w:rsidP="00B873C2">
            <w:pPr>
              <w:pStyle w:val="ListBullet"/>
            </w:pPr>
            <w:r w:rsidRPr="00B873C2">
              <w:t>CD and DVD drives</w:t>
            </w:r>
          </w:p>
          <w:p w:rsidR="00000000" w:rsidRPr="00B873C2" w:rsidP="00B873C2">
            <w:pPr>
              <w:pStyle w:val="ListBullet"/>
            </w:pPr>
            <w:r w:rsidRPr="00B873C2">
              <w:t>interface cards</w:t>
            </w:r>
          </w:p>
          <w:p w:rsidR="00000000" w:rsidRPr="00B873C2" w:rsidP="00B873C2">
            <w:pPr>
              <w:pStyle w:val="ListBullet"/>
            </w:pPr>
            <w:r w:rsidRPr="00B873C2">
              <w:t>drives</w:t>
            </w:r>
          </w:p>
          <w:p w:rsidR="00000000" w:rsidRPr="00B873C2" w:rsidP="00B873C2">
            <w:pPr>
              <w:pStyle w:val="ListBullet"/>
            </w:pPr>
            <w:r w:rsidRPr="00B873C2">
              <w:t>fax/modem cards</w:t>
            </w:r>
          </w:p>
          <w:p w:rsidR="00000000" w:rsidRPr="00B873C2" w:rsidP="00B873C2">
            <w:pPr>
              <w:pStyle w:val="ListBullet"/>
            </w:pPr>
            <w:r w:rsidRPr="00B873C2">
              <w:t>RAM upgrades</w:t>
            </w:r>
          </w:p>
          <w:p w:rsidR="00000000" w:rsidP="00B873C2">
            <w:pPr>
              <w:pStyle w:val="ListBullet"/>
              <w:rPr>
                <w:lang w:val="en-NZ"/>
              </w:rPr>
            </w:pPr>
            <w:r w:rsidRPr="00B873C2">
              <w:t>CPU upgrades</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Specifications</w:t>
            </w:r>
            <w:r w:rsidRPr="00B873C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technical requirements</w:t>
            </w:r>
          </w:p>
          <w:p w:rsidR="00000000" w:rsidRPr="00B873C2" w:rsidP="00B873C2">
            <w:pPr>
              <w:pStyle w:val="ListBullet"/>
            </w:pPr>
            <w:r w:rsidRPr="00B873C2">
              <w:t>user problem statement</w:t>
            </w:r>
          </w:p>
          <w:p w:rsidR="00000000" w:rsidP="00B873C2">
            <w:pPr>
              <w:pStyle w:val="ListBullet"/>
              <w:rPr>
                <w:lang w:val="en-NZ"/>
              </w:rPr>
            </w:pPr>
            <w:r w:rsidRPr="00B873C2">
              <w:t>current system functionality</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Client</w:t>
            </w:r>
            <w:r w:rsidRPr="00B873C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internal departments</w:t>
            </w:r>
          </w:p>
          <w:p w:rsidR="00000000" w:rsidRPr="00B873C2" w:rsidP="00B873C2">
            <w:pPr>
              <w:pStyle w:val="ListBullet"/>
            </w:pPr>
            <w:r w:rsidRPr="00B873C2">
              <w:t>external organisations</w:t>
            </w:r>
          </w:p>
          <w:p w:rsidR="00000000" w:rsidRPr="00B873C2" w:rsidP="00B873C2">
            <w:pPr>
              <w:pStyle w:val="ListBullet"/>
            </w:pPr>
            <w:r w:rsidRPr="00B873C2">
              <w:t>individual people</w:t>
            </w:r>
          </w:p>
          <w:p w:rsidR="00000000" w:rsidP="00B873C2">
            <w:pPr>
              <w:pStyle w:val="ListBullet"/>
              <w:rPr>
                <w:lang w:val="en-NZ"/>
              </w:rPr>
            </w:pPr>
            <w:r w:rsidRPr="00B873C2">
              <w:t>internal employees</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Operating</w:t>
            </w:r>
            <w:r w:rsidRPr="00B873C2">
              <w:t xml:space="preserve"> </w:t>
            </w:r>
            <w:r w:rsidRPr="00B873C2">
              <w:rPr>
                <w:rStyle w:val="BoldandItalics"/>
              </w:rPr>
              <w:t>System</w:t>
            </w:r>
            <w:r w:rsidRPr="00B873C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Li</w:t>
            </w:r>
            <w:r w:rsidRPr="00B873C2">
              <w:t>nux 6.0 or above</w:t>
            </w:r>
          </w:p>
          <w:p w:rsidR="00000000" w:rsidRPr="00B873C2" w:rsidP="00B873C2">
            <w:pPr>
              <w:pStyle w:val="ListBullet"/>
            </w:pPr>
            <w:r w:rsidRPr="00B873C2">
              <w:t>Windows 98 or above</w:t>
            </w:r>
          </w:p>
          <w:p w:rsidR="00000000" w:rsidRPr="00B873C2" w:rsidP="00B873C2">
            <w:pPr>
              <w:pStyle w:val="ListBullet"/>
            </w:pPr>
            <w:r w:rsidRPr="00B873C2">
              <w:t>Apple OS 8 or above</w:t>
            </w:r>
          </w:p>
          <w:p w:rsidR="00000000" w:rsidRPr="00B873C2" w:rsidP="00B873C2">
            <w:pPr>
              <w:pStyle w:val="BodyText"/>
            </w:pPr>
          </w:p>
          <w:p w:rsidR="00000000" w:rsidP="00B873C2">
            <w:pPr>
              <w:pStyle w:val="BodyText"/>
              <w:rPr>
                <w:lang w:val="en-NZ"/>
              </w:rPr>
            </w:pPr>
            <w:r w:rsidRPr="00B873C2">
              <w:t>Note: The use of operating system in this unit is in the context of the pre-existing system and may therefore n</w:t>
            </w:r>
            <w:r w:rsidRPr="00B873C2">
              <w:t>ot be current industry version. Preference is for Linux 7.0 or above, Windows 2000 or above, Apple OS X or above</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System components</w:t>
            </w:r>
            <w:r w:rsidRPr="00B873C2">
              <w:t xml:space="preserve"> may include but are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Hardware, such as internal expansion devices and external peripheral devices</w:t>
            </w:r>
          </w:p>
          <w:p w:rsidR="00000000" w:rsidRPr="00B873C2" w:rsidP="00B873C2">
            <w:pPr>
              <w:pStyle w:val="ListBullet"/>
            </w:pPr>
            <w:r w:rsidRPr="00B873C2">
              <w:t>PCs, netwo</w:t>
            </w:r>
            <w:r w:rsidRPr="00B873C2">
              <w:t>rks, printers</w:t>
            </w:r>
          </w:p>
          <w:p w:rsidR="00000000" w:rsidRPr="00B873C2" w:rsidP="00B873C2">
            <w:pPr>
              <w:pStyle w:val="ListBullet"/>
            </w:pPr>
            <w:r w:rsidRPr="00B873C2">
              <w:t>Software, such as applications, utilities, operating systems</w:t>
            </w:r>
          </w:p>
          <w:p w:rsidR="00000000" w:rsidRPr="00B873C2" w:rsidP="00B873C2">
            <w:pPr>
              <w:pStyle w:val="ListBullet"/>
            </w:pPr>
            <w:r w:rsidRPr="00B873C2">
              <w:t>Facility management</w:t>
            </w:r>
          </w:p>
          <w:p w:rsidR="00000000" w:rsidP="00B873C2">
            <w:pPr>
              <w:pStyle w:val="ListBullet"/>
              <w:rPr>
                <w:lang w:val="en-NZ"/>
              </w:rPr>
            </w:pPr>
            <w:r w:rsidRPr="00B873C2">
              <w:t>Integration and/or implementation services</w:t>
            </w:r>
          </w:p>
        </w:tc>
      </w:tr>
      <w:tr w:rsidTr="00421EA2">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BoldandItalics"/>
              </w:rPr>
              <w:t>Acquisition</w:t>
            </w:r>
            <w:r w:rsidRPr="00B873C2">
              <w:t xml:space="preserve"> </w:t>
            </w:r>
            <w:r w:rsidRPr="00B873C2">
              <w:rPr>
                <w:rStyle w:val="BoldandItalics"/>
              </w:rPr>
              <w:t>method</w:t>
            </w:r>
            <w:r w:rsidRPr="00B873C2">
              <w:t xml:space="preserve"> may include but is not limited to:</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ListBullet"/>
            </w:pPr>
            <w:r w:rsidRPr="00B873C2">
              <w:t>purchase</w:t>
            </w:r>
          </w:p>
          <w:p w:rsidR="00000000" w:rsidRPr="00B873C2" w:rsidP="00B873C2">
            <w:pPr>
              <w:pStyle w:val="ListBullet"/>
            </w:pPr>
            <w:r w:rsidRPr="00B873C2">
              <w:t>lease</w:t>
            </w:r>
          </w:p>
          <w:p w:rsidR="00000000" w:rsidRPr="00B873C2" w:rsidP="00B873C2">
            <w:pPr>
              <w:pStyle w:val="ListBullet"/>
            </w:pPr>
            <w:r w:rsidRPr="00B873C2">
              <w:t>rental</w:t>
            </w:r>
          </w:p>
          <w:p w:rsidR="00000000" w:rsidRPr="00B873C2" w:rsidP="00B873C2">
            <w:pPr>
              <w:pStyle w:val="ListBullet"/>
            </w:pPr>
            <w:r w:rsidRPr="00B873C2">
              <w:t>new or refurbished</w:t>
            </w:r>
          </w:p>
          <w:p w:rsidR="00000000" w:rsidRPr="00B873C2" w:rsidP="00B873C2">
            <w:pPr>
              <w:pStyle w:val="ListBullet"/>
            </w:pPr>
            <w:r w:rsidRPr="00B873C2">
              <w:t>outsourced</w:t>
            </w:r>
          </w:p>
          <w:p w:rsidR="00000000" w:rsidRPr="00B873C2" w:rsidP="00B873C2">
            <w:pPr>
              <w:pStyle w:val="BodyText"/>
            </w:pPr>
          </w:p>
          <w:p w:rsidR="00000000" w:rsidRPr="00B873C2" w:rsidP="00B873C2">
            <w:pPr>
              <w:pStyle w:val="BodyText"/>
            </w:pPr>
            <w:r w:rsidRPr="00B873C2">
              <w:t>Different acquisition methods can be found in IT strategy papers, or through discussions with IT director, finance director, suppliers</w:t>
            </w:r>
          </w:p>
        </w:tc>
      </w:tr>
    </w:tbl>
    <w:p w:rsidR="00421EA2" w:rsidP="00B873C2">
      <w:pPr>
        <w:pStyle w:val="BodyText"/>
      </w:pPr>
    </w:p>
    <w:p w:rsidR="00421EA2" w:rsidP="00B873C2">
      <w:pPr>
        <w:pStyle w:val="BodyText"/>
      </w:pPr>
    </w:p>
    <w:p w:rsidR="00000000" w:rsidRPr="00B873C2" w:rsidP="00B873C2">
      <w:pPr>
        <w:pStyle w:val="Heading1"/>
      </w:pPr>
      <w:bookmarkStart w:id="12" w:name="O_207715"/>
      <w:bookmarkEnd w:id="12"/>
      <w:r w:rsidRPr="00B873C2">
        <w:t>Unit Sector(s)</w:t>
      </w:r>
    </w:p>
    <w:tbl>
      <w:tblPr>
        <w:tblW w:w="0" w:type="auto"/>
        <w:tblLayout w:type="fixed"/>
        <w:tblCellMar>
          <w:left w:w="62" w:type="dxa"/>
          <w:right w:w="62" w:type="dxa"/>
        </w:tblCellMar>
        <w:tblLook w:val="0000"/>
      </w:tblPr>
      <w:tblGrid>
        <w:gridCol w:w="2610"/>
        <w:gridCol w:w="5912"/>
      </w:tblGrid>
      <w:tr w:rsidTr="00421EA2">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r w:rsidRPr="00B873C2">
              <w:t>Implement</w:t>
            </w:r>
          </w:p>
        </w:tc>
      </w:tr>
    </w:tbl>
    <w:p w:rsidR="00421EA2" w:rsidP="00B873C2">
      <w:pPr>
        <w:pStyle w:val="BodyText"/>
      </w:pPr>
    </w:p>
    <w:p w:rsidR="00421EA2" w:rsidP="00B873C2">
      <w:pPr>
        <w:pStyle w:val="BodyText"/>
      </w:pPr>
    </w:p>
    <w:p w:rsidR="00000000" w:rsidRPr="00B873C2" w:rsidP="00B873C2">
      <w:pPr>
        <w:pStyle w:val="Heading1"/>
      </w:pPr>
      <w:bookmarkStart w:id="13" w:name="O_207712"/>
      <w:bookmarkEnd w:id="13"/>
      <w:r w:rsidRPr="00B873C2">
        <w:t>Co-requisite units</w:t>
      </w:r>
    </w:p>
    <w:tbl>
      <w:tblPr>
        <w:tblW w:w="0" w:type="auto"/>
        <w:tblLayout w:type="fixed"/>
        <w:tblCellMar>
          <w:left w:w="62" w:type="dxa"/>
          <w:right w:w="62" w:type="dxa"/>
        </w:tblCellMar>
        <w:tblLook w:val="0000"/>
      </w:tblPr>
      <w:tblGrid>
        <w:gridCol w:w="2641"/>
        <w:gridCol w:w="1322"/>
        <w:gridCol w:w="4559"/>
      </w:tblGrid>
      <w:tr w:rsidTr="00421E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1E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p>
        </w:tc>
      </w:tr>
      <w:tr w:rsidTr="00421E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p>
        </w:tc>
      </w:tr>
    </w:tbl>
    <w:p w:rsidR="00421EA2" w:rsidP="00B873C2">
      <w:pPr>
        <w:pStyle w:val="BodyText"/>
      </w:pPr>
    </w:p>
    <w:p w:rsidR="00421EA2" w:rsidP="00B873C2">
      <w:pPr>
        <w:pStyle w:val="BodyText"/>
      </w:pPr>
    </w:p>
    <w:p w:rsidR="00000000" w:rsidRPr="00B873C2" w:rsidP="00B873C2">
      <w:pPr>
        <w:pStyle w:val="Heading1"/>
      </w:pPr>
      <w:bookmarkStart w:id="14" w:name="O_207714"/>
      <w:bookmarkEnd w:id="14"/>
      <w:r w:rsidRPr="00B873C2">
        <w:t>Competency field</w:t>
      </w:r>
    </w:p>
    <w:tbl>
      <w:tblPr>
        <w:tblW w:w="0" w:type="auto"/>
        <w:tblLayout w:type="fixed"/>
        <w:tblCellMar>
          <w:left w:w="62" w:type="dxa"/>
          <w:right w:w="62" w:type="dxa"/>
        </w:tblCellMar>
        <w:tblLook w:val="0000"/>
      </w:tblPr>
      <w:tblGrid>
        <w:gridCol w:w="2784"/>
        <w:gridCol w:w="5738"/>
      </w:tblGrid>
      <w:tr w:rsidTr="00421E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73C2">
            <w:pPr>
              <w:pStyle w:val="BodyText"/>
              <w:rPr>
                <w:lang w:val="en-NZ"/>
              </w:rPr>
            </w:pPr>
            <w:r w:rsidRPr="00B873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73C2" w:rsidP="00B873C2">
            <w:pPr>
              <w:pStyle w:val="BodyText"/>
            </w:pPr>
          </w:p>
        </w:tc>
      </w:tr>
    </w:tbl>
    <w:p w:rsidR="00421EA2" w:rsidP="00B873C2">
      <w:pPr>
        <w:pStyle w:val="BodyText"/>
      </w:pPr>
    </w:p>
    <w:p w:rsidR="00421EA2" w:rsidP="00B873C2">
      <w:pPr>
        <w:pStyle w:val="BodyText"/>
      </w:pPr>
    </w:p>
    <w:p w:rsidR="00000000" w:rsidRPr="00B873C2" w:rsidP="00B873C2"/>
    <w:sectPr w:rsidSect="00B873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EA2" w:rsidP="00421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A2" w:rsidP="00B87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21EA2" w:rsidP="00B873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1EA2" w:rsidP="00B873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EA2" w:rsidP="00421E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A2" w:rsidP="00B873C2">
    <w:pPr>
      <w:pStyle w:val="Header"/>
      <w:framePr w:wrap="around"/>
    </w:pPr>
    <w:r>
      <w:fldChar w:fldCharType="begin"/>
    </w:r>
    <w:r>
      <w:instrText xml:space="preserve"> TITLE   \* MERGEFORMAT </w:instrText>
    </w:r>
    <w:r>
      <w:fldChar w:fldCharType="separate"/>
    </w:r>
    <w:r>
      <w:t>ICAI5087B Acquire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1EA2" w:rsidP="00B873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B25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14FF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73C2"/>
    <w:pPr>
      <w:spacing w:before="360" w:after="60"/>
      <w:outlineLvl w:val="0"/>
    </w:pPr>
    <w:rPr>
      <w:sz w:val="32"/>
    </w:rPr>
  </w:style>
  <w:style w:type="paragraph" w:styleId="Heading2">
    <w:name w:val="heading 2"/>
    <w:basedOn w:val="HeadingBase"/>
    <w:next w:val="BodyText"/>
    <w:link w:val="Heading2Char"/>
    <w:qFormat/>
    <w:rsid w:val="00B873C2"/>
    <w:pPr>
      <w:keepLines/>
      <w:spacing w:before="240" w:after="120"/>
      <w:outlineLvl w:val="1"/>
    </w:pPr>
    <w:rPr>
      <w:sz w:val="28"/>
      <w:szCs w:val="40"/>
    </w:rPr>
  </w:style>
  <w:style w:type="paragraph" w:styleId="Heading3">
    <w:name w:val="heading 3"/>
    <w:basedOn w:val="HeadingBase"/>
    <w:next w:val="BodyText"/>
    <w:link w:val="Heading3Char"/>
    <w:qFormat/>
    <w:rsid w:val="00B873C2"/>
    <w:pPr>
      <w:spacing w:before="180" w:after="120"/>
      <w:outlineLvl w:val="2"/>
    </w:pPr>
    <w:rPr>
      <w:spacing w:val="-10"/>
      <w:kern w:val="32"/>
    </w:rPr>
  </w:style>
  <w:style w:type="paragraph" w:styleId="Heading4">
    <w:name w:val="heading 4"/>
    <w:basedOn w:val="HeadingBase"/>
    <w:next w:val="BodyText"/>
    <w:link w:val="Heading4Char"/>
    <w:qFormat/>
    <w:rsid w:val="00B873C2"/>
    <w:pPr>
      <w:spacing w:before="160" w:after="120"/>
      <w:outlineLvl w:val="3"/>
    </w:pPr>
    <w:rPr>
      <w:sz w:val="22"/>
    </w:rPr>
  </w:style>
  <w:style w:type="paragraph" w:styleId="Heading5">
    <w:name w:val="heading 5"/>
    <w:basedOn w:val="HeadingBase"/>
    <w:next w:val="Normal"/>
    <w:link w:val="Heading5Char"/>
    <w:qFormat/>
    <w:rsid w:val="00B873C2"/>
    <w:pPr>
      <w:spacing w:before="80"/>
      <w:outlineLvl w:val="4"/>
    </w:pPr>
    <w:rPr>
      <w:color w:val="918585"/>
      <w:sz w:val="20"/>
    </w:rPr>
  </w:style>
  <w:style w:type="paragraph" w:styleId="Heading6">
    <w:name w:val="heading 6"/>
    <w:basedOn w:val="HeadingBase"/>
    <w:next w:val="Normal"/>
    <w:link w:val="Heading6Char"/>
    <w:qFormat/>
    <w:rsid w:val="00B873C2"/>
    <w:pPr>
      <w:spacing w:before="60"/>
      <w:outlineLvl w:val="5"/>
    </w:pPr>
    <w:rPr>
      <w:color w:val="918585"/>
      <w:sz w:val="20"/>
    </w:rPr>
  </w:style>
  <w:style w:type="paragraph" w:styleId="Heading7">
    <w:name w:val="heading 7"/>
    <w:basedOn w:val="Normal"/>
    <w:next w:val="Normal"/>
    <w:link w:val="Heading7Char"/>
    <w:qFormat/>
    <w:rsid w:val="00B873C2"/>
    <w:pPr>
      <w:ind w:left="720"/>
      <w:outlineLvl w:val="6"/>
    </w:pPr>
    <w:rPr>
      <w:i/>
    </w:rPr>
  </w:style>
  <w:style w:type="paragraph" w:styleId="Heading8">
    <w:name w:val="heading 8"/>
    <w:basedOn w:val="Normal"/>
    <w:next w:val="Normal"/>
    <w:link w:val="Heading8Char"/>
    <w:qFormat/>
    <w:rsid w:val="00B873C2"/>
    <w:pPr>
      <w:ind w:left="720"/>
      <w:outlineLvl w:val="7"/>
    </w:pPr>
    <w:rPr>
      <w:i/>
    </w:rPr>
  </w:style>
  <w:style w:type="paragraph" w:styleId="Heading9">
    <w:name w:val="heading 9"/>
    <w:basedOn w:val="Normal"/>
    <w:next w:val="Normal"/>
    <w:link w:val="Heading9Char"/>
    <w:qFormat/>
    <w:rsid w:val="00B873C2"/>
    <w:pPr>
      <w:ind w:left="720"/>
      <w:outlineLvl w:val="8"/>
    </w:pPr>
    <w:rPr>
      <w:i/>
    </w:rPr>
  </w:style>
  <w:style w:type="character" w:default="1" w:styleId="DefaultParagraphFont">
    <w:name w:val="Default Paragraph Font"/>
    <w:uiPriority w:val="1"/>
    <w:unhideWhenUsed/>
    <w:rsid w:val="00B87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3C2"/>
  </w:style>
  <w:style w:type="character" w:customStyle="1" w:styleId="Heading1Char">
    <w:name w:val="Heading 1 Char"/>
    <w:basedOn w:val="DefaultParagraphFont"/>
    <w:link w:val="Heading1"/>
    <w:rsid w:val="00B873C2"/>
    <w:rPr>
      <w:rFonts w:ascii="Times New Roman" w:eastAsia="Times New Roman" w:hAnsi="Times New Roman" w:cs="Times New Roman"/>
      <w:b/>
      <w:sz w:val="32"/>
      <w:szCs w:val="20"/>
      <w:lang w:eastAsia="en-US"/>
    </w:rPr>
  </w:style>
  <w:style w:type="paragraph" w:styleId="BodyText">
    <w:name w:val="Body Text"/>
    <w:basedOn w:val="Normal"/>
    <w:link w:val="BodyTextChar"/>
    <w:rsid w:val="00B873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73C2"/>
    <w:rPr>
      <w:rFonts w:ascii="Times New Roman" w:eastAsia="Times New Roman" w:hAnsi="Times New Roman" w:cs="Times New Roman"/>
      <w:sz w:val="24"/>
      <w:lang w:val="en-US" w:eastAsia="en-US"/>
    </w:rPr>
  </w:style>
  <w:style w:type="paragraph" w:styleId="Footer">
    <w:name w:val="footer"/>
    <w:basedOn w:val="Normal"/>
    <w:link w:val="FooterChar"/>
    <w:rsid w:val="00B87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3C2"/>
    <w:rPr>
      <w:rFonts w:ascii="Times New Roman" w:eastAsia="Times New Roman" w:hAnsi="Times New Roman" w:cs="Times New Roman"/>
      <w:sz w:val="16"/>
      <w:lang w:val="en-US" w:eastAsia="en-US"/>
    </w:rPr>
  </w:style>
  <w:style w:type="paragraph" w:styleId="List">
    <w:name w:val="List"/>
    <w:basedOn w:val="BodyText"/>
    <w:next w:val="BodyText"/>
    <w:rsid w:val="00B873C2"/>
    <w:pPr>
      <w:tabs>
        <w:tab w:val="left" w:pos="340"/>
      </w:tabs>
      <w:spacing w:before="60" w:after="60"/>
      <w:ind w:left="340" w:hanging="340"/>
    </w:pPr>
  </w:style>
  <w:style w:type="paragraph" w:styleId="ListBullet">
    <w:name w:val="List Bullet"/>
    <w:basedOn w:val="List"/>
    <w:rsid w:val="00B873C2"/>
    <w:pPr>
      <w:numPr>
        <w:numId w:val="12"/>
      </w:numPr>
      <w:tabs>
        <w:tab w:val="clear" w:pos="340"/>
      </w:tabs>
      <w:spacing w:before="40" w:after="40"/>
    </w:pPr>
  </w:style>
  <w:style w:type="character" w:customStyle="1" w:styleId="SpecialBold">
    <w:name w:val="Special Bold"/>
    <w:basedOn w:val="DefaultParagraphFont"/>
    <w:rsid w:val="00B873C2"/>
    <w:rPr>
      <w:b/>
      <w:spacing w:val="0"/>
    </w:rPr>
  </w:style>
  <w:style w:type="paragraph" w:styleId="Header">
    <w:name w:val="header"/>
    <w:basedOn w:val="Normal"/>
    <w:link w:val="HeaderChar"/>
    <w:rsid w:val="00B87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3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73C2"/>
    <w:pPr>
      <w:spacing w:before="240" w:after="120"/>
      <w:outlineLvl w:val="0"/>
    </w:pPr>
    <w:rPr>
      <w:rFonts w:ascii="Times New Roman" w:hAnsi="Times New Roman"/>
      <w:b/>
      <w:sz w:val="28"/>
    </w:rPr>
  </w:style>
  <w:style w:type="paragraph" w:customStyle="1" w:styleId="AllowPageBreak">
    <w:name w:val="AllowPageBreak"/>
    <w:rsid w:val="00B873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73C2"/>
    <w:pPr>
      <w:tabs>
        <w:tab w:val="left" w:pos="680"/>
      </w:tabs>
      <w:spacing w:before="60" w:after="60"/>
      <w:ind w:left="680" w:hanging="340"/>
    </w:pPr>
  </w:style>
  <w:style w:type="character" w:customStyle="1" w:styleId="BoldandItalics">
    <w:name w:val="Bold and Italics"/>
    <w:qFormat/>
    <w:rsid w:val="00B873C2"/>
    <w:rPr>
      <w:b/>
      <w:i/>
      <w:u w:val="none"/>
    </w:rPr>
  </w:style>
  <w:style w:type="character" w:customStyle="1" w:styleId="Heading2Char">
    <w:name w:val="Heading 2 Char"/>
    <w:basedOn w:val="DefaultParagraphFont"/>
    <w:link w:val="Heading2"/>
    <w:rsid w:val="00B87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3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73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73C2"/>
    <w:rPr>
      <w:rFonts w:ascii="Courier New" w:eastAsia="Times New Roman" w:hAnsi="Courier New" w:cs="Times New Roman"/>
      <w:i/>
      <w:szCs w:val="20"/>
      <w:lang w:val="en-US" w:eastAsia="en-US"/>
    </w:rPr>
  </w:style>
  <w:style w:type="paragraph" w:customStyle="1" w:styleId="HeadingBase">
    <w:name w:val="Heading Base"/>
    <w:rsid w:val="00B87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3C2"/>
    <w:pPr>
      <w:tabs>
        <w:tab w:val="right" w:leader="dot" w:pos="9072"/>
      </w:tabs>
      <w:ind w:left="567"/>
    </w:pPr>
    <w:rPr>
      <w:szCs w:val="22"/>
    </w:rPr>
  </w:style>
  <w:style w:type="paragraph" w:customStyle="1" w:styleId="TOCBase">
    <w:name w:val="TOC Base"/>
    <w:rsid w:val="00B87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3C2"/>
    <w:pPr>
      <w:tabs>
        <w:tab w:val="right" w:leader="dot" w:pos="9072"/>
      </w:tabs>
      <w:spacing w:before="40" w:after="40"/>
      <w:ind w:left="284"/>
    </w:pPr>
    <w:rPr>
      <w:rFonts w:ascii="Times New Roman" w:hAnsi="Times New Roman"/>
    </w:rPr>
  </w:style>
  <w:style w:type="paragraph" w:styleId="TOC1">
    <w:name w:val="toc 1"/>
    <w:basedOn w:val="TOCBase"/>
    <w:next w:val="Normal"/>
    <w:rsid w:val="00B873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73C2"/>
    <w:pPr>
      <w:spacing w:before="5040"/>
      <w:jc w:val="center"/>
    </w:pPr>
    <w:rPr>
      <w:sz w:val="48"/>
      <w:szCs w:val="72"/>
      <w:lang w:val="en-US"/>
    </w:rPr>
  </w:style>
  <w:style w:type="character" w:customStyle="1" w:styleId="TitleChar">
    <w:name w:val="Title Char"/>
    <w:basedOn w:val="DefaultParagraphFont"/>
    <w:link w:val="Title"/>
    <w:rsid w:val="00B87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3C2"/>
    <w:pPr>
      <w:tabs>
        <w:tab w:val="left" w:pos="3600"/>
        <w:tab w:val="left" w:pos="3958"/>
      </w:tabs>
    </w:pPr>
  </w:style>
  <w:style w:type="paragraph" w:customStyle="1" w:styleId="Note">
    <w:name w:val="Note"/>
    <w:basedOn w:val="BodyText"/>
    <w:rsid w:val="00B87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3C2"/>
    <w:pPr>
      <w:framePr w:wrap="auto" w:hAnchor="text" w:y="6049"/>
    </w:pPr>
    <w:rPr>
      <w:color w:val="000000"/>
      <w:sz w:val="40"/>
    </w:rPr>
  </w:style>
  <w:style w:type="paragraph" w:customStyle="1" w:styleId="TOCTitle">
    <w:name w:val="TOCTitle"/>
    <w:basedOn w:val="Heading1"/>
    <w:rsid w:val="00B873C2"/>
    <w:pPr>
      <w:spacing w:after="240"/>
      <w:jc w:val="center"/>
      <w:outlineLvl w:val="9"/>
    </w:pPr>
    <w:rPr>
      <w:caps/>
    </w:rPr>
  </w:style>
  <w:style w:type="paragraph" w:customStyle="1" w:styleId="Version">
    <w:name w:val="Version"/>
    <w:rsid w:val="00B873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3C2"/>
    <w:pPr>
      <w:numPr>
        <w:numId w:val="13"/>
      </w:numPr>
      <w:tabs>
        <w:tab w:val="clear" w:pos="680"/>
      </w:tabs>
    </w:pPr>
  </w:style>
  <w:style w:type="paragraph" w:styleId="Index1">
    <w:name w:val="index 1"/>
    <w:basedOn w:val="Normal"/>
    <w:next w:val="Normal"/>
    <w:semiHidden/>
    <w:rsid w:val="00B873C2"/>
    <w:pPr>
      <w:keepNext w:val="0"/>
      <w:tabs>
        <w:tab w:val="right" w:pos="4176"/>
      </w:tabs>
      <w:ind w:left="198" w:hanging="198"/>
    </w:pPr>
    <w:rPr>
      <w:rFonts w:ascii="Garamond" w:hAnsi="Garamond"/>
    </w:rPr>
  </w:style>
  <w:style w:type="paragraph" w:styleId="IndexHeading">
    <w:name w:val="index heading"/>
    <w:basedOn w:val="Normal"/>
    <w:next w:val="Index1"/>
    <w:semiHidden/>
    <w:rsid w:val="00B873C2"/>
    <w:pPr>
      <w:spacing w:before="120" w:after="120"/>
    </w:pPr>
    <w:rPr>
      <w:rFonts w:ascii="Arial" w:hAnsi="Arial"/>
      <w:b/>
      <w:color w:val="918585"/>
      <w:sz w:val="24"/>
    </w:rPr>
  </w:style>
  <w:style w:type="paragraph" w:customStyle="1" w:styleId="Chapter">
    <w:name w:val="Chapter"/>
    <w:basedOn w:val="Normal"/>
    <w:rsid w:val="00B873C2"/>
    <w:pPr>
      <w:spacing w:before="240"/>
    </w:pPr>
    <w:rPr>
      <w:rFonts w:ascii="Times New Roman" w:hAnsi="Times New Roman"/>
      <w:smallCaps/>
      <w:spacing w:val="80"/>
      <w:sz w:val="28"/>
    </w:rPr>
  </w:style>
  <w:style w:type="paragraph" w:customStyle="1" w:styleId="InChapter">
    <w:name w:val="InChapter"/>
    <w:basedOn w:val="Heading3"/>
    <w:rsid w:val="00B873C2"/>
    <w:pPr>
      <w:spacing w:after="240"/>
      <w:outlineLvl w:val="9"/>
    </w:pPr>
    <w:rPr>
      <w:noProof/>
    </w:rPr>
  </w:style>
  <w:style w:type="paragraph" w:styleId="Index2">
    <w:name w:val="index 2"/>
    <w:basedOn w:val="Normal"/>
    <w:next w:val="Normal"/>
    <w:semiHidden/>
    <w:rsid w:val="00B873C2"/>
    <w:pPr>
      <w:tabs>
        <w:tab w:val="right" w:pos="4176"/>
      </w:tabs>
      <w:ind w:left="568" w:hanging="284"/>
    </w:pPr>
    <w:rPr>
      <w:rFonts w:ascii="Garamond" w:hAnsi="Garamond"/>
    </w:rPr>
  </w:style>
  <w:style w:type="paragraph" w:customStyle="1" w:styleId="Byline">
    <w:name w:val="Byline"/>
    <w:rsid w:val="00B87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3C2"/>
    <w:pPr>
      <w:tabs>
        <w:tab w:val="clear" w:pos="3600"/>
        <w:tab w:val="clear" w:pos="3958"/>
      </w:tabs>
      <w:jc w:val="right"/>
    </w:pPr>
  </w:style>
  <w:style w:type="character" w:styleId="Emphasis">
    <w:name w:val="Emphasis"/>
    <w:basedOn w:val="DefaultParagraphFont"/>
    <w:qFormat/>
    <w:rsid w:val="00B873C2"/>
    <w:rPr>
      <w:i/>
    </w:rPr>
  </w:style>
  <w:style w:type="paragraph" w:styleId="Caption">
    <w:name w:val="caption"/>
    <w:basedOn w:val="BodyText"/>
    <w:next w:val="Normal"/>
    <w:qFormat/>
    <w:rsid w:val="00B873C2"/>
    <w:pPr>
      <w:framePr w:w="2268" w:hSpace="181" w:vSpace="181" w:wrap="around" w:vAnchor="text" w:hAnchor="page" w:x="1135" w:y="285" w:anchorLock="1"/>
    </w:pPr>
    <w:rPr>
      <w:i/>
    </w:rPr>
  </w:style>
  <w:style w:type="paragraph" w:customStyle="1" w:styleId="MiniTOCTitle">
    <w:name w:val="MiniTOCTitle"/>
    <w:basedOn w:val="Heading4"/>
    <w:rsid w:val="00B873C2"/>
    <w:pPr>
      <w:spacing w:before="240"/>
      <w:outlineLvl w:val="9"/>
    </w:pPr>
    <w:rPr>
      <w:noProof/>
      <w:sz w:val="24"/>
    </w:rPr>
  </w:style>
  <w:style w:type="paragraph" w:customStyle="1" w:styleId="MiniTOCItem">
    <w:name w:val="MiniTOCItem"/>
    <w:basedOn w:val="ListBullet"/>
    <w:rsid w:val="00B873C2"/>
    <w:pPr>
      <w:numPr>
        <w:numId w:val="0"/>
      </w:numPr>
      <w:tabs>
        <w:tab w:val="right" w:leader="dot" w:pos="6521"/>
      </w:tabs>
      <w:spacing w:before="0" w:after="0"/>
    </w:pPr>
  </w:style>
  <w:style w:type="paragraph" w:customStyle="1" w:styleId="TOFTitle">
    <w:name w:val="TOFTitle"/>
    <w:basedOn w:val="TOCTitle"/>
    <w:rsid w:val="00B873C2"/>
  </w:style>
  <w:style w:type="paragraph" w:styleId="TableofFigures">
    <w:name w:val="table of figures"/>
    <w:basedOn w:val="Normal"/>
    <w:next w:val="Normal"/>
    <w:semiHidden/>
    <w:rsid w:val="00B873C2"/>
    <w:pPr>
      <w:tabs>
        <w:tab w:val="right" w:leader="dot" w:pos="9072"/>
      </w:tabs>
      <w:ind w:left="970" w:hanging="403"/>
    </w:pPr>
    <w:rPr>
      <w:rFonts w:ascii="Times New Roman" w:hAnsi="Times New Roman"/>
      <w:b/>
    </w:rPr>
  </w:style>
  <w:style w:type="paragraph" w:styleId="ListNumber">
    <w:name w:val="List Number"/>
    <w:basedOn w:val="List"/>
    <w:rsid w:val="00B873C2"/>
    <w:pPr>
      <w:numPr>
        <w:numId w:val="10"/>
      </w:numPr>
    </w:pPr>
  </w:style>
  <w:style w:type="character" w:customStyle="1" w:styleId="WingdingSymbols">
    <w:name w:val="Wingding Symbols"/>
    <w:rsid w:val="00B873C2"/>
    <w:rPr>
      <w:rFonts w:ascii="Wingdings" w:hAnsi="Wingdings"/>
    </w:rPr>
  </w:style>
  <w:style w:type="paragraph" w:customStyle="1" w:styleId="TableHeading">
    <w:name w:val="Table Heading"/>
    <w:basedOn w:val="HeadingBase"/>
    <w:rsid w:val="00B873C2"/>
    <w:pPr>
      <w:keepLines/>
      <w:pBdr>
        <w:bottom w:val="single" w:sz="6" w:space="1" w:color="918585"/>
      </w:pBdr>
      <w:spacing w:before="240"/>
    </w:pPr>
  </w:style>
  <w:style w:type="character" w:customStyle="1" w:styleId="HotSpot">
    <w:name w:val="HotSpot"/>
    <w:rsid w:val="00B873C2"/>
    <w:rPr>
      <w:color w:val="0033CC"/>
      <w:u w:val="none"/>
    </w:rPr>
  </w:style>
  <w:style w:type="paragraph" w:customStyle="1" w:styleId="BodyTextRight">
    <w:name w:val="Body Text Right"/>
    <w:basedOn w:val="BodyText"/>
    <w:rsid w:val="00B873C2"/>
    <w:pPr>
      <w:spacing w:before="0" w:after="0"/>
      <w:jc w:val="right"/>
    </w:pPr>
  </w:style>
  <w:style w:type="paragraph" w:styleId="Index3">
    <w:name w:val="index 3"/>
    <w:basedOn w:val="ListNumber2"/>
    <w:next w:val="Normal"/>
    <w:semiHidden/>
    <w:rsid w:val="00B873C2"/>
    <w:pPr>
      <w:numPr>
        <w:numId w:val="0"/>
      </w:numPr>
      <w:tabs>
        <w:tab w:val="right" w:leader="dot" w:pos="4176"/>
      </w:tabs>
    </w:pPr>
  </w:style>
  <w:style w:type="paragraph" w:styleId="ListNumber2">
    <w:name w:val="List Number 2"/>
    <w:basedOn w:val="List2"/>
    <w:rsid w:val="00B873C2"/>
    <w:pPr>
      <w:numPr>
        <w:numId w:val="9"/>
      </w:numPr>
      <w:tabs>
        <w:tab w:val="clear" w:pos="1060"/>
      </w:tabs>
    </w:pPr>
  </w:style>
  <w:style w:type="paragraph" w:customStyle="1" w:styleId="MarginNote">
    <w:name w:val="Margin Note"/>
    <w:basedOn w:val="BodyText"/>
    <w:rsid w:val="00B87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3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73C2"/>
    <w:rPr>
      <w:sz w:val="32"/>
    </w:rPr>
  </w:style>
  <w:style w:type="paragraph" w:customStyle="1" w:styleId="HeadingProcedure">
    <w:name w:val="Heading Procedure"/>
    <w:basedOn w:val="HeadingBase"/>
    <w:next w:val="Normal"/>
    <w:rsid w:val="00B873C2"/>
    <w:pPr>
      <w:tabs>
        <w:tab w:val="left" w:pos="0"/>
      </w:tabs>
      <w:spacing w:before="120" w:after="60"/>
    </w:pPr>
    <w:rPr>
      <w:i/>
      <w:color w:val="918585"/>
      <w:sz w:val="22"/>
    </w:rPr>
  </w:style>
  <w:style w:type="paragraph" w:customStyle="1" w:styleId="TableBodyText">
    <w:name w:val="Table Body Text"/>
    <w:basedOn w:val="BodyText"/>
    <w:rsid w:val="00B873C2"/>
    <w:pPr>
      <w:spacing w:before="60" w:after="60"/>
    </w:pPr>
  </w:style>
  <w:style w:type="paragraph" w:styleId="ListContinue">
    <w:name w:val="List Continue"/>
    <w:basedOn w:val="List"/>
    <w:rsid w:val="00B873C2"/>
    <w:pPr>
      <w:ind w:firstLine="0"/>
    </w:pPr>
  </w:style>
  <w:style w:type="paragraph" w:customStyle="1" w:styleId="ListNote">
    <w:name w:val="List Note"/>
    <w:basedOn w:val="List"/>
    <w:rsid w:val="00B873C2"/>
    <w:pPr>
      <w:pBdr>
        <w:top w:val="single" w:sz="6" w:space="2" w:color="918585"/>
        <w:bottom w:val="single" w:sz="6" w:space="2" w:color="918585"/>
      </w:pBdr>
      <w:tabs>
        <w:tab w:val="left" w:pos="1021"/>
      </w:tabs>
      <w:ind w:firstLine="0"/>
    </w:pPr>
  </w:style>
  <w:style w:type="paragraph" w:customStyle="1" w:styleId="Warning">
    <w:name w:val="Warning"/>
    <w:basedOn w:val="BodyText"/>
    <w:rsid w:val="00B873C2"/>
    <w:pPr>
      <w:shd w:val="clear" w:color="auto" w:fill="D9D9D9"/>
      <w:tabs>
        <w:tab w:val="left" w:pos="992"/>
      </w:tabs>
      <w:ind w:left="119" w:right="119"/>
    </w:pPr>
    <w:rPr>
      <w:sz w:val="20"/>
    </w:rPr>
  </w:style>
  <w:style w:type="paragraph" w:customStyle="1" w:styleId="MarginIcons">
    <w:name w:val="Margin Icons"/>
    <w:basedOn w:val="BodyText"/>
    <w:rsid w:val="00B87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3C2"/>
    <w:rPr>
      <w:rFonts w:ascii="Courier New" w:hAnsi="Courier New"/>
    </w:rPr>
  </w:style>
  <w:style w:type="paragraph" w:customStyle="1" w:styleId="NoteBullet">
    <w:name w:val="Note Bullet"/>
    <w:basedOn w:val="Note"/>
    <w:rsid w:val="00B873C2"/>
    <w:pPr>
      <w:tabs>
        <w:tab w:val="clear" w:pos="680"/>
      </w:tabs>
      <w:spacing w:before="60" w:after="60"/>
    </w:pPr>
  </w:style>
  <w:style w:type="paragraph" w:customStyle="1" w:styleId="SubHeading2">
    <w:name w:val="SubHeading2"/>
    <w:basedOn w:val="HeadingBase"/>
    <w:rsid w:val="00B873C2"/>
    <w:pPr>
      <w:spacing w:before="240" w:after="60"/>
    </w:pPr>
    <w:rPr>
      <w:sz w:val="20"/>
    </w:rPr>
  </w:style>
  <w:style w:type="paragraph" w:customStyle="1" w:styleId="SubHeading1">
    <w:name w:val="SubHeading1"/>
    <w:basedOn w:val="HeadingBase"/>
    <w:rsid w:val="00B873C2"/>
    <w:pPr>
      <w:spacing w:before="240" w:after="60"/>
    </w:pPr>
    <w:rPr>
      <w:color w:val="918585"/>
      <w:sz w:val="22"/>
    </w:rPr>
  </w:style>
  <w:style w:type="paragraph" w:customStyle="1" w:styleId="SideHeading">
    <w:name w:val="Side Heading"/>
    <w:basedOn w:val="HeadingBase"/>
    <w:rsid w:val="00B87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3C2"/>
    <w:pPr>
      <w:tabs>
        <w:tab w:val="num" w:pos="360"/>
      </w:tabs>
    </w:pPr>
  </w:style>
  <w:style w:type="paragraph" w:styleId="PlainText">
    <w:name w:val="Plain Text"/>
    <w:basedOn w:val="Normal"/>
    <w:link w:val="PlainTextChar"/>
    <w:rsid w:val="00B873C2"/>
    <w:rPr>
      <w:sz w:val="20"/>
    </w:rPr>
  </w:style>
  <w:style w:type="character" w:customStyle="1" w:styleId="PlainTextChar">
    <w:name w:val="Plain Text Char"/>
    <w:basedOn w:val="DefaultParagraphFont"/>
    <w:link w:val="PlainText"/>
    <w:rsid w:val="00B873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73C2"/>
    <w:rPr>
      <w:b/>
      <w:smallCaps/>
    </w:rPr>
  </w:style>
  <w:style w:type="paragraph" w:customStyle="1" w:styleId="TableListNumber">
    <w:name w:val="Table List Number"/>
    <w:basedOn w:val="ListNumber"/>
    <w:rsid w:val="00B873C2"/>
    <w:pPr>
      <w:numPr>
        <w:numId w:val="0"/>
      </w:numPr>
    </w:pPr>
  </w:style>
  <w:style w:type="paragraph" w:styleId="TOC4">
    <w:name w:val="toc 4"/>
    <w:basedOn w:val="TOCBase"/>
    <w:next w:val="Normal"/>
    <w:semiHidden/>
    <w:rsid w:val="00B873C2"/>
    <w:pPr>
      <w:tabs>
        <w:tab w:val="right" w:leader="dot" w:pos="9071"/>
      </w:tabs>
      <w:ind w:left="1701"/>
    </w:pPr>
  </w:style>
  <w:style w:type="paragraph" w:customStyle="1" w:styleId="ListAlpha">
    <w:name w:val="List Alpha"/>
    <w:basedOn w:val="List"/>
    <w:rsid w:val="00B873C2"/>
    <w:pPr>
      <w:numPr>
        <w:numId w:val="8"/>
      </w:numPr>
    </w:pPr>
  </w:style>
  <w:style w:type="paragraph" w:customStyle="1" w:styleId="ListAlpha2">
    <w:name w:val="List Alpha 2"/>
    <w:basedOn w:val="List2"/>
    <w:rsid w:val="00B873C2"/>
    <w:pPr>
      <w:numPr>
        <w:numId w:val="7"/>
      </w:numPr>
    </w:pPr>
  </w:style>
  <w:style w:type="paragraph" w:styleId="List3">
    <w:name w:val="List 3"/>
    <w:basedOn w:val="BodyText"/>
    <w:rsid w:val="00B873C2"/>
    <w:pPr>
      <w:tabs>
        <w:tab w:val="left" w:pos="1021"/>
      </w:tabs>
      <w:spacing w:before="60" w:after="60"/>
      <w:ind w:left="1020" w:hanging="340"/>
    </w:pPr>
  </w:style>
  <w:style w:type="paragraph" w:styleId="List4">
    <w:name w:val="List 4"/>
    <w:basedOn w:val="BodyText"/>
    <w:rsid w:val="00B873C2"/>
    <w:pPr>
      <w:tabs>
        <w:tab w:val="left" w:pos="1361"/>
      </w:tabs>
      <w:spacing w:before="60" w:after="60"/>
      <w:ind w:left="1361" w:hanging="340"/>
    </w:pPr>
  </w:style>
  <w:style w:type="paragraph" w:styleId="List5">
    <w:name w:val="List 5"/>
    <w:basedOn w:val="BodyText"/>
    <w:rsid w:val="00B873C2"/>
    <w:pPr>
      <w:tabs>
        <w:tab w:val="left" w:pos="1701"/>
      </w:tabs>
      <w:spacing w:before="60" w:after="60"/>
      <w:ind w:left="1701" w:hanging="340"/>
    </w:pPr>
  </w:style>
  <w:style w:type="paragraph" w:styleId="ListBullet3">
    <w:name w:val="List Bullet 3"/>
    <w:basedOn w:val="List3"/>
    <w:rsid w:val="00B873C2"/>
    <w:pPr>
      <w:numPr>
        <w:numId w:val="14"/>
      </w:numPr>
      <w:tabs>
        <w:tab w:val="clear" w:pos="1021"/>
      </w:tabs>
      <w:ind w:left="1037" w:hanging="357"/>
    </w:pPr>
  </w:style>
  <w:style w:type="paragraph" w:styleId="ListBullet4">
    <w:name w:val="List Bullet 4"/>
    <w:basedOn w:val="List4"/>
    <w:rsid w:val="00B873C2"/>
    <w:pPr>
      <w:numPr>
        <w:numId w:val="2"/>
      </w:numPr>
    </w:pPr>
  </w:style>
  <w:style w:type="paragraph" w:styleId="ListBullet5">
    <w:name w:val="List Bullet 5"/>
    <w:basedOn w:val="List5"/>
    <w:rsid w:val="00B873C2"/>
    <w:pPr>
      <w:numPr>
        <w:numId w:val="3"/>
      </w:numPr>
    </w:pPr>
  </w:style>
  <w:style w:type="paragraph" w:styleId="ListContinue2">
    <w:name w:val="List Continue 2"/>
    <w:basedOn w:val="List2"/>
    <w:rsid w:val="00B873C2"/>
    <w:pPr>
      <w:ind w:firstLine="0"/>
    </w:pPr>
  </w:style>
  <w:style w:type="paragraph" w:styleId="ListContinue3">
    <w:name w:val="List Continue 3"/>
    <w:basedOn w:val="List3"/>
    <w:rsid w:val="00B873C2"/>
    <w:pPr>
      <w:ind w:left="1021" w:firstLine="0"/>
    </w:pPr>
  </w:style>
  <w:style w:type="paragraph" w:styleId="ListContinue4">
    <w:name w:val="List Continue 4"/>
    <w:basedOn w:val="List4"/>
    <w:rsid w:val="00B873C2"/>
    <w:pPr>
      <w:ind w:firstLine="0"/>
    </w:pPr>
  </w:style>
  <w:style w:type="paragraph" w:styleId="ListContinue5">
    <w:name w:val="List Continue 5"/>
    <w:basedOn w:val="List5"/>
    <w:rsid w:val="00B873C2"/>
    <w:pPr>
      <w:ind w:firstLine="0"/>
    </w:pPr>
  </w:style>
  <w:style w:type="paragraph" w:styleId="ListNumber3">
    <w:name w:val="List Number 3"/>
    <w:basedOn w:val="List3"/>
    <w:rsid w:val="00B873C2"/>
    <w:pPr>
      <w:numPr>
        <w:numId w:val="4"/>
      </w:numPr>
    </w:pPr>
  </w:style>
  <w:style w:type="paragraph" w:styleId="ListNumber4">
    <w:name w:val="List Number 4"/>
    <w:basedOn w:val="List4"/>
    <w:rsid w:val="00B873C2"/>
    <w:pPr>
      <w:numPr>
        <w:numId w:val="5"/>
      </w:numPr>
    </w:pPr>
  </w:style>
  <w:style w:type="paragraph" w:styleId="ListNumber5">
    <w:name w:val="List Number 5"/>
    <w:basedOn w:val="List5"/>
    <w:rsid w:val="00B873C2"/>
    <w:pPr>
      <w:numPr>
        <w:numId w:val="6"/>
      </w:numPr>
    </w:pPr>
  </w:style>
  <w:style w:type="paragraph" w:styleId="BlockText">
    <w:name w:val="Block Text"/>
    <w:basedOn w:val="Normal"/>
    <w:rsid w:val="00B873C2"/>
    <w:pPr>
      <w:spacing w:after="120"/>
      <w:ind w:left="1440" w:right="1440"/>
    </w:pPr>
  </w:style>
  <w:style w:type="character" w:customStyle="1" w:styleId="Subscript">
    <w:name w:val="Subscript"/>
    <w:basedOn w:val="DefaultParagraphFont"/>
    <w:rsid w:val="00B873C2"/>
    <w:rPr>
      <w:sz w:val="16"/>
      <w:vertAlign w:val="subscript"/>
    </w:rPr>
  </w:style>
  <w:style w:type="character" w:customStyle="1" w:styleId="Superscript">
    <w:name w:val="Superscript"/>
    <w:basedOn w:val="DefaultParagraphFont"/>
    <w:rsid w:val="00B873C2"/>
    <w:rPr>
      <w:sz w:val="16"/>
      <w:vertAlign w:val="superscript"/>
    </w:rPr>
  </w:style>
  <w:style w:type="character" w:customStyle="1" w:styleId="Symbols">
    <w:name w:val="Symbols"/>
    <w:basedOn w:val="DefaultParagraphFont"/>
    <w:rsid w:val="00B873C2"/>
    <w:rPr>
      <w:rFonts w:ascii="Symbol" w:hAnsi="Symbol"/>
    </w:rPr>
  </w:style>
  <w:style w:type="character" w:customStyle="1" w:styleId="MenuOptions">
    <w:name w:val="Menu Options"/>
    <w:basedOn w:val="DefaultParagraphFont"/>
    <w:rsid w:val="00B873C2"/>
    <w:rPr>
      <w:rFonts w:ascii="Arial Narrow" w:hAnsi="Arial Narrow"/>
      <w:smallCaps/>
    </w:rPr>
  </w:style>
  <w:style w:type="character" w:customStyle="1" w:styleId="Buttons">
    <w:name w:val="Buttons"/>
    <w:basedOn w:val="DefaultParagraphFont"/>
    <w:rsid w:val="00B873C2"/>
    <w:rPr>
      <w:b/>
    </w:rPr>
  </w:style>
  <w:style w:type="character" w:customStyle="1" w:styleId="Underlined">
    <w:name w:val="Underlined"/>
    <w:basedOn w:val="DefaultParagraphFont"/>
    <w:rsid w:val="00B873C2"/>
    <w:rPr>
      <w:u w:val="single"/>
    </w:rPr>
  </w:style>
  <w:style w:type="paragraph" w:customStyle="1" w:styleId="TableBodyTextRight">
    <w:name w:val="Table Body Text Right"/>
    <w:basedOn w:val="TableBodyText"/>
    <w:rsid w:val="00B873C2"/>
    <w:pPr>
      <w:widowControl w:val="0"/>
      <w:autoSpaceDE w:val="0"/>
      <w:autoSpaceDN w:val="0"/>
      <w:adjustRightInd w:val="0"/>
      <w:jc w:val="right"/>
    </w:pPr>
    <w:rPr>
      <w:rFonts w:cs="Arial"/>
      <w:szCs w:val="18"/>
    </w:rPr>
  </w:style>
  <w:style w:type="paragraph" w:customStyle="1" w:styleId="CopyrightText">
    <w:name w:val="Copyright Text"/>
    <w:basedOn w:val="BodyText"/>
    <w:rsid w:val="00B873C2"/>
    <w:rPr>
      <w:sz w:val="18"/>
    </w:rPr>
  </w:style>
  <w:style w:type="paragraph" w:customStyle="1" w:styleId="BodySmallRight">
    <w:name w:val="Body Small Right"/>
    <w:basedOn w:val="BodyTextRight"/>
    <w:rsid w:val="00B873C2"/>
    <w:rPr>
      <w:sz w:val="18"/>
      <w:szCs w:val="18"/>
    </w:rPr>
  </w:style>
  <w:style w:type="paragraph" w:customStyle="1" w:styleId="MarginEdition">
    <w:name w:val="Margin Edition"/>
    <w:basedOn w:val="MarginNote"/>
    <w:rsid w:val="00B873C2"/>
    <w:pPr>
      <w:spacing w:before="0" w:after="0"/>
    </w:pPr>
    <w:rPr>
      <w:rFonts w:ascii="Times New Roman" w:hAnsi="Times New Roman"/>
      <w:color w:val="999999"/>
    </w:rPr>
  </w:style>
  <w:style w:type="paragraph" w:customStyle="1" w:styleId="Spacer">
    <w:name w:val="Spacer"/>
    <w:basedOn w:val="Normal"/>
    <w:rsid w:val="00B873C2"/>
    <w:rPr>
      <w:sz w:val="2"/>
      <w:szCs w:val="2"/>
    </w:rPr>
  </w:style>
  <w:style w:type="character" w:customStyle="1" w:styleId="Small">
    <w:name w:val="Small"/>
    <w:basedOn w:val="DefaultParagraphFont"/>
    <w:rsid w:val="00B873C2"/>
    <w:rPr>
      <w:sz w:val="16"/>
    </w:rPr>
  </w:style>
  <w:style w:type="paragraph" w:customStyle="1" w:styleId="WideTable">
    <w:name w:val="Wide Table"/>
    <w:basedOn w:val="Normal"/>
    <w:rsid w:val="00B873C2"/>
    <w:pPr>
      <w:ind w:left="-1418"/>
    </w:pPr>
    <w:rPr>
      <w:sz w:val="2"/>
      <w:szCs w:val="2"/>
    </w:rPr>
  </w:style>
  <w:style w:type="character" w:styleId="PageNumber">
    <w:name w:val="page number"/>
    <w:basedOn w:val="DefaultParagraphFont"/>
    <w:rsid w:val="00B873C2"/>
  </w:style>
  <w:style w:type="paragraph" w:styleId="Quote">
    <w:name w:val="Quote"/>
    <w:basedOn w:val="Heading1"/>
    <w:link w:val="QuoteChar"/>
    <w:qFormat/>
    <w:rsid w:val="00B873C2"/>
    <w:rPr>
      <w:b w:val="0"/>
      <w:sz w:val="72"/>
      <w:szCs w:val="72"/>
      <w:lang w:val="en-NZ"/>
    </w:rPr>
  </w:style>
  <w:style w:type="character" w:customStyle="1" w:styleId="QuoteChar">
    <w:name w:val="Quote Char"/>
    <w:basedOn w:val="DefaultParagraphFont"/>
    <w:link w:val="Quote"/>
    <w:rsid w:val="00B87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3C2"/>
    <w:pPr>
      <w:pageBreakBefore/>
    </w:pPr>
  </w:style>
  <w:style w:type="paragraph" w:customStyle="1" w:styleId="Border">
    <w:name w:val="Border"/>
    <w:basedOn w:val="Normal"/>
    <w:qFormat/>
    <w:rsid w:val="00B87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3C2"/>
    <w:rPr>
      <w:b/>
      <w:bCs/>
      <w:i/>
      <w:iCs/>
      <w:color w:val="auto"/>
    </w:rPr>
  </w:style>
  <w:style w:type="paragraph" w:styleId="IntenseQuote">
    <w:name w:val="Intense Quote"/>
    <w:basedOn w:val="Normal"/>
    <w:next w:val="Normal"/>
    <w:link w:val="IntenseQuoteChar"/>
    <w:uiPriority w:val="30"/>
    <w:qFormat/>
    <w:rsid w:val="00B87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3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73C2"/>
    <w:rPr>
      <w:smallCaps/>
      <w:color w:val="auto"/>
      <w:u w:val="single"/>
    </w:rPr>
  </w:style>
  <w:style w:type="character" w:styleId="IntenseReference">
    <w:name w:val="Intense Reference"/>
    <w:basedOn w:val="DefaultParagraphFont"/>
    <w:uiPriority w:val="32"/>
    <w:qFormat/>
    <w:rsid w:val="00B873C2"/>
    <w:rPr>
      <w:b/>
      <w:bCs/>
      <w:smallCaps/>
      <w:color w:val="auto"/>
      <w:spacing w:val="5"/>
      <w:u w:val="single"/>
    </w:rPr>
  </w:style>
  <w:style w:type="paragraph" w:customStyle="1" w:styleId="2ColumnHeading">
    <w:name w:val="2Column Heading"/>
    <w:basedOn w:val="BodyText"/>
    <w:qFormat/>
    <w:rsid w:val="00B873C2"/>
    <w:pPr>
      <w:spacing w:after="60"/>
      <w:ind w:left="-2268"/>
    </w:pPr>
    <w:rPr>
      <w:b/>
    </w:rPr>
  </w:style>
  <w:style w:type="paragraph" w:customStyle="1" w:styleId="Heading1TOC">
    <w:name w:val="Heading1 TOC"/>
    <w:basedOn w:val="Normal"/>
    <w:qFormat/>
    <w:rsid w:val="00B873C2"/>
    <w:pPr>
      <w:spacing w:before="240" w:after="120"/>
    </w:pPr>
    <w:rPr>
      <w:rFonts w:ascii="Times New Roman" w:hAnsi="Times New Roman"/>
      <w:b/>
      <w:sz w:val="32"/>
    </w:rPr>
  </w:style>
  <w:style w:type="paragraph" w:customStyle="1" w:styleId="Heading2TOC">
    <w:name w:val="Heading2 TOC"/>
    <w:basedOn w:val="Normal"/>
    <w:qFormat/>
    <w:rsid w:val="00B873C2"/>
    <w:pPr>
      <w:spacing w:before="240" w:after="60"/>
    </w:pPr>
    <w:rPr>
      <w:rFonts w:ascii="Times New Roman" w:hAnsi="Times New Roman"/>
      <w:b/>
      <w:sz w:val="28"/>
    </w:rPr>
  </w:style>
  <w:style w:type="character" w:customStyle="1" w:styleId="Underline">
    <w:name w:val="Underline"/>
    <w:basedOn w:val="DefaultParagraphFont"/>
    <w:qFormat/>
    <w:rsid w:val="00B873C2"/>
    <w:rPr>
      <w:u w:val="single"/>
    </w:rPr>
  </w:style>
  <w:style w:type="paragraph" w:styleId="BalloonText">
    <w:name w:val="Balloon Text"/>
    <w:basedOn w:val="Normal"/>
    <w:link w:val="BalloonTextChar"/>
    <w:rsid w:val="00B873C2"/>
    <w:rPr>
      <w:rFonts w:ascii="Tahoma" w:hAnsi="Tahoma" w:cs="Tahoma"/>
      <w:sz w:val="16"/>
      <w:szCs w:val="16"/>
    </w:rPr>
  </w:style>
  <w:style w:type="character" w:customStyle="1" w:styleId="BalloonTextChar">
    <w:name w:val="Balloon Text Char"/>
    <w:basedOn w:val="DefaultParagraphFont"/>
    <w:link w:val="BalloonText"/>
    <w:rsid w:val="00B873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73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73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1535</Words>
  <Characters>9658</Characters>
  <Application>Microsoft Office Word</Application>
  <DocSecurity>0</DocSecurity>
  <Lines>350</Lines>
  <Paragraphs>163</Paragraphs>
  <ScaleCrop>false</ScaleCrop>
  <Company>Author-it Software Corporation Ltd.</Company>
  <LinksUpToDate>false</LinksUpToDate>
  <CharactersWithSpaces>11115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ICAI5087B Acquire system components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2012-05-27T00:51:00Z</dcterms:created>
  <dcterms:modified xsi:type="dcterms:W3CDTF">2012-05-27T00:51:00Z</dcterms:modified>
</cp:coreProperties>
</file>