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DB9" w:rsidP="00370DB9">
      <w:pPr>
        <w:pStyle w:val="Title"/>
      </w:pPr>
      <w:r>
        <w:fldChar w:fldCharType="begin"/>
      </w:r>
      <w:r>
        <w:instrText xml:space="preserve"> TITLE   \* MERGEFORMAT </w:instrText>
      </w:r>
      <w:r>
        <w:fldChar w:fldCharType="separate"/>
      </w:r>
      <w:r>
        <w:t>ICAB5063B Monitor and support data conversion</w:t>
      </w:r>
      <w:r>
        <w:fldChar w:fldCharType="end"/>
      </w:r>
    </w:p>
    <w:p w:rsidR="00370DB9" w:rsidP="00370DB9">
      <w:pPr>
        <w:pStyle w:val="Version"/>
        <w:sectPr w:rsidSect="002F52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204" w:rsidP="002F5204">
      <w:pPr>
        <w:pStyle w:val="SuperHeading"/>
      </w:pPr>
      <w:r w:rsidRPr="002F5204">
        <w:t>ICAB5063B Monitor and support data conversion</w:t>
      </w:r>
    </w:p>
    <w:p w:rsidR="00000000" w:rsidRPr="002F5204" w:rsidP="002F5204">
      <w:pPr>
        <w:pStyle w:val="Heading1"/>
      </w:pPr>
      <w:bookmarkStart w:id="1" w:name="O_271557"/>
      <w:bookmarkEnd w:id="1"/>
      <w:r w:rsidRPr="002F5204">
        <w:t>Modification History</w:t>
      </w:r>
    </w:p>
    <w:p w:rsidR="00000000" w:rsidRPr="002F5204" w:rsidP="002F5204">
      <w:pPr>
        <w:pStyle w:val="BodyText"/>
      </w:pPr>
      <w:r w:rsidRPr="002F5204">
        <w:t>Not Applicable</w:t>
      </w:r>
    </w:p>
    <w:p w:rsidR="00000000" w:rsidRPr="002F5204" w:rsidP="002F5204">
      <w:pPr>
        <w:pStyle w:val="AllowPageBreak"/>
      </w:pPr>
    </w:p>
    <w:p w:rsidR="00000000" w:rsidRPr="002F5204" w:rsidP="002F5204">
      <w:pPr>
        <w:pStyle w:val="Heading1"/>
      </w:pPr>
      <w:bookmarkStart w:id="2" w:name="O_207338"/>
      <w:bookmarkEnd w:id="2"/>
      <w:r w:rsidRPr="002F5204">
        <w:t>Unit Descriptor</w:t>
      </w:r>
    </w:p>
    <w:tbl>
      <w:tblPr>
        <w:tblW w:w="0" w:type="auto"/>
        <w:tblLayout w:type="fixed"/>
        <w:tblCellMar>
          <w:left w:w="62" w:type="dxa"/>
          <w:right w:w="62" w:type="dxa"/>
        </w:tblCellMar>
        <w:tblLook w:val="0000"/>
      </w:tblPr>
      <w:tblGrid>
        <w:gridCol w:w="2651"/>
        <w:gridCol w:w="5871"/>
      </w:tblGrid>
      <w:tr w:rsidTr="00370DB9">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This unit defines the competency required to monitor and support data conversion.</w:t>
            </w:r>
          </w:p>
          <w:p w:rsidR="00000000" w:rsidRPr="002F5204" w:rsidP="002F5204">
            <w:pPr>
              <w:pStyle w:val="BodyText"/>
            </w:pPr>
          </w:p>
          <w:p w:rsidR="00000000" w:rsidRPr="002F5204" w:rsidP="002F5204">
            <w:pPr>
              <w:pStyle w:val="BodyText"/>
            </w:pPr>
            <w:r w:rsidRPr="002F5204">
              <w:t>The follow</w:t>
            </w:r>
            <w:r w:rsidRPr="002F5204">
              <w:t>ing unit is linked and forms an appropriate cluster:</w:t>
            </w:r>
          </w:p>
          <w:p w:rsidR="00000000" w:rsidRPr="002F5204" w:rsidP="002F5204">
            <w:pPr>
              <w:pStyle w:val="ListBullet"/>
            </w:pPr>
            <w:r w:rsidRPr="002F5204">
              <w:t>ICAB5062B Perform data conversion</w:t>
            </w:r>
          </w:p>
          <w:p w:rsidR="00000000" w:rsidRPr="002F5204" w:rsidP="002F5204">
            <w:pPr>
              <w:pStyle w:val="BodyText"/>
            </w:pPr>
          </w:p>
          <w:p w:rsidR="00000000" w:rsidRPr="002F5204" w:rsidP="002F5204">
            <w:pPr>
              <w:pStyle w:val="BodyText"/>
            </w:pPr>
            <w:r w:rsidRPr="002F5204">
              <w:t>No licensing, legislative, regulatory or certification requirements apply to this unit at the time of publication.</w:t>
            </w:r>
          </w:p>
        </w:tc>
      </w:tr>
    </w:tbl>
    <w:p w:rsidR="00370DB9" w:rsidP="002F5204">
      <w:pPr>
        <w:pStyle w:val="BodyText"/>
      </w:pPr>
    </w:p>
    <w:p w:rsidR="00370DB9" w:rsidP="002F5204">
      <w:pPr>
        <w:pStyle w:val="BodyText"/>
      </w:pPr>
    </w:p>
    <w:p w:rsidR="00000000" w:rsidRPr="002F5204" w:rsidP="002F5204">
      <w:pPr>
        <w:pStyle w:val="Heading1"/>
      </w:pPr>
      <w:bookmarkStart w:id="3" w:name="O_207342"/>
      <w:bookmarkEnd w:id="3"/>
      <w:r w:rsidRPr="002F5204">
        <w:t>Application of the Unit</w:t>
      </w:r>
    </w:p>
    <w:tbl>
      <w:tblPr>
        <w:tblW w:w="0" w:type="auto"/>
        <w:tblLayout w:type="fixed"/>
        <w:tblCellMar>
          <w:left w:w="62" w:type="dxa"/>
          <w:right w:w="62" w:type="dxa"/>
        </w:tblCellMar>
        <w:tblLook w:val="0000"/>
      </w:tblPr>
      <w:tblGrid>
        <w:gridCol w:w="2764"/>
        <w:gridCol w:w="5758"/>
      </w:tblGrid>
      <w:tr w:rsidTr="00370DB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p>
        </w:tc>
      </w:tr>
    </w:tbl>
    <w:p w:rsidR="00370DB9" w:rsidP="002F5204">
      <w:pPr>
        <w:pStyle w:val="BodyText"/>
      </w:pPr>
    </w:p>
    <w:p w:rsidR="00370DB9" w:rsidP="002F5204">
      <w:pPr>
        <w:pStyle w:val="BodyText"/>
      </w:pPr>
    </w:p>
    <w:p w:rsidR="00000000" w:rsidRPr="002F5204" w:rsidP="002F5204">
      <w:pPr>
        <w:pStyle w:val="Heading1"/>
      </w:pPr>
      <w:bookmarkStart w:id="4" w:name="O_279817"/>
      <w:bookmarkEnd w:id="4"/>
      <w:r w:rsidRPr="002F5204">
        <w:t>Licensing/Regulatory Information</w:t>
      </w:r>
    </w:p>
    <w:p w:rsidR="00000000" w:rsidRPr="002F5204" w:rsidP="002F5204">
      <w:pPr>
        <w:pStyle w:val="BodyText"/>
      </w:pPr>
      <w:r w:rsidRPr="002F5204">
        <w:t>Refer to Unit Descriptor</w:t>
      </w:r>
    </w:p>
    <w:p w:rsidR="00000000" w:rsidRPr="002F5204" w:rsidP="002F5204">
      <w:pPr>
        <w:pStyle w:val="AllowPageBreak"/>
      </w:pPr>
    </w:p>
    <w:p w:rsidR="00000000" w:rsidRPr="002F5204" w:rsidP="002F5204">
      <w:pPr>
        <w:pStyle w:val="Heading1"/>
      </w:pPr>
      <w:bookmarkStart w:id="5" w:name="O_207340"/>
      <w:bookmarkEnd w:id="5"/>
      <w:r w:rsidRPr="002F5204">
        <w:t>Pre-Requisites</w:t>
      </w:r>
    </w:p>
    <w:tbl>
      <w:tblPr>
        <w:tblW w:w="0" w:type="auto"/>
        <w:tblLayout w:type="fixed"/>
        <w:tblCellMar>
          <w:left w:w="62" w:type="dxa"/>
          <w:right w:w="62" w:type="dxa"/>
        </w:tblCellMar>
        <w:tblLook w:val="0000"/>
      </w:tblPr>
      <w:tblGrid>
        <w:gridCol w:w="2775"/>
        <w:gridCol w:w="1295"/>
        <w:gridCol w:w="4452"/>
      </w:tblGrid>
      <w:tr w:rsidTr="00370D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p>
        </w:tc>
      </w:tr>
      <w:tr w:rsidTr="00370D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p>
        </w:tc>
      </w:tr>
      <w:tr w:rsidTr="00370D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p>
        </w:tc>
      </w:tr>
    </w:tbl>
    <w:p w:rsidR="00370DB9" w:rsidP="002F5204">
      <w:pPr>
        <w:pStyle w:val="BodyText"/>
      </w:pPr>
    </w:p>
    <w:p w:rsidR="00370DB9" w:rsidP="002F5204">
      <w:pPr>
        <w:pStyle w:val="BodyText"/>
      </w:pPr>
    </w:p>
    <w:p w:rsidR="00000000" w:rsidRPr="002F5204" w:rsidP="002F5204">
      <w:pPr>
        <w:pStyle w:val="Heading1"/>
      </w:pPr>
      <w:bookmarkStart w:id="6" w:name="O_207339"/>
      <w:bookmarkEnd w:id="6"/>
      <w:r w:rsidRPr="002F5204">
        <w:t>Employability Skills Information</w:t>
      </w:r>
    </w:p>
    <w:tbl>
      <w:tblPr>
        <w:tblW w:w="0" w:type="auto"/>
        <w:tblLayout w:type="fixed"/>
        <w:tblCellMar>
          <w:left w:w="62" w:type="dxa"/>
          <w:right w:w="62" w:type="dxa"/>
        </w:tblCellMar>
        <w:tblLook w:val="0000"/>
      </w:tblPr>
      <w:tblGrid>
        <w:gridCol w:w="2802"/>
        <w:gridCol w:w="5720"/>
      </w:tblGrid>
      <w:tr w:rsidTr="00370D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This unit contains employability skills.</w:t>
            </w:r>
          </w:p>
        </w:tc>
      </w:tr>
    </w:tbl>
    <w:p w:rsidR="00370DB9" w:rsidP="002F5204">
      <w:pPr>
        <w:pStyle w:val="BodyText"/>
      </w:pPr>
    </w:p>
    <w:p w:rsidR="00370DB9" w:rsidP="002F5204">
      <w:pPr>
        <w:pStyle w:val="BodyText"/>
      </w:pPr>
    </w:p>
    <w:p w:rsidR="00000000" w:rsidRPr="002F5204" w:rsidP="002F5204">
      <w:pPr>
        <w:pStyle w:val="Heading1"/>
      </w:pPr>
      <w:bookmarkStart w:id="7" w:name="O_289603"/>
      <w:bookmarkEnd w:id="7"/>
      <w:r w:rsidRPr="002F5204">
        <w:t>Elements and Performance Criteria Pre-Content</w:t>
      </w:r>
    </w:p>
    <w:tbl>
      <w:tblPr>
        <w:tblW w:w="0" w:type="auto"/>
        <w:tblLayout w:type="fixed"/>
        <w:tblCellMar>
          <w:left w:w="62" w:type="dxa"/>
          <w:right w:w="62" w:type="dxa"/>
        </w:tblCellMar>
        <w:tblLook w:val="0000"/>
      </w:tblPr>
      <w:tblGrid>
        <w:gridCol w:w="2548"/>
        <w:gridCol w:w="5974"/>
      </w:tblGrid>
      <w:tr w:rsidTr="00370DB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Performance criteria describe the performance needed to demonstrate achievement of the element. Where bold italicised text is used, further information is detailed in the required skills and knowledge section and the range statement. Assessment of performa</w:t>
            </w:r>
            <w:r w:rsidRPr="002F5204">
              <w:t>nce is to be consistent with the evidence guide.</w:t>
            </w:r>
          </w:p>
        </w:tc>
      </w:tr>
    </w:tbl>
    <w:p w:rsidR="00000000" w:rsidRPr="002F5204" w:rsidP="002F5204">
      <w:pPr>
        <w:pStyle w:val="BodyText"/>
      </w:pPr>
    </w:p>
    <w:p w:rsidR="00000000" w:rsidRPr="002F5204" w:rsidP="002F5204">
      <w:pPr>
        <w:pStyle w:val="AllowPageBreak"/>
      </w:pPr>
    </w:p>
    <w:p w:rsidR="00000000" w:rsidRPr="002F5204" w:rsidP="002F5204">
      <w:pPr>
        <w:pStyle w:val="Heading1"/>
      </w:pPr>
      <w:bookmarkStart w:id="8" w:name="O_236270"/>
      <w:bookmarkEnd w:id="8"/>
      <w:r w:rsidRPr="002F5204">
        <w:t>Elements and Performance Criteria</w:t>
      </w:r>
    </w:p>
    <w:tbl>
      <w:tblPr>
        <w:tblW w:w="0" w:type="auto"/>
        <w:tblLayout w:type="fixed"/>
        <w:tblCellMar>
          <w:left w:w="62" w:type="dxa"/>
          <w:right w:w="62" w:type="dxa"/>
        </w:tblCellMar>
        <w:tblLook w:val="0000"/>
      </w:tblPr>
      <w:tblGrid>
        <w:gridCol w:w="2548"/>
        <w:gridCol w:w="5974"/>
      </w:tblGrid>
      <w:tr w:rsidTr="00370DB9">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PERFORMANCE CRITERIA</w:t>
            </w:r>
          </w:p>
        </w:tc>
      </w:tr>
      <w:tr w:rsidTr="00370DB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List"/>
              <w:rPr>
                <w:lang w:val="en-NZ"/>
              </w:rPr>
            </w:pPr>
            <w:r w:rsidRPr="002F5204">
              <w:t>1.</w:t>
            </w:r>
            <w:r w:rsidRPr="002F5204">
              <w:tab/>
              <w:t>Monitor data conversion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2"/>
            </w:pPr>
            <w:r w:rsidRPr="002F5204">
              <w:t>1.1.</w:t>
            </w:r>
            <w:r w:rsidRPr="002F5204">
              <w:tab/>
              <w:t xml:space="preserve">Obtain conversion </w:t>
            </w:r>
            <w:r w:rsidRPr="002F5204">
              <w:rPr>
                <w:rStyle w:val="BoldandItalics"/>
              </w:rPr>
              <w:t>supporting documentation</w:t>
            </w:r>
            <w:r w:rsidRPr="002F5204">
              <w:t xml:space="preserve"> and apply to conversion process</w:t>
            </w:r>
          </w:p>
          <w:p w:rsidR="00000000" w:rsidRPr="002F5204" w:rsidP="002F5204">
            <w:pPr>
              <w:pStyle w:val="List2"/>
            </w:pPr>
            <w:r w:rsidRPr="002F5204">
              <w:t>1.2.</w:t>
            </w:r>
            <w:r w:rsidRPr="002F5204">
              <w:tab/>
            </w:r>
            <w:r w:rsidRPr="002F5204">
              <w:t>Protect production data by taking action to ensure back-up before conversion</w:t>
            </w:r>
          </w:p>
          <w:p w:rsidR="00000000" w:rsidRPr="002F5204" w:rsidP="002F5204">
            <w:pPr>
              <w:pStyle w:val="List2"/>
            </w:pPr>
            <w:r w:rsidRPr="002F5204">
              <w:t>1.3.</w:t>
            </w:r>
            <w:r w:rsidRPr="002F5204">
              <w:tab/>
              <w:t xml:space="preserve">Determine </w:t>
            </w:r>
            <w:r w:rsidRPr="002F5204">
              <w:rPr>
                <w:rStyle w:val="BoldandItalics"/>
              </w:rPr>
              <w:t>requirements</w:t>
            </w:r>
            <w:r w:rsidRPr="002F5204">
              <w:t xml:space="preserve"> of the </w:t>
            </w:r>
            <w:r w:rsidRPr="002F5204">
              <w:rPr>
                <w:rStyle w:val="BoldandItalics"/>
              </w:rPr>
              <w:t>client</w:t>
            </w:r>
            <w:r w:rsidRPr="002F5204">
              <w:t xml:space="preserve"> and impact on business operation</w:t>
            </w:r>
          </w:p>
          <w:p w:rsidR="00000000" w:rsidRPr="002F5204" w:rsidP="002F5204">
            <w:pPr>
              <w:pStyle w:val="List2"/>
            </w:pPr>
            <w:r w:rsidRPr="002F5204">
              <w:t>1.4.</w:t>
            </w:r>
            <w:r w:rsidRPr="002F5204">
              <w:tab/>
              <w:t xml:space="preserve">Identify and confirm </w:t>
            </w:r>
            <w:r w:rsidRPr="002F5204">
              <w:rPr>
                <w:rStyle w:val="BoldandItalics"/>
              </w:rPr>
              <w:t>software</w:t>
            </w:r>
            <w:r w:rsidRPr="002F5204">
              <w:t xml:space="preserve">, </w:t>
            </w:r>
            <w:r w:rsidRPr="002F5204">
              <w:rPr>
                <w:rStyle w:val="BoldandItalics"/>
              </w:rPr>
              <w:t>hardware</w:t>
            </w:r>
            <w:r w:rsidRPr="002F5204">
              <w:t xml:space="preserve"> or </w:t>
            </w:r>
            <w:r w:rsidRPr="002F5204">
              <w:rPr>
                <w:rStyle w:val="BoldandItalics"/>
              </w:rPr>
              <w:t>environmental</w:t>
            </w:r>
            <w:r w:rsidRPr="002F5204">
              <w:t xml:space="preserve"> </w:t>
            </w:r>
            <w:r w:rsidRPr="002F5204">
              <w:rPr>
                <w:rStyle w:val="BoldandItalics"/>
              </w:rPr>
              <w:t>prerequisites</w:t>
            </w:r>
            <w:r w:rsidRPr="002F5204">
              <w:t xml:space="preserve"> in the conversion plan</w:t>
            </w:r>
          </w:p>
          <w:p w:rsidR="00000000" w:rsidRPr="002F5204" w:rsidP="002F5204">
            <w:pPr>
              <w:pStyle w:val="List2"/>
            </w:pPr>
            <w:r w:rsidRPr="002F5204">
              <w:t>1.5.</w:t>
            </w:r>
            <w:r w:rsidRPr="002F5204">
              <w:tab/>
            </w:r>
            <w:r w:rsidRPr="002F5204">
              <w:t>Validate data accuracy and integrity according to conversion specifications</w:t>
            </w:r>
          </w:p>
          <w:p w:rsidR="00000000" w:rsidRPr="002F5204" w:rsidP="002F5204">
            <w:pPr>
              <w:pStyle w:val="List2"/>
            </w:pPr>
            <w:r w:rsidRPr="002F5204">
              <w:t>1.6.</w:t>
            </w:r>
            <w:r w:rsidRPr="002F5204">
              <w:tab/>
              <w:t xml:space="preserve">Identify data rejected by conversion </w:t>
            </w:r>
            <w:r w:rsidRPr="002F5204">
              <w:rPr>
                <w:rStyle w:val="BoldandItalics"/>
              </w:rPr>
              <w:t>tools</w:t>
            </w:r>
            <w:r w:rsidRPr="002F5204">
              <w:t xml:space="preserve"> and actions detailed in conversion plan are carried out</w:t>
            </w:r>
          </w:p>
          <w:p w:rsidR="00000000" w:rsidP="002F5204">
            <w:pPr>
              <w:pStyle w:val="List2"/>
              <w:rPr>
                <w:lang w:val="en-NZ"/>
              </w:rPr>
            </w:pPr>
            <w:r w:rsidRPr="002F5204">
              <w:t>1.7.</w:t>
            </w:r>
            <w:r w:rsidRPr="002F5204">
              <w:tab/>
              <w:t>Document data rejection or errant behaviour of the conversion process</w:t>
            </w:r>
          </w:p>
        </w:tc>
      </w:tr>
      <w:tr w:rsidTr="00370DB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List"/>
              <w:rPr>
                <w:lang w:val="en-NZ"/>
              </w:rPr>
            </w:pPr>
            <w:r w:rsidRPr="002F5204">
              <w:t>2.</w:t>
            </w:r>
            <w:r w:rsidRPr="002F5204">
              <w:tab/>
              <w:t>Support conversion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2"/>
            </w:pPr>
            <w:r w:rsidRPr="002F5204">
              <w:t>2.1.</w:t>
            </w:r>
            <w:r w:rsidRPr="002F5204">
              <w:tab/>
              <w:t>Verify results</w:t>
            </w:r>
          </w:p>
          <w:p w:rsidR="00000000" w:rsidRPr="002F5204" w:rsidP="002F5204">
            <w:pPr>
              <w:pStyle w:val="List2"/>
            </w:pPr>
            <w:r w:rsidRPr="002F5204">
              <w:t>2.2.</w:t>
            </w:r>
            <w:r w:rsidRPr="002F5204">
              <w:tab/>
              <w:t xml:space="preserve">Present to </w:t>
            </w:r>
            <w:r w:rsidRPr="002F5204">
              <w:rPr>
                <w:rStyle w:val="BoldandItalics"/>
              </w:rPr>
              <w:t>appropriate person</w:t>
            </w:r>
            <w:r w:rsidRPr="002F5204">
              <w:t xml:space="preserve"> and obtain sign-off</w:t>
            </w:r>
          </w:p>
          <w:p w:rsidR="00000000" w:rsidRPr="002F5204" w:rsidP="002F5204">
            <w:pPr>
              <w:pStyle w:val="List2"/>
            </w:pPr>
            <w:r w:rsidRPr="002F5204">
              <w:t>2.3.</w:t>
            </w:r>
            <w:r w:rsidRPr="002F5204">
              <w:tab/>
              <w:t xml:space="preserve">Maintain and document back-up copies of conversion files according to </w:t>
            </w:r>
            <w:r w:rsidRPr="002F5204">
              <w:rPr>
                <w:rStyle w:val="BoldandItalics"/>
              </w:rPr>
              <w:t>requirements</w:t>
            </w:r>
          </w:p>
          <w:p w:rsidR="00000000" w:rsidRPr="002F5204" w:rsidP="002F5204">
            <w:pPr>
              <w:pStyle w:val="List2"/>
            </w:pPr>
            <w:r w:rsidRPr="002F5204">
              <w:t>2.4.</w:t>
            </w:r>
            <w:r w:rsidRPr="002F5204">
              <w:tab/>
              <w:t xml:space="preserve">Develop clear and coherent </w:t>
            </w:r>
            <w:r w:rsidRPr="002F5204">
              <w:rPr>
                <w:rStyle w:val="BoldandItalics"/>
              </w:rPr>
              <w:t>technical documentation</w:t>
            </w:r>
          </w:p>
        </w:tc>
      </w:tr>
    </w:tbl>
    <w:p w:rsidR="00370DB9" w:rsidP="002F5204">
      <w:pPr>
        <w:pStyle w:val="BodyText"/>
      </w:pPr>
    </w:p>
    <w:p w:rsidR="00370DB9" w:rsidP="002F5204">
      <w:pPr>
        <w:pStyle w:val="BodyText"/>
      </w:pPr>
    </w:p>
    <w:p w:rsidR="00000000" w:rsidRPr="002F5204" w:rsidP="002F5204">
      <w:pPr>
        <w:pStyle w:val="Heading1"/>
      </w:pPr>
      <w:bookmarkStart w:id="9" w:name="O_260220"/>
      <w:bookmarkEnd w:id="9"/>
      <w:r w:rsidRPr="002F5204">
        <w:t>Required Skills and Knowledge</w:t>
      </w:r>
    </w:p>
    <w:tbl>
      <w:tblPr>
        <w:tblW w:w="0" w:type="auto"/>
        <w:tblLayout w:type="fixed"/>
        <w:tblCellMar>
          <w:left w:w="62" w:type="dxa"/>
          <w:right w:w="62" w:type="dxa"/>
        </w:tblCellMar>
        <w:tblLook w:val="0000"/>
      </w:tblPr>
      <w:tblGrid>
        <w:gridCol w:w="8522"/>
      </w:tblGrid>
      <w:tr w:rsidTr="00370D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REQUIRED SKILLS AND KNOWLEDGE</w:t>
            </w:r>
          </w:p>
        </w:tc>
      </w:tr>
      <w:tr w:rsidTr="00370D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t>This section describes the skills and knowledge required for this unit.</w:t>
            </w:r>
          </w:p>
        </w:tc>
      </w:tr>
      <w:tr w:rsidTr="00370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Required skills</w:t>
            </w:r>
          </w:p>
        </w:tc>
      </w:tr>
      <w:tr w:rsidTr="00370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Problem solving skills for a defined range of unpredictable problems involving participation in the development of strategic initiatives (e.g. data accuracy and integrity are validated according to conversion specifications)</w:t>
            </w:r>
          </w:p>
          <w:p w:rsidR="00000000" w:rsidRPr="002F5204" w:rsidP="002F5204">
            <w:pPr>
              <w:pStyle w:val="ListBullet"/>
            </w:pPr>
            <w:r w:rsidRPr="002F5204">
              <w:t>Communication skills in relatio</w:t>
            </w:r>
            <w:r w:rsidRPr="002F5204">
              <w:t>n to analysis, evaluation and presentation of information (e.g. when results are verified with Domain Expert, signed off and passed on to appropriate personnel, and the production of technical documentation in a clear and coherent manner)</w:t>
            </w:r>
          </w:p>
          <w:p w:rsidR="00000000" w:rsidP="002F5204">
            <w:pPr>
              <w:pStyle w:val="ListBullet"/>
              <w:rPr>
                <w:lang w:val="en-NZ"/>
              </w:rPr>
            </w:pPr>
            <w:r w:rsidRPr="002F5204">
              <w:t xml:space="preserve">Facilitation and </w:t>
            </w:r>
            <w:r w:rsidRPr="002F5204">
              <w:t>presentation skills in relation to transferring and collecting information</w:t>
            </w:r>
          </w:p>
        </w:tc>
      </w:tr>
      <w:tr w:rsidTr="00370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Required knowledge</w:t>
            </w:r>
          </w:p>
        </w:tc>
      </w:tr>
      <w:tr w:rsidTr="00370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Broad knowledge of data conversion from legacy systems</w:t>
            </w:r>
          </w:p>
          <w:p w:rsidR="00000000" w:rsidRPr="002F5204" w:rsidP="002F5204">
            <w:pPr>
              <w:pStyle w:val="ListBullet"/>
            </w:pPr>
            <w:r w:rsidRPr="002F5204">
              <w:t>Broad knowledge of current industry data conversion tools</w:t>
            </w:r>
          </w:p>
          <w:p w:rsidR="00000000" w:rsidRPr="002F5204" w:rsidP="002F5204">
            <w:pPr>
              <w:pStyle w:val="ListBullet"/>
            </w:pPr>
            <w:r w:rsidRPr="002F5204">
              <w:t>Current industry-accepted hardware and software products, with broad knowledge of general features and capabilities and detailed knowledge in some areas</w:t>
            </w:r>
          </w:p>
          <w:p w:rsidR="00000000" w:rsidRPr="002F5204" w:rsidP="002F5204">
            <w:pPr>
              <w:pStyle w:val="ListBullet"/>
            </w:pPr>
            <w:r w:rsidRPr="002F5204">
              <w:t>Broad knowledge of current data modelling methodologies</w:t>
            </w:r>
          </w:p>
        </w:tc>
      </w:tr>
    </w:tbl>
    <w:p w:rsidR="00370DB9" w:rsidP="002F5204">
      <w:pPr>
        <w:pStyle w:val="BodyText"/>
      </w:pPr>
    </w:p>
    <w:p w:rsidR="00370DB9" w:rsidP="002F5204">
      <w:pPr>
        <w:pStyle w:val="BodyText"/>
      </w:pPr>
    </w:p>
    <w:p w:rsidR="00000000" w:rsidRPr="002F5204" w:rsidP="002F5204">
      <w:pPr>
        <w:pStyle w:val="AllowPageBreak"/>
      </w:pPr>
    </w:p>
    <w:p w:rsidR="00000000" w:rsidRPr="002F5204" w:rsidP="002F5204">
      <w:pPr>
        <w:pStyle w:val="Heading1"/>
      </w:pPr>
      <w:bookmarkStart w:id="10" w:name="O_244254"/>
      <w:bookmarkEnd w:id="10"/>
      <w:r w:rsidRPr="002F5204">
        <w:t>Evidence Guide</w:t>
      </w:r>
    </w:p>
    <w:tbl>
      <w:tblPr>
        <w:tblW w:w="9570" w:type="dxa"/>
        <w:tblLayout w:type="fixed"/>
        <w:tblCellMar>
          <w:left w:w="62" w:type="dxa"/>
          <w:right w:w="62" w:type="dxa"/>
        </w:tblCellMar>
        <w:tblLook w:val="0000"/>
      </w:tblPr>
      <w:tblGrid>
        <w:gridCol w:w="3908"/>
        <w:gridCol w:w="5662"/>
      </w:tblGrid>
      <w:tr w:rsidTr="00370D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EVIDENCE GUIDE</w:t>
            </w:r>
          </w:p>
        </w:tc>
      </w:tr>
      <w:tr w:rsidTr="00370D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t>The evidence guide provides advice on assessment and must be read in conjunction with the performance criteria, required skills and knowledge, range statement and the Assessment Guidelines for the Training Package.</w:t>
            </w:r>
          </w:p>
        </w:tc>
      </w:tr>
      <w:tr w:rsidTr="00370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p>
        </w:tc>
      </w:tr>
      <w:tr w:rsidTr="00370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Evidence of the following is essential:</w:t>
            </w:r>
          </w:p>
          <w:p w:rsidR="00000000" w:rsidRPr="002F5204" w:rsidP="002F5204">
            <w:pPr>
              <w:pStyle w:val="ListBullet"/>
            </w:pPr>
            <w:r w:rsidRPr="002F5204">
              <w:t xml:space="preserve">Assessment must confirm sufficient knowledge of the inherent data requirements of </w:t>
            </w:r>
            <w:r w:rsidRPr="002F5204">
              <w:t>both old and upgraded or new systems. Assessment must confirm the ability to achieve a physical transfer or transformation of data.</w:t>
            </w:r>
          </w:p>
          <w:p w:rsidR="00000000" w:rsidRPr="002F5204" w:rsidP="002F5204">
            <w:pPr>
              <w:pStyle w:val="BodyText"/>
            </w:pPr>
          </w:p>
          <w:p w:rsidR="00000000" w:rsidRPr="002F5204" w:rsidP="002F5204">
            <w:pPr>
              <w:pStyle w:val="BodyText"/>
            </w:pPr>
            <w:r w:rsidRPr="002F5204">
              <w:t>To demonstrate competency in this unit the person will require access to:</w:t>
            </w:r>
          </w:p>
          <w:p w:rsidR="00000000" w:rsidRPr="002F5204" w:rsidP="002F5204">
            <w:pPr>
              <w:pStyle w:val="ListBullet"/>
            </w:pPr>
            <w:r w:rsidRPr="002F5204">
              <w:t>Data conversion plan</w:t>
            </w:r>
          </w:p>
          <w:p w:rsidR="00000000" w:rsidRPr="002F5204" w:rsidP="002F5204">
            <w:pPr>
              <w:pStyle w:val="ListBullet"/>
            </w:pPr>
            <w:r w:rsidRPr="002F5204">
              <w:t>Conversion specifications</w:t>
            </w:r>
          </w:p>
          <w:p w:rsidR="00000000" w:rsidP="002F5204">
            <w:pPr>
              <w:pStyle w:val="ListBullet"/>
              <w:rPr>
                <w:lang w:val="en-NZ"/>
              </w:rPr>
            </w:pPr>
            <w:r w:rsidRPr="002F5204">
              <w:t>Documentation guidelines</w:t>
            </w:r>
          </w:p>
        </w:tc>
      </w:tr>
      <w:tr w:rsidTr="00370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To demonstrate this unit of competency the person will during the monitoring process give consideration to:</w:t>
            </w:r>
          </w:p>
          <w:p w:rsidR="00000000" w:rsidRPr="002F5204" w:rsidP="002F5204">
            <w:pPr>
              <w:pStyle w:val="ListBullet"/>
            </w:pPr>
            <w:r w:rsidRPr="002F5204">
              <w:t>Data migration from the legacy systems to the staging area (if necessary</w:t>
            </w:r>
            <w:r w:rsidRPr="002F5204">
              <w:t>)</w:t>
            </w:r>
          </w:p>
          <w:p w:rsidR="00000000" w:rsidRPr="002F5204" w:rsidP="002F5204">
            <w:pPr>
              <w:pStyle w:val="ListBullet"/>
            </w:pPr>
            <w:r w:rsidRPr="002F5204">
              <w:t>Data conditioning, cleaning, transformation, and integration in the staging area</w:t>
            </w:r>
          </w:p>
          <w:p w:rsidR="00000000" w:rsidRPr="002F5204" w:rsidP="002F5204">
            <w:pPr>
              <w:pStyle w:val="ListBullet"/>
            </w:pPr>
            <w:r w:rsidRPr="002F5204">
              <w:t>Storing, updating and exporting converted data</w:t>
            </w:r>
          </w:p>
          <w:p w:rsidR="00000000" w:rsidRPr="002F5204" w:rsidP="002F5204">
            <w:pPr>
              <w:pStyle w:val="ListBullet"/>
            </w:pPr>
            <w:r w:rsidRPr="002F5204">
              <w:t>Data loading and indexing on the production server</w:t>
            </w:r>
          </w:p>
          <w:p w:rsidR="00000000" w:rsidRPr="002F5204" w:rsidP="002F5204">
            <w:pPr>
              <w:pStyle w:val="ListBullet"/>
            </w:pPr>
            <w:r w:rsidRPr="002F5204">
              <w:t>Ensuring data quality throughout the data conversion process</w:t>
            </w:r>
          </w:p>
          <w:p w:rsidR="00000000" w:rsidRPr="002F5204" w:rsidP="002F5204">
            <w:pPr>
              <w:pStyle w:val="BodyText"/>
            </w:pPr>
          </w:p>
          <w:p w:rsidR="00000000" w:rsidRPr="002F5204" w:rsidP="002F5204">
            <w:pPr>
              <w:pStyle w:val="BodyText"/>
            </w:pPr>
            <w:r w:rsidRPr="002F5204">
              <w:t>Supplementary</w:t>
            </w:r>
            <w:r w:rsidRPr="002F5204">
              <w:t xml:space="preserve"> questioning may be used during the summative assessment phase, where necessary, to ensure that:</w:t>
            </w:r>
          </w:p>
          <w:p w:rsidR="00000000" w:rsidRPr="002F5204" w:rsidP="002F5204">
            <w:pPr>
              <w:pStyle w:val="ListBullet"/>
            </w:pPr>
            <w:r w:rsidRPr="002F5204">
              <w:t>Data is complete and valid</w:t>
            </w:r>
          </w:p>
          <w:p w:rsidR="00000000" w:rsidRPr="002F5204" w:rsidP="002F5204">
            <w:pPr>
              <w:pStyle w:val="ListBullet"/>
            </w:pPr>
            <w:r w:rsidRPr="002F5204">
              <w:t>Structural integrity of both the legacy system and the new database/data warehouse is sound</w:t>
            </w:r>
          </w:p>
          <w:p w:rsidR="00000000" w:rsidRPr="002F5204" w:rsidP="002F5204">
            <w:pPr>
              <w:pStyle w:val="ListBullet"/>
            </w:pPr>
            <w:r w:rsidRPr="002F5204">
              <w:t>Data reflects and works with the busine</w:t>
            </w:r>
            <w:r w:rsidRPr="002F5204">
              <w:t>ss rules and data standards</w:t>
            </w:r>
          </w:p>
          <w:p w:rsidR="00000000" w:rsidRPr="002F5204" w:rsidP="002F5204">
            <w:pPr>
              <w:pStyle w:val="BodyText"/>
            </w:pPr>
          </w:p>
          <w:p w:rsidR="00000000" w:rsidRPr="002F5204" w:rsidP="002F5204">
            <w:pPr>
              <w:pStyle w:val="BodyText"/>
            </w:pPr>
            <w:r w:rsidRPr="002F5204">
              <w:t>An individual performing at this standard will display self-directed application of knowledge and skills, with substantial depth in database design and developm</w:t>
            </w:r>
            <w:r w:rsidRPr="002F5204">
              <w:t>ent where judgement is required in planning and selecting appropriate equipment, services and techniques for self and others.</w:t>
            </w:r>
          </w:p>
          <w:p w:rsidR="00000000" w:rsidRPr="002F5204" w:rsidP="002F5204">
            <w:pPr>
              <w:pStyle w:val="BodyText"/>
            </w:pPr>
          </w:p>
          <w:p w:rsidR="00000000" w:rsidRPr="002F5204" w:rsidP="002F5204">
            <w:pPr>
              <w:pStyle w:val="BodyText"/>
            </w:pPr>
            <w:r w:rsidRPr="002F5204">
              <w:t xml:space="preserve">The breadth, depth and complexity covering planning and initiation of alternative approaches to skills or knowledge applications </w:t>
            </w:r>
            <w:r w:rsidRPr="002F5204">
              <w:t>across a broad range of technical and/or management requirements, evaluation and coordination would be characteristic.</w:t>
            </w:r>
          </w:p>
          <w:p w:rsidR="00000000" w:rsidRPr="002F5204" w:rsidP="002F5204">
            <w:pPr>
              <w:pStyle w:val="BodyText"/>
            </w:pPr>
          </w:p>
          <w:p w:rsidR="00000000" w:rsidRPr="002F5204" w:rsidP="002F5204">
            <w:pPr>
              <w:pStyle w:val="BodyText"/>
            </w:pPr>
            <w:r w:rsidRPr="002F5204">
              <w:t>Assessment must ensure:</w:t>
            </w:r>
          </w:p>
          <w:p w:rsidR="00000000" w:rsidRPr="002F5204" w:rsidP="002F5204">
            <w:pPr>
              <w:pStyle w:val="ListBullet"/>
            </w:pPr>
            <w:r w:rsidRPr="002F5204">
              <w:t>The demonstration of competency may also require self-directed application of knowledge and skills, with substa</w:t>
            </w:r>
            <w:r w:rsidRPr="002F5204">
              <w:t>ntial depth in some areas where judgement is required in planning and selecting appropriate equipment, services and techniques for self and others.</w:t>
            </w:r>
          </w:p>
          <w:p w:rsidR="00000000" w:rsidRPr="002F5204" w:rsidP="002F5204">
            <w:pPr>
              <w:pStyle w:val="BodyText"/>
            </w:pPr>
          </w:p>
          <w:p w:rsidR="00000000" w:rsidP="002F5204">
            <w:pPr>
              <w:pStyle w:val="ListBullet"/>
              <w:rPr>
                <w:lang w:val="en-NZ"/>
              </w:rPr>
            </w:pPr>
            <w:r w:rsidRPr="002F5204">
              <w:t>Applications involve participation in development of strategic initiatives as well as personal responsibil</w:t>
            </w:r>
            <w:r w:rsidRPr="002F5204">
              <w:t>ity and autonomy in performing complex technical operations or organising others. It may include participation in teams including teams concerned with planning and evaluation functions. Group or team coordination may also be involved.</w:t>
            </w:r>
          </w:p>
        </w:tc>
      </w:tr>
      <w:tr w:rsidTr="00370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The purpose of this unit is to define the standard of performance to be achieved in the workplace. In undertaking training and assessment activities related to this unit, consideration should be given to the implementation of appropriate diversity and acc</w:t>
            </w:r>
            <w:r w:rsidRPr="002F5204">
              <w:t>essibility practices in order to accommodate people who may have special needs. Additional guidance on these and related matters is provided in ICA05 Section 1.</w:t>
            </w:r>
          </w:p>
          <w:p w:rsidR="00000000" w:rsidRPr="002F5204" w:rsidP="002F5204">
            <w:pPr>
              <w:pStyle w:val="BodyText"/>
            </w:pPr>
          </w:p>
          <w:p w:rsidR="00000000" w:rsidRPr="002F5204" w:rsidP="002F5204">
            <w:pPr>
              <w:pStyle w:val="ListBullet"/>
            </w:pPr>
            <w:r w:rsidRPr="002F5204">
              <w:t>Competency in this unit should be assessed using summative assessment to ensure consistency o</w:t>
            </w:r>
            <w:r w:rsidRPr="002F5204">
              <w:t>f performance in a range of contexts. This unit can be assessed either in the workplace or in a simulated environment. However, simulated activities must closely reflect the workplace to enable full demonstration of competency.</w:t>
            </w:r>
          </w:p>
          <w:p w:rsidR="00000000" w:rsidRPr="002F5204" w:rsidP="002F5204">
            <w:pPr>
              <w:pStyle w:val="BodyText"/>
            </w:pPr>
          </w:p>
          <w:p w:rsidR="00000000" w:rsidP="002F5204">
            <w:pPr>
              <w:pStyle w:val="ListBullet"/>
              <w:rPr>
                <w:lang w:val="en-NZ"/>
              </w:rPr>
            </w:pPr>
            <w:r w:rsidRPr="002F5204">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2F5204">
              <w:t>peers and clients where appropriate may provide valuable input to the assessment process. The interdependence of units for assessment purposes may vary with the particular project or scenario.</w:t>
            </w:r>
          </w:p>
        </w:tc>
      </w:tr>
      <w:tr w:rsidTr="00370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Holistic assessment with o</w:t>
            </w:r>
            <w:r w:rsidRPr="002F5204">
              <w:t>ther units relevant to the industry sector, workplace and job role is recommended, for example:</w:t>
            </w:r>
          </w:p>
          <w:p w:rsidR="00000000" w:rsidRPr="002F5204" w:rsidP="002F5204">
            <w:pPr>
              <w:pStyle w:val="ListBullet"/>
            </w:pPr>
            <w:r w:rsidRPr="002F5204">
              <w:t>ICAB5062B Perform data conversion</w:t>
            </w:r>
          </w:p>
          <w:p w:rsidR="00000000" w:rsidRPr="002F5204" w:rsidP="002F5204">
            <w:pPr>
              <w:pStyle w:val="BodyText"/>
            </w:pPr>
          </w:p>
          <w:p w:rsidR="00000000" w:rsidRPr="002F5204" w:rsidP="002F5204">
            <w:pPr>
              <w:pStyle w:val="BodyText"/>
            </w:pPr>
            <w:r w:rsidRPr="002F5204">
              <w:t>An individual demonstrating this competency would be able to:</w:t>
            </w:r>
          </w:p>
          <w:p w:rsidR="00000000" w:rsidRPr="002F5204" w:rsidP="002F5204">
            <w:pPr>
              <w:pStyle w:val="ListBullet"/>
            </w:pPr>
            <w:r w:rsidRPr="002F5204">
              <w:t>Demonstrate understanding of a broad knowledge base incorpora</w:t>
            </w:r>
            <w:r w:rsidRPr="002F5204">
              <w:t>ting theoretical concepts, with substantial depth in some areas</w:t>
            </w:r>
          </w:p>
          <w:p w:rsidR="00000000" w:rsidRPr="002F5204" w:rsidP="002F5204">
            <w:pPr>
              <w:pStyle w:val="ListBullet"/>
            </w:pPr>
            <w:r w:rsidRPr="002F5204">
              <w:t>Analyse and plan approaches to technical problems or management requirements</w:t>
            </w:r>
          </w:p>
          <w:p w:rsidR="00000000" w:rsidRPr="002F5204" w:rsidP="002F5204">
            <w:pPr>
              <w:pStyle w:val="ListBullet"/>
            </w:pPr>
            <w:r w:rsidRPr="002F5204">
              <w:t>Transfer and apply theoretical concepts and/or technical or creative skills to a range of situations</w:t>
            </w:r>
          </w:p>
          <w:p w:rsidR="00000000" w:rsidRPr="002F5204" w:rsidP="002F5204">
            <w:pPr>
              <w:pStyle w:val="ListBullet"/>
            </w:pPr>
            <w:r w:rsidRPr="002F5204">
              <w:t>Evaluate infor</w:t>
            </w:r>
            <w:r w:rsidRPr="002F5204">
              <w:t>mation, using it to forecast for planning or research purposes</w:t>
            </w:r>
          </w:p>
          <w:p w:rsidR="00000000" w:rsidRPr="002F5204" w:rsidP="002F5204">
            <w:pPr>
              <w:pStyle w:val="ListBullet"/>
            </w:pPr>
            <w:r w:rsidRPr="002F5204">
              <w:t>Take responsibility for own outputs in relation to broad quantity and quality parameters</w:t>
            </w:r>
          </w:p>
          <w:p w:rsidR="00000000" w:rsidRPr="002F5204" w:rsidP="002F5204">
            <w:pPr>
              <w:pStyle w:val="ListBullet"/>
            </w:pPr>
            <w:r w:rsidRPr="002F5204">
              <w:t>Take some responsibility for the achievement of group outcomes</w:t>
            </w:r>
          </w:p>
          <w:p w:rsidR="00000000" w:rsidRPr="002F5204" w:rsidP="002F5204">
            <w:pPr>
              <w:pStyle w:val="ListBullet"/>
            </w:pPr>
            <w:r w:rsidRPr="002F5204">
              <w:t>Maintain knowledge of industry products a</w:t>
            </w:r>
            <w:r w:rsidRPr="002F5204">
              <w:t>nd services</w:t>
            </w:r>
          </w:p>
        </w:tc>
      </w:tr>
    </w:tbl>
    <w:p w:rsidR="00370DB9" w:rsidP="002F5204">
      <w:pPr>
        <w:pStyle w:val="BodyText"/>
      </w:pPr>
    </w:p>
    <w:p w:rsidR="00370DB9" w:rsidP="002F5204">
      <w:pPr>
        <w:pStyle w:val="BodyText"/>
      </w:pPr>
    </w:p>
    <w:p w:rsidR="00000000" w:rsidRPr="002F5204" w:rsidP="002F5204">
      <w:pPr>
        <w:pStyle w:val="Heading1"/>
      </w:pPr>
      <w:bookmarkStart w:id="11" w:name="O_252237"/>
      <w:bookmarkEnd w:id="11"/>
      <w:r w:rsidRPr="002F5204">
        <w:t>Range Statement</w:t>
      </w:r>
    </w:p>
    <w:tbl>
      <w:tblPr>
        <w:tblW w:w="0" w:type="auto"/>
        <w:tblLayout w:type="fixed"/>
        <w:tblCellMar>
          <w:left w:w="62" w:type="dxa"/>
          <w:right w:w="62" w:type="dxa"/>
        </w:tblCellMar>
        <w:tblLook w:val="0000"/>
      </w:tblPr>
      <w:tblGrid>
        <w:gridCol w:w="3523"/>
        <w:gridCol w:w="4999"/>
      </w:tblGrid>
      <w:tr w:rsidTr="00370D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RANGE STATEMENT</w:t>
            </w:r>
          </w:p>
        </w:tc>
      </w:tr>
      <w:tr w:rsidTr="00370D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t xml:space="preserve">The range statement relates to the unit of competency as a whole. It allows for different work environments and situations that may affect </w:t>
            </w:r>
            <w:r w:rsidRPr="002F5204">
              <w:t>performance. Bold italicised wording, if used in the performance criteria, is detailed below. Essential operating conditions that may be present with training and assessment (depending on the work situation, needs of the candidate, accessibility of the ite</w:t>
            </w:r>
            <w:r w:rsidRPr="002F5204">
              <w:t>m, and local industry and regional contexts) may also be included.</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Supporting documentation</w:t>
            </w:r>
            <w:r w:rsidRPr="002F520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data conversion plan</w:t>
            </w:r>
          </w:p>
          <w:p w:rsidR="00000000" w:rsidRPr="002F5204" w:rsidP="002F5204">
            <w:pPr>
              <w:pStyle w:val="ListBullet"/>
            </w:pPr>
            <w:r w:rsidRPr="002F5204">
              <w:t>conversion specifications</w:t>
            </w:r>
          </w:p>
          <w:p w:rsidR="00000000" w:rsidP="002F5204">
            <w:pPr>
              <w:pStyle w:val="ListBullet"/>
              <w:rPr>
                <w:lang w:val="en-NZ"/>
              </w:rPr>
            </w:pPr>
            <w:r w:rsidRPr="002F5204">
              <w:t>documentation guidelines</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Requirements</w:t>
            </w:r>
            <w:r w:rsidRPr="002F5204">
              <w:t xml:space="preserve"> may be in reference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business</w:t>
            </w:r>
          </w:p>
          <w:p w:rsidR="00000000" w:rsidRPr="002F5204" w:rsidP="002F5204">
            <w:pPr>
              <w:pStyle w:val="ListBullet"/>
            </w:pPr>
            <w:r w:rsidRPr="002F5204">
              <w:t>system</w:t>
            </w:r>
          </w:p>
          <w:p w:rsidR="00000000" w:rsidRPr="002F5204" w:rsidP="002F5204">
            <w:pPr>
              <w:pStyle w:val="ListBullet"/>
            </w:pPr>
            <w:r w:rsidRPr="002F5204">
              <w:t>platform</w:t>
            </w:r>
          </w:p>
          <w:p w:rsidR="00000000" w:rsidRPr="002F5204" w:rsidP="002F5204">
            <w:pPr>
              <w:pStyle w:val="ListBullet"/>
            </w:pPr>
            <w:r w:rsidRPr="002F5204">
              <w:t>application</w:t>
            </w:r>
          </w:p>
          <w:p w:rsidR="00000000" w:rsidRPr="002F5204" w:rsidP="002F5204">
            <w:pPr>
              <w:pStyle w:val="ListBullet"/>
            </w:pPr>
            <w:r w:rsidRPr="002F5204">
              <w:t>database</w:t>
            </w:r>
          </w:p>
          <w:p w:rsidR="00000000" w:rsidRPr="002F5204" w:rsidP="002F5204">
            <w:pPr>
              <w:pStyle w:val="ListBullet"/>
            </w:pPr>
            <w:r w:rsidRPr="002F5204">
              <w:t>network</w:t>
            </w:r>
          </w:p>
          <w:p w:rsidR="00000000" w:rsidP="002F5204">
            <w:pPr>
              <w:pStyle w:val="ListBullet"/>
              <w:rPr>
                <w:lang w:val="en-NZ"/>
              </w:rPr>
            </w:pPr>
            <w:r w:rsidRPr="002F5204">
              <w:t>people in the organisation</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Client</w:t>
            </w:r>
            <w:r w:rsidRPr="002F5204">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internal departments</w:t>
            </w:r>
          </w:p>
          <w:p w:rsidR="00000000" w:rsidRPr="002F5204" w:rsidP="002F5204">
            <w:pPr>
              <w:pStyle w:val="ListBullet"/>
            </w:pPr>
            <w:r w:rsidRPr="002F5204">
              <w:t>external organisations</w:t>
            </w:r>
          </w:p>
          <w:p w:rsidR="00000000" w:rsidRPr="002F5204" w:rsidP="002F5204">
            <w:pPr>
              <w:pStyle w:val="ListBullet"/>
            </w:pPr>
            <w:r w:rsidRPr="002F5204">
              <w:t>clubs</w:t>
            </w:r>
          </w:p>
          <w:p w:rsidR="00000000" w:rsidRPr="002F5204" w:rsidP="002F5204">
            <w:pPr>
              <w:pStyle w:val="ListBullet"/>
            </w:pPr>
            <w:r w:rsidRPr="002F5204">
              <w:t>individual people</w:t>
            </w:r>
          </w:p>
          <w:p w:rsidR="00000000" w:rsidP="002F5204">
            <w:pPr>
              <w:pStyle w:val="ListBullet"/>
              <w:rPr>
                <w:lang w:val="en-NZ"/>
              </w:rPr>
            </w:pPr>
            <w:r w:rsidRPr="002F5204">
              <w:t>internal employees</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Hardware</w:t>
            </w:r>
            <w:r w:rsidRPr="002F5204">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workstations</w:t>
            </w:r>
          </w:p>
          <w:p w:rsidR="00000000" w:rsidRPr="002F5204" w:rsidP="002F5204">
            <w:pPr>
              <w:pStyle w:val="ListBullet"/>
            </w:pPr>
            <w:r w:rsidRPr="002F5204">
              <w:t>personal computers</w:t>
            </w:r>
          </w:p>
          <w:p w:rsidR="00000000" w:rsidRPr="002F5204" w:rsidP="002F5204">
            <w:pPr>
              <w:pStyle w:val="ListBullet"/>
            </w:pPr>
            <w:r w:rsidRPr="002F5204">
              <w:t>modems and other connectivity devices</w:t>
            </w:r>
          </w:p>
          <w:p w:rsidR="00000000" w:rsidRPr="002F5204" w:rsidP="002F5204">
            <w:pPr>
              <w:pStyle w:val="ListBullet"/>
            </w:pPr>
            <w:r w:rsidRPr="002F5204">
              <w:t>networks</w:t>
            </w:r>
          </w:p>
          <w:p w:rsidR="00000000" w:rsidRPr="002F5204" w:rsidP="002F5204">
            <w:pPr>
              <w:pStyle w:val="ListBullet"/>
            </w:pPr>
            <w:r w:rsidRPr="002F5204">
              <w:t>remote sites</w:t>
            </w:r>
          </w:p>
          <w:p w:rsidR="00000000" w:rsidRPr="002F5204" w:rsidP="002F5204">
            <w:pPr>
              <w:pStyle w:val="ListBullet"/>
            </w:pPr>
            <w:r w:rsidRPr="002F5204">
              <w:t>servers</w:t>
            </w:r>
          </w:p>
          <w:p w:rsidR="00000000" w:rsidP="002F5204">
            <w:pPr>
              <w:pStyle w:val="ListBullet"/>
              <w:rPr>
                <w:lang w:val="en-NZ"/>
              </w:rPr>
            </w:pPr>
            <w:r w:rsidRPr="002F5204">
              <w:t>DSL modems</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Software</w:t>
            </w:r>
            <w:r w:rsidRPr="002F5204">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commercial software applications</w:t>
            </w:r>
          </w:p>
          <w:p w:rsidR="00000000" w:rsidRPr="002F5204" w:rsidP="002F5204">
            <w:pPr>
              <w:pStyle w:val="ListBullet"/>
            </w:pPr>
            <w:r w:rsidRPr="002F5204">
              <w:t>organisation-specific software</w:t>
            </w:r>
          </w:p>
          <w:p w:rsidR="00000000" w:rsidRPr="002F5204" w:rsidP="002F5204">
            <w:pPr>
              <w:pStyle w:val="ListBullet"/>
            </w:pPr>
            <w:r w:rsidRPr="002F5204">
              <w:t>packaged software</w:t>
            </w:r>
          </w:p>
          <w:p w:rsidR="00000000" w:rsidP="002F5204">
            <w:pPr>
              <w:pStyle w:val="ListBullet"/>
              <w:rPr>
                <w:lang w:val="en-NZ"/>
              </w:rPr>
            </w:pPr>
            <w:r w:rsidRPr="002F5204">
              <w:t>in-house or customised software</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Environmental pr</w:t>
            </w:r>
            <w:r w:rsidRPr="002F5204">
              <w:rPr>
                <w:rStyle w:val="BoldandItalics"/>
              </w:rPr>
              <w:t>erequisites</w:t>
            </w:r>
            <w:r w:rsidRPr="002F5204">
              <w:t xml:space="preserve"> may consist of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dust</w:t>
            </w:r>
          </w:p>
          <w:p w:rsidR="00000000" w:rsidRPr="002F5204" w:rsidP="002F5204">
            <w:pPr>
              <w:pStyle w:val="ListBullet"/>
            </w:pPr>
            <w:r w:rsidRPr="002F5204">
              <w:t>heat</w:t>
            </w:r>
          </w:p>
          <w:p w:rsidR="00000000" w:rsidRPr="002F5204" w:rsidP="002F5204">
            <w:pPr>
              <w:pStyle w:val="ListBullet"/>
            </w:pPr>
            <w:r w:rsidRPr="002F5204">
              <w:t>extreme cold</w:t>
            </w:r>
          </w:p>
          <w:p w:rsidR="00000000" w:rsidRPr="002F5204" w:rsidP="002F5204">
            <w:pPr>
              <w:pStyle w:val="ListBullet"/>
            </w:pPr>
            <w:r w:rsidRPr="002F5204">
              <w:t>temperature stability</w:t>
            </w:r>
          </w:p>
          <w:p w:rsidR="00000000" w:rsidRPr="002F5204" w:rsidP="002F5204">
            <w:pPr>
              <w:pStyle w:val="ListBullet"/>
            </w:pPr>
            <w:r w:rsidRPr="002F5204">
              <w:t>air circulation</w:t>
            </w:r>
          </w:p>
          <w:p w:rsidR="00000000" w:rsidP="002F5204">
            <w:pPr>
              <w:pStyle w:val="ListBullet"/>
              <w:rPr>
                <w:lang w:val="en-NZ"/>
              </w:rPr>
            </w:pPr>
            <w:r w:rsidRPr="002F5204">
              <w:t>moisture</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Tools</w:t>
            </w:r>
            <w:r w:rsidRPr="002F520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Tools that analyse data quality</w:t>
            </w:r>
          </w:p>
          <w:p w:rsidR="00000000" w:rsidRPr="002F5204" w:rsidP="002F5204">
            <w:pPr>
              <w:pStyle w:val="ListBullet"/>
            </w:pPr>
            <w:r w:rsidRPr="002F5204">
              <w:t>Tools for extraction and transformation</w:t>
            </w:r>
          </w:p>
          <w:p w:rsidR="00000000" w:rsidRPr="002F5204" w:rsidP="002F5204">
            <w:pPr>
              <w:pStyle w:val="ListBullet"/>
            </w:pPr>
            <w:r w:rsidRPr="002F5204">
              <w:t>Tools for cleansing data (identifying invalid field entries and forcing to legal values</w:t>
            </w:r>
          </w:p>
          <w:p w:rsidR="00000000" w:rsidP="002F5204">
            <w:pPr>
              <w:pStyle w:val="ListBullet"/>
              <w:rPr>
                <w:lang w:val="en-NZ"/>
              </w:rPr>
            </w:pPr>
            <w:r w:rsidRPr="002F5204">
              <w:t>Data management tools</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Appropriate person</w:t>
            </w:r>
            <w:r w:rsidRPr="002F520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supervisor</w:t>
            </w:r>
          </w:p>
          <w:p w:rsidR="00000000" w:rsidRPr="002F5204" w:rsidP="002F5204">
            <w:pPr>
              <w:pStyle w:val="ListBullet"/>
            </w:pPr>
            <w:r w:rsidRPr="002F5204">
              <w:t>teacher</w:t>
            </w:r>
          </w:p>
          <w:p w:rsidR="00000000" w:rsidRPr="002F5204" w:rsidP="002F5204">
            <w:pPr>
              <w:pStyle w:val="ListBullet"/>
            </w:pPr>
            <w:r w:rsidRPr="002F5204">
              <w:t>authorised business representative</w:t>
            </w:r>
          </w:p>
          <w:p w:rsidR="00000000" w:rsidP="002F5204">
            <w:pPr>
              <w:pStyle w:val="ListBullet"/>
              <w:rPr>
                <w:lang w:val="en-NZ"/>
              </w:rPr>
            </w:pPr>
            <w:r w:rsidRPr="002F5204">
              <w:t>client</w:t>
            </w:r>
          </w:p>
        </w:tc>
      </w:tr>
      <w:tr w:rsidTr="00370DB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BoldandItalics"/>
              </w:rPr>
              <w:t>Technical documentation</w:t>
            </w:r>
            <w:r w:rsidRPr="002F520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ListBullet"/>
            </w:pPr>
            <w:r w:rsidRPr="002F5204">
              <w:t>project specifications</w:t>
            </w:r>
          </w:p>
          <w:p w:rsidR="00000000" w:rsidRPr="002F5204" w:rsidP="002F5204">
            <w:pPr>
              <w:pStyle w:val="ListBullet"/>
            </w:pPr>
            <w:r w:rsidRPr="002F5204">
              <w:t>reports</w:t>
            </w:r>
          </w:p>
          <w:p w:rsidR="00000000" w:rsidRPr="002F5204" w:rsidP="002F5204">
            <w:pPr>
              <w:pStyle w:val="ListBullet"/>
            </w:pPr>
            <w:r w:rsidRPr="002F5204">
              <w:t>help references</w:t>
            </w:r>
          </w:p>
          <w:p w:rsidR="00000000" w:rsidRPr="002F5204" w:rsidP="002F5204">
            <w:pPr>
              <w:pStyle w:val="ListBullet"/>
            </w:pPr>
            <w:r w:rsidRPr="002F5204">
              <w:t>technical manuals</w:t>
            </w:r>
          </w:p>
          <w:p w:rsidR="00000000" w:rsidRPr="002F5204" w:rsidP="002F5204">
            <w:pPr>
              <w:pStyle w:val="ListBullet"/>
            </w:pPr>
            <w:r w:rsidRPr="002F5204">
              <w:t>training materials and self-paced tutorials</w:t>
            </w:r>
          </w:p>
          <w:p w:rsidR="00000000" w:rsidRPr="002F5204" w:rsidP="002F5204">
            <w:pPr>
              <w:pStyle w:val="ListBullet"/>
            </w:pPr>
            <w:r w:rsidRPr="002F5204">
              <w:t>on-line help</w:t>
            </w:r>
          </w:p>
          <w:p w:rsidR="00000000" w:rsidRPr="002F5204" w:rsidP="002F5204">
            <w:pPr>
              <w:pStyle w:val="ListBullet"/>
            </w:pPr>
            <w:r w:rsidRPr="002F5204">
              <w:t>user guides</w:t>
            </w:r>
          </w:p>
          <w:p w:rsidR="00000000" w:rsidRPr="002F5204" w:rsidP="002F5204">
            <w:pPr>
              <w:pStyle w:val="ListBullet"/>
            </w:pPr>
            <w:r w:rsidRPr="002F5204">
              <w:t>brochures</w:t>
            </w:r>
          </w:p>
        </w:tc>
      </w:tr>
    </w:tbl>
    <w:p w:rsidR="00370DB9" w:rsidP="002F5204">
      <w:pPr>
        <w:pStyle w:val="BodyText"/>
      </w:pPr>
    </w:p>
    <w:p w:rsidR="00370DB9" w:rsidP="002F5204">
      <w:pPr>
        <w:pStyle w:val="BodyText"/>
      </w:pPr>
    </w:p>
    <w:p w:rsidR="00000000" w:rsidRPr="002F5204" w:rsidP="002F5204">
      <w:pPr>
        <w:pStyle w:val="Heading1"/>
      </w:pPr>
      <w:bookmarkStart w:id="12" w:name="O_207344"/>
      <w:bookmarkEnd w:id="12"/>
      <w:r w:rsidRPr="002F5204">
        <w:t>Unit Sector(s)</w:t>
      </w:r>
    </w:p>
    <w:tbl>
      <w:tblPr>
        <w:tblW w:w="0" w:type="auto"/>
        <w:tblLayout w:type="fixed"/>
        <w:tblCellMar>
          <w:left w:w="62" w:type="dxa"/>
          <w:right w:w="62" w:type="dxa"/>
        </w:tblCellMar>
        <w:tblLook w:val="0000"/>
      </w:tblPr>
      <w:tblGrid>
        <w:gridCol w:w="2626"/>
        <w:gridCol w:w="5896"/>
      </w:tblGrid>
      <w:tr w:rsidTr="00370DB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r w:rsidRPr="002F5204">
              <w:t>Build</w:t>
            </w:r>
          </w:p>
        </w:tc>
      </w:tr>
    </w:tbl>
    <w:p w:rsidR="00370DB9" w:rsidP="002F5204">
      <w:pPr>
        <w:pStyle w:val="BodyText"/>
      </w:pPr>
    </w:p>
    <w:p w:rsidR="00370DB9" w:rsidP="002F5204">
      <w:pPr>
        <w:pStyle w:val="BodyText"/>
      </w:pPr>
    </w:p>
    <w:p w:rsidR="00000000" w:rsidRPr="002F5204" w:rsidP="002F5204">
      <w:pPr>
        <w:pStyle w:val="Heading1"/>
      </w:pPr>
      <w:bookmarkStart w:id="13" w:name="O_207341"/>
      <w:bookmarkEnd w:id="13"/>
      <w:r w:rsidRPr="002F5204">
        <w:t>Co-requisite units</w:t>
      </w:r>
    </w:p>
    <w:tbl>
      <w:tblPr>
        <w:tblW w:w="0" w:type="auto"/>
        <w:tblLayout w:type="fixed"/>
        <w:tblCellMar>
          <w:left w:w="62" w:type="dxa"/>
          <w:right w:w="62" w:type="dxa"/>
        </w:tblCellMar>
        <w:tblLook w:val="0000"/>
      </w:tblPr>
      <w:tblGrid>
        <w:gridCol w:w="2641"/>
        <w:gridCol w:w="1322"/>
        <w:gridCol w:w="4559"/>
      </w:tblGrid>
      <w:tr w:rsidTr="00370D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p>
        </w:tc>
      </w:tr>
      <w:tr w:rsidTr="00370D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p>
        </w:tc>
      </w:tr>
      <w:tr w:rsidTr="00370D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p>
        </w:tc>
      </w:tr>
    </w:tbl>
    <w:p w:rsidR="00370DB9" w:rsidP="002F5204">
      <w:pPr>
        <w:pStyle w:val="BodyText"/>
      </w:pPr>
    </w:p>
    <w:p w:rsidR="00370DB9" w:rsidP="002F5204">
      <w:pPr>
        <w:pStyle w:val="BodyText"/>
      </w:pPr>
    </w:p>
    <w:p w:rsidR="00000000" w:rsidRPr="002F5204" w:rsidP="002F5204">
      <w:pPr>
        <w:pStyle w:val="Heading1"/>
      </w:pPr>
      <w:bookmarkStart w:id="14" w:name="O_207343"/>
      <w:bookmarkEnd w:id="14"/>
      <w:r w:rsidRPr="002F5204">
        <w:t>Competency field</w:t>
      </w:r>
    </w:p>
    <w:tbl>
      <w:tblPr>
        <w:tblW w:w="0" w:type="auto"/>
        <w:tblLayout w:type="fixed"/>
        <w:tblCellMar>
          <w:left w:w="62" w:type="dxa"/>
          <w:right w:w="62" w:type="dxa"/>
        </w:tblCellMar>
        <w:tblLook w:val="0000"/>
      </w:tblPr>
      <w:tblGrid>
        <w:gridCol w:w="2784"/>
        <w:gridCol w:w="5738"/>
      </w:tblGrid>
      <w:tr w:rsidTr="00370D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204">
            <w:pPr>
              <w:pStyle w:val="BodyText"/>
              <w:rPr>
                <w:lang w:val="en-NZ"/>
              </w:rPr>
            </w:pPr>
            <w:r w:rsidRPr="002F52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204" w:rsidP="002F5204">
            <w:pPr>
              <w:pStyle w:val="BodyText"/>
            </w:pPr>
          </w:p>
        </w:tc>
      </w:tr>
    </w:tbl>
    <w:p w:rsidR="00370DB9" w:rsidP="002F5204">
      <w:pPr>
        <w:pStyle w:val="BodyText"/>
      </w:pPr>
    </w:p>
    <w:p w:rsidR="00370DB9" w:rsidP="002F5204">
      <w:pPr>
        <w:pStyle w:val="BodyText"/>
      </w:pPr>
    </w:p>
    <w:p w:rsidR="00000000" w:rsidRPr="002F5204" w:rsidP="002F5204"/>
    <w:sectPr w:rsidSect="002F52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DB9" w:rsidP="00370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B9" w:rsidP="002F5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0DB9" w:rsidP="002F52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0DB9" w:rsidP="002F52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DB9" w:rsidP="00370D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B9" w:rsidP="002F5204">
    <w:pPr>
      <w:pStyle w:val="Header"/>
      <w:framePr w:wrap="around"/>
    </w:pPr>
    <w:r>
      <w:fldChar w:fldCharType="begin"/>
    </w:r>
    <w:r>
      <w:instrText xml:space="preserve"> TITLE   \* MERGEFORMAT </w:instrText>
    </w:r>
    <w:r>
      <w:fldChar w:fldCharType="separate"/>
    </w:r>
    <w:r>
      <w:t>ICAB5063B Monitor and support data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0DB9" w:rsidP="002F52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BCAB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B8CF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2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204"/>
    <w:pPr>
      <w:spacing w:before="360" w:after="60"/>
      <w:outlineLvl w:val="0"/>
    </w:pPr>
    <w:rPr>
      <w:sz w:val="32"/>
    </w:rPr>
  </w:style>
  <w:style w:type="paragraph" w:styleId="Heading2">
    <w:name w:val="heading 2"/>
    <w:basedOn w:val="HeadingBase"/>
    <w:next w:val="BodyText"/>
    <w:link w:val="Heading2Char"/>
    <w:qFormat/>
    <w:rsid w:val="002F5204"/>
    <w:pPr>
      <w:keepLines/>
      <w:spacing w:before="240" w:after="120"/>
      <w:outlineLvl w:val="1"/>
    </w:pPr>
    <w:rPr>
      <w:sz w:val="28"/>
      <w:szCs w:val="40"/>
    </w:rPr>
  </w:style>
  <w:style w:type="paragraph" w:styleId="Heading3">
    <w:name w:val="heading 3"/>
    <w:basedOn w:val="HeadingBase"/>
    <w:next w:val="BodyText"/>
    <w:link w:val="Heading3Char"/>
    <w:qFormat/>
    <w:rsid w:val="002F5204"/>
    <w:pPr>
      <w:spacing w:before="180" w:after="120"/>
      <w:outlineLvl w:val="2"/>
    </w:pPr>
    <w:rPr>
      <w:spacing w:val="-10"/>
      <w:kern w:val="32"/>
    </w:rPr>
  </w:style>
  <w:style w:type="paragraph" w:styleId="Heading4">
    <w:name w:val="heading 4"/>
    <w:basedOn w:val="HeadingBase"/>
    <w:next w:val="BodyText"/>
    <w:link w:val="Heading4Char"/>
    <w:qFormat/>
    <w:rsid w:val="002F5204"/>
    <w:pPr>
      <w:spacing w:before="160" w:after="120"/>
      <w:outlineLvl w:val="3"/>
    </w:pPr>
    <w:rPr>
      <w:sz w:val="22"/>
    </w:rPr>
  </w:style>
  <w:style w:type="paragraph" w:styleId="Heading5">
    <w:name w:val="heading 5"/>
    <w:basedOn w:val="HeadingBase"/>
    <w:next w:val="Normal"/>
    <w:link w:val="Heading5Char"/>
    <w:qFormat/>
    <w:rsid w:val="002F5204"/>
    <w:pPr>
      <w:spacing w:before="80"/>
      <w:outlineLvl w:val="4"/>
    </w:pPr>
    <w:rPr>
      <w:color w:val="918585"/>
      <w:sz w:val="20"/>
    </w:rPr>
  </w:style>
  <w:style w:type="paragraph" w:styleId="Heading6">
    <w:name w:val="heading 6"/>
    <w:basedOn w:val="HeadingBase"/>
    <w:next w:val="Normal"/>
    <w:link w:val="Heading6Char"/>
    <w:qFormat/>
    <w:rsid w:val="002F5204"/>
    <w:pPr>
      <w:spacing w:before="60"/>
      <w:outlineLvl w:val="5"/>
    </w:pPr>
    <w:rPr>
      <w:color w:val="918585"/>
      <w:sz w:val="20"/>
    </w:rPr>
  </w:style>
  <w:style w:type="paragraph" w:styleId="Heading7">
    <w:name w:val="heading 7"/>
    <w:basedOn w:val="Normal"/>
    <w:next w:val="Normal"/>
    <w:link w:val="Heading7Char"/>
    <w:qFormat/>
    <w:rsid w:val="002F5204"/>
    <w:pPr>
      <w:ind w:left="720"/>
      <w:outlineLvl w:val="6"/>
    </w:pPr>
    <w:rPr>
      <w:i/>
    </w:rPr>
  </w:style>
  <w:style w:type="paragraph" w:styleId="Heading8">
    <w:name w:val="heading 8"/>
    <w:basedOn w:val="Normal"/>
    <w:next w:val="Normal"/>
    <w:link w:val="Heading8Char"/>
    <w:qFormat/>
    <w:rsid w:val="002F5204"/>
    <w:pPr>
      <w:ind w:left="720"/>
      <w:outlineLvl w:val="7"/>
    </w:pPr>
    <w:rPr>
      <w:i/>
    </w:rPr>
  </w:style>
  <w:style w:type="paragraph" w:styleId="Heading9">
    <w:name w:val="heading 9"/>
    <w:basedOn w:val="Normal"/>
    <w:next w:val="Normal"/>
    <w:link w:val="Heading9Char"/>
    <w:qFormat/>
    <w:rsid w:val="002F5204"/>
    <w:pPr>
      <w:ind w:left="720"/>
      <w:outlineLvl w:val="8"/>
    </w:pPr>
    <w:rPr>
      <w:i/>
    </w:rPr>
  </w:style>
  <w:style w:type="character" w:default="1" w:styleId="DefaultParagraphFont">
    <w:name w:val="Default Paragraph Font"/>
    <w:uiPriority w:val="1"/>
    <w:unhideWhenUsed/>
    <w:rsid w:val="002F5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204"/>
  </w:style>
  <w:style w:type="character" w:customStyle="1" w:styleId="Heading1Char">
    <w:name w:val="Heading 1 Char"/>
    <w:link w:val="Heading1"/>
    <w:rsid w:val="002F5204"/>
    <w:rPr>
      <w:rFonts w:ascii="Times New Roman" w:eastAsia="Times New Roman" w:hAnsi="Times New Roman" w:cs="Times New Roman"/>
      <w:b/>
      <w:sz w:val="32"/>
      <w:szCs w:val="20"/>
      <w:lang w:eastAsia="en-US"/>
    </w:rPr>
  </w:style>
  <w:style w:type="paragraph" w:styleId="BodyText">
    <w:name w:val="Body Text"/>
    <w:basedOn w:val="Normal"/>
    <w:link w:val="BodyTextChar"/>
    <w:rsid w:val="002F5204"/>
    <w:pPr>
      <w:spacing w:before="120" w:after="120"/>
      <w:contextualSpacing/>
    </w:pPr>
    <w:rPr>
      <w:rFonts w:ascii="Times New Roman" w:hAnsi="Times New Roman"/>
      <w:sz w:val="24"/>
      <w:szCs w:val="22"/>
    </w:rPr>
  </w:style>
  <w:style w:type="character" w:customStyle="1" w:styleId="BodyTextChar">
    <w:name w:val="Body Text Char"/>
    <w:link w:val="BodyText"/>
    <w:rsid w:val="002F5204"/>
    <w:rPr>
      <w:rFonts w:ascii="Times New Roman" w:eastAsia="Times New Roman" w:hAnsi="Times New Roman" w:cs="Times New Roman"/>
      <w:sz w:val="24"/>
      <w:lang w:val="en-US" w:eastAsia="en-US"/>
    </w:rPr>
  </w:style>
  <w:style w:type="paragraph" w:styleId="Footer">
    <w:name w:val="footer"/>
    <w:basedOn w:val="Normal"/>
    <w:link w:val="FooterChar"/>
    <w:rsid w:val="002F5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5204"/>
    <w:rPr>
      <w:rFonts w:ascii="Times New Roman" w:eastAsia="Times New Roman" w:hAnsi="Times New Roman" w:cs="Times New Roman"/>
      <w:sz w:val="16"/>
      <w:lang w:val="en-US" w:eastAsia="en-US"/>
    </w:rPr>
  </w:style>
  <w:style w:type="paragraph" w:styleId="List">
    <w:name w:val="List"/>
    <w:basedOn w:val="BodyText"/>
    <w:next w:val="BodyText"/>
    <w:rsid w:val="002F5204"/>
    <w:pPr>
      <w:tabs>
        <w:tab w:val="left" w:pos="340"/>
      </w:tabs>
      <w:spacing w:before="60" w:after="60"/>
      <w:ind w:left="340" w:hanging="340"/>
    </w:pPr>
  </w:style>
  <w:style w:type="paragraph" w:styleId="ListBullet">
    <w:name w:val="List Bullet"/>
    <w:basedOn w:val="List"/>
    <w:rsid w:val="002F5204"/>
    <w:pPr>
      <w:numPr>
        <w:numId w:val="12"/>
      </w:numPr>
      <w:tabs>
        <w:tab w:val="clear" w:pos="340"/>
      </w:tabs>
      <w:spacing w:before="40" w:after="40"/>
    </w:pPr>
  </w:style>
  <w:style w:type="character" w:customStyle="1" w:styleId="SpecialBold">
    <w:name w:val="Special Bold"/>
    <w:rsid w:val="002F5204"/>
    <w:rPr>
      <w:b/>
      <w:spacing w:val="0"/>
    </w:rPr>
  </w:style>
  <w:style w:type="paragraph" w:styleId="Header">
    <w:name w:val="header"/>
    <w:basedOn w:val="Normal"/>
    <w:link w:val="HeaderChar"/>
    <w:rsid w:val="002F5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52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204"/>
    <w:pPr>
      <w:spacing w:before="240" w:after="120"/>
      <w:outlineLvl w:val="0"/>
    </w:pPr>
    <w:rPr>
      <w:rFonts w:ascii="Times New Roman" w:hAnsi="Times New Roman"/>
      <w:b/>
      <w:sz w:val="28"/>
    </w:rPr>
  </w:style>
  <w:style w:type="paragraph" w:customStyle="1" w:styleId="AllowPageBreak">
    <w:name w:val="AllowPageBreak"/>
    <w:rsid w:val="002F52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204"/>
    <w:pPr>
      <w:tabs>
        <w:tab w:val="left" w:pos="680"/>
      </w:tabs>
      <w:spacing w:before="60" w:after="60"/>
      <w:ind w:left="680" w:hanging="340"/>
    </w:pPr>
  </w:style>
  <w:style w:type="character" w:customStyle="1" w:styleId="BoldandItalics">
    <w:name w:val="Bold and Italics"/>
    <w:qFormat/>
    <w:rsid w:val="002F5204"/>
    <w:rPr>
      <w:b/>
      <w:i/>
      <w:u w:val="none"/>
    </w:rPr>
  </w:style>
  <w:style w:type="character" w:customStyle="1" w:styleId="Heading2Char">
    <w:name w:val="Heading 2 Char"/>
    <w:link w:val="Heading2"/>
    <w:rsid w:val="002F5204"/>
    <w:rPr>
      <w:rFonts w:ascii="Times New Roman" w:eastAsia="Times New Roman" w:hAnsi="Times New Roman" w:cs="Times New Roman"/>
      <w:b/>
      <w:sz w:val="28"/>
      <w:szCs w:val="40"/>
      <w:lang w:eastAsia="en-US"/>
    </w:rPr>
  </w:style>
  <w:style w:type="character" w:customStyle="1" w:styleId="Heading3Char">
    <w:name w:val="Heading 3 Char"/>
    <w:link w:val="Heading3"/>
    <w:rsid w:val="002F52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5204"/>
    <w:rPr>
      <w:rFonts w:ascii="Times New Roman" w:eastAsia="Times New Roman" w:hAnsi="Times New Roman" w:cs="Times New Roman"/>
      <w:b/>
      <w:szCs w:val="20"/>
      <w:lang w:eastAsia="en-US"/>
    </w:rPr>
  </w:style>
  <w:style w:type="character" w:customStyle="1" w:styleId="Heading5Char">
    <w:name w:val="Heading 5 Char"/>
    <w:link w:val="Heading5"/>
    <w:rsid w:val="002F52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5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2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2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204"/>
    <w:rPr>
      <w:rFonts w:ascii="Courier New" w:eastAsia="Times New Roman" w:hAnsi="Courier New" w:cs="Times New Roman"/>
      <w:i/>
      <w:szCs w:val="20"/>
      <w:lang w:val="en-US" w:eastAsia="en-US"/>
    </w:rPr>
  </w:style>
  <w:style w:type="paragraph" w:customStyle="1" w:styleId="HeadingBase">
    <w:name w:val="Heading Base"/>
    <w:rsid w:val="002F5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204"/>
    <w:pPr>
      <w:tabs>
        <w:tab w:val="right" w:leader="dot" w:pos="9072"/>
      </w:tabs>
      <w:ind w:left="567"/>
    </w:pPr>
    <w:rPr>
      <w:szCs w:val="22"/>
    </w:rPr>
  </w:style>
  <w:style w:type="paragraph" w:customStyle="1" w:styleId="TOCBase">
    <w:name w:val="TOC Base"/>
    <w:rsid w:val="002F5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204"/>
    <w:pPr>
      <w:tabs>
        <w:tab w:val="right" w:leader="dot" w:pos="9072"/>
      </w:tabs>
      <w:spacing w:before="40" w:after="40"/>
      <w:ind w:left="284"/>
    </w:pPr>
    <w:rPr>
      <w:rFonts w:ascii="Times New Roman" w:hAnsi="Times New Roman"/>
    </w:rPr>
  </w:style>
  <w:style w:type="paragraph" w:styleId="TOC1">
    <w:name w:val="toc 1"/>
    <w:basedOn w:val="TOCBase"/>
    <w:next w:val="Normal"/>
    <w:rsid w:val="002F52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204"/>
    <w:pPr>
      <w:spacing w:before="5040"/>
      <w:jc w:val="center"/>
    </w:pPr>
    <w:rPr>
      <w:sz w:val="48"/>
      <w:szCs w:val="72"/>
      <w:lang w:val="en-US"/>
    </w:rPr>
  </w:style>
  <w:style w:type="character" w:customStyle="1" w:styleId="TitleChar">
    <w:name w:val="Title Char"/>
    <w:link w:val="Title"/>
    <w:rsid w:val="002F5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204"/>
    <w:pPr>
      <w:tabs>
        <w:tab w:val="left" w:pos="3600"/>
        <w:tab w:val="left" w:pos="3958"/>
      </w:tabs>
    </w:pPr>
  </w:style>
  <w:style w:type="paragraph" w:customStyle="1" w:styleId="Note">
    <w:name w:val="Note"/>
    <w:basedOn w:val="BodyText"/>
    <w:rsid w:val="002F5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204"/>
    <w:pPr>
      <w:framePr w:wrap="auto" w:hAnchor="text" w:y="6049"/>
    </w:pPr>
    <w:rPr>
      <w:color w:val="000000"/>
      <w:sz w:val="40"/>
    </w:rPr>
  </w:style>
  <w:style w:type="paragraph" w:customStyle="1" w:styleId="TOCTitle">
    <w:name w:val="TOCTitle"/>
    <w:basedOn w:val="Heading1"/>
    <w:rsid w:val="002F5204"/>
    <w:pPr>
      <w:spacing w:after="240"/>
      <w:jc w:val="center"/>
      <w:outlineLvl w:val="9"/>
    </w:pPr>
    <w:rPr>
      <w:caps/>
    </w:rPr>
  </w:style>
  <w:style w:type="paragraph" w:customStyle="1" w:styleId="Version">
    <w:name w:val="Version"/>
    <w:rsid w:val="002F5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204"/>
    <w:pPr>
      <w:numPr>
        <w:numId w:val="13"/>
      </w:numPr>
      <w:tabs>
        <w:tab w:val="clear" w:pos="680"/>
      </w:tabs>
    </w:pPr>
  </w:style>
  <w:style w:type="paragraph" w:styleId="Index1">
    <w:name w:val="index 1"/>
    <w:basedOn w:val="Normal"/>
    <w:next w:val="Normal"/>
    <w:semiHidden/>
    <w:rsid w:val="002F5204"/>
    <w:pPr>
      <w:keepNext w:val="0"/>
      <w:tabs>
        <w:tab w:val="right" w:pos="4176"/>
      </w:tabs>
      <w:ind w:left="198" w:hanging="198"/>
    </w:pPr>
    <w:rPr>
      <w:rFonts w:ascii="Garamond" w:hAnsi="Garamond"/>
    </w:rPr>
  </w:style>
  <w:style w:type="paragraph" w:styleId="IndexHeading">
    <w:name w:val="index heading"/>
    <w:basedOn w:val="Normal"/>
    <w:next w:val="Index1"/>
    <w:semiHidden/>
    <w:rsid w:val="002F5204"/>
    <w:pPr>
      <w:spacing w:before="120" w:after="120"/>
    </w:pPr>
    <w:rPr>
      <w:rFonts w:ascii="Arial" w:hAnsi="Arial"/>
      <w:b/>
      <w:color w:val="918585"/>
      <w:sz w:val="24"/>
    </w:rPr>
  </w:style>
  <w:style w:type="paragraph" w:customStyle="1" w:styleId="Chapter">
    <w:name w:val="Chapter"/>
    <w:basedOn w:val="Normal"/>
    <w:rsid w:val="002F5204"/>
    <w:pPr>
      <w:spacing w:before="240"/>
    </w:pPr>
    <w:rPr>
      <w:rFonts w:ascii="Times New Roman" w:hAnsi="Times New Roman"/>
      <w:smallCaps/>
      <w:spacing w:val="80"/>
      <w:sz w:val="28"/>
    </w:rPr>
  </w:style>
  <w:style w:type="paragraph" w:customStyle="1" w:styleId="InChapter">
    <w:name w:val="InChapter"/>
    <w:basedOn w:val="Heading3"/>
    <w:rsid w:val="002F5204"/>
    <w:pPr>
      <w:spacing w:after="240"/>
      <w:outlineLvl w:val="9"/>
    </w:pPr>
    <w:rPr>
      <w:noProof/>
    </w:rPr>
  </w:style>
  <w:style w:type="paragraph" w:styleId="Index2">
    <w:name w:val="index 2"/>
    <w:basedOn w:val="Normal"/>
    <w:next w:val="Normal"/>
    <w:semiHidden/>
    <w:rsid w:val="002F5204"/>
    <w:pPr>
      <w:tabs>
        <w:tab w:val="right" w:pos="4176"/>
      </w:tabs>
      <w:ind w:left="568" w:hanging="284"/>
    </w:pPr>
    <w:rPr>
      <w:rFonts w:ascii="Garamond" w:hAnsi="Garamond"/>
    </w:rPr>
  </w:style>
  <w:style w:type="paragraph" w:customStyle="1" w:styleId="Byline">
    <w:name w:val="Byline"/>
    <w:rsid w:val="002F5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204"/>
    <w:pPr>
      <w:tabs>
        <w:tab w:val="clear" w:pos="3600"/>
        <w:tab w:val="clear" w:pos="3958"/>
      </w:tabs>
      <w:jc w:val="right"/>
    </w:pPr>
  </w:style>
  <w:style w:type="character" w:styleId="Emphasis">
    <w:name w:val="Emphasis"/>
    <w:qFormat/>
    <w:rsid w:val="002F5204"/>
    <w:rPr>
      <w:i/>
    </w:rPr>
  </w:style>
  <w:style w:type="paragraph" w:styleId="Caption">
    <w:name w:val="caption"/>
    <w:basedOn w:val="BodyText"/>
    <w:next w:val="Normal"/>
    <w:qFormat/>
    <w:rsid w:val="002F5204"/>
    <w:pPr>
      <w:framePr w:w="2268" w:hSpace="181" w:vSpace="181" w:wrap="around" w:vAnchor="text" w:hAnchor="page" w:x="1135" w:y="285" w:anchorLock="1"/>
    </w:pPr>
    <w:rPr>
      <w:i/>
    </w:rPr>
  </w:style>
  <w:style w:type="paragraph" w:customStyle="1" w:styleId="MiniTOCTitle">
    <w:name w:val="MiniTOCTitle"/>
    <w:basedOn w:val="Heading4"/>
    <w:rsid w:val="002F5204"/>
    <w:pPr>
      <w:spacing w:before="240"/>
      <w:outlineLvl w:val="9"/>
    </w:pPr>
    <w:rPr>
      <w:noProof/>
      <w:sz w:val="24"/>
    </w:rPr>
  </w:style>
  <w:style w:type="paragraph" w:customStyle="1" w:styleId="MiniTOCItem">
    <w:name w:val="MiniTOCItem"/>
    <w:basedOn w:val="ListBullet"/>
    <w:rsid w:val="002F5204"/>
    <w:pPr>
      <w:numPr>
        <w:numId w:val="0"/>
      </w:numPr>
      <w:tabs>
        <w:tab w:val="right" w:leader="dot" w:pos="6521"/>
      </w:tabs>
      <w:spacing w:before="0" w:after="0"/>
    </w:pPr>
  </w:style>
  <w:style w:type="paragraph" w:customStyle="1" w:styleId="TOFTitle">
    <w:name w:val="TOFTitle"/>
    <w:basedOn w:val="TOCTitle"/>
    <w:rsid w:val="002F5204"/>
  </w:style>
  <w:style w:type="paragraph" w:styleId="TableofFigures">
    <w:name w:val="table of figures"/>
    <w:basedOn w:val="Normal"/>
    <w:next w:val="Normal"/>
    <w:semiHidden/>
    <w:rsid w:val="002F5204"/>
    <w:pPr>
      <w:tabs>
        <w:tab w:val="right" w:leader="dot" w:pos="9072"/>
      </w:tabs>
      <w:ind w:left="970" w:hanging="403"/>
    </w:pPr>
    <w:rPr>
      <w:rFonts w:ascii="Times New Roman" w:hAnsi="Times New Roman"/>
      <w:b/>
    </w:rPr>
  </w:style>
  <w:style w:type="paragraph" w:styleId="ListNumber">
    <w:name w:val="List Number"/>
    <w:basedOn w:val="List"/>
    <w:rsid w:val="002F5204"/>
    <w:pPr>
      <w:numPr>
        <w:numId w:val="10"/>
      </w:numPr>
    </w:pPr>
  </w:style>
  <w:style w:type="character" w:customStyle="1" w:styleId="WingdingSymbols">
    <w:name w:val="Wingding Symbols"/>
    <w:rsid w:val="002F5204"/>
    <w:rPr>
      <w:rFonts w:ascii="Wingdings" w:hAnsi="Wingdings"/>
    </w:rPr>
  </w:style>
  <w:style w:type="paragraph" w:customStyle="1" w:styleId="TableHeading">
    <w:name w:val="Table Heading"/>
    <w:basedOn w:val="HeadingBase"/>
    <w:rsid w:val="002F5204"/>
    <w:pPr>
      <w:keepLines/>
      <w:pBdr>
        <w:bottom w:val="single" w:sz="6" w:space="1" w:color="918585"/>
      </w:pBdr>
      <w:spacing w:before="240"/>
    </w:pPr>
  </w:style>
  <w:style w:type="character" w:customStyle="1" w:styleId="HotSpot">
    <w:name w:val="HotSpot"/>
    <w:rsid w:val="002F5204"/>
    <w:rPr>
      <w:color w:val="0033CC"/>
      <w:u w:val="none"/>
    </w:rPr>
  </w:style>
  <w:style w:type="paragraph" w:customStyle="1" w:styleId="BodyTextRight">
    <w:name w:val="Body Text Right"/>
    <w:basedOn w:val="BodyText"/>
    <w:rsid w:val="002F5204"/>
    <w:pPr>
      <w:spacing w:before="0" w:after="0"/>
      <w:jc w:val="right"/>
    </w:pPr>
  </w:style>
  <w:style w:type="paragraph" w:styleId="Index3">
    <w:name w:val="index 3"/>
    <w:basedOn w:val="ListNumber2"/>
    <w:next w:val="Normal"/>
    <w:semiHidden/>
    <w:rsid w:val="002F5204"/>
    <w:pPr>
      <w:numPr>
        <w:numId w:val="0"/>
      </w:numPr>
      <w:tabs>
        <w:tab w:val="right" w:leader="dot" w:pos="4176"/>
      </w:tabs>
    </w:pPr>
  </w:style>
  <w:style w:type="paragraph" w:styleId="ListNumber2">
    <w:name w:val="List Number 2"/>
    <w:basedOn w:val="List2"/>
    <w:rsid w:val="002F5204"/>
    <w:pPr>
      <w:numPr>
        <w:numId w:val="9"/>
      </w:numPr>
      <w:tabs>
        <w:tab w:val="clear" w:pos="1060"/>
      </w:tabs>
    </w:pPr>
  </w:style>
  <w:style w:type="paragraph" w:customStyle="1" w:styleId="MarginNote">
    <w:name w:val="Margin Note"/>
    <w:basedOn w:val="BodyText"/>
    <w:rsid w:val="002F5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52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204"/>
    <w:rPr>
      <w:sz w:val="32"/>
    </w:rPr>
  </w:style>
  <w:style w:type="paragraph" w:customStyle="1" w:styleId="HeadingProcedure">
    <w:name w:val="Heading Procedure"/>
    <w:basedOn w:val="HeadingBase"/>
    <w:next w:val="Normal"/>
    <w:rsid w:val="002F5204"/>
    <w:pPr>
      <w:tabs>
        <w:tab w:val="left" w:pos="0"/>
      </w:tabs>
      <w:spacing w:before="120" w:after="60"/>
    </w:pPr>
    <w:rPr>
      <w:i/>
      <w:color w:val="918585"/>
      <w:sz w:val="22"/>
    </w:rPr>
  </w:style>
  <w:style w:type="paragraph" w:customStyle="1" w:styleId="TableBodyText">
    <w:name w:val="Table Body Text"/>
    <w:basedOn w:val="BodyText"/>
    <w:rsid w:val="002F5204"/>
    <w:pPr>
      <w:spacing w:before="60" w:after="60"/>
    </w:pPr>
  </w:style>
  <w:style w:type="paragraph" w:styleId="ListContinue">
    <w:name w:val="List Continue"/>
    <w:basedOn w:val="List"/>
    <w:rsid w:val="002F5204"/>
    <w:pPr>
      <w:ind w:firstLine="0"/>
    </w:pPr>
  </w:style>
  <w:style w:type="paragraph" w:customStyle="1" w:styleId="ListNote">
    <w:name w:val="List Note"/>
    <w:basedOn w:val="List"/>
    <w:rsid w:val="002F5204"/>
    <w:pPr>
      <w:pBdr>
        <w:top w:val="single" w:sz="6" w:space="2" w:color="918585"/>
        <w:bottom w:val="single" w:sz="6" w:space="2" w:color="918585"/>
      </w:pBdr>
      <w:tabs>
        <w:tab w:val="left" w:pos="1021"/>
      </w:tabs>
      <w:ind w:firstLine="0"/>
    </w:pPr>
  </w:style>
  <w:style w:type="paragraph" w:customStyle="1" w:styleId="Warning">
    <w:name w:val="Warning"/>
    <w:basedOn w:val="BodyText"/>
    <w:rsid w:val="002F5204"/>
    <w:pPr>
      <w:shd w:val="clear" w:color="auto" w:fill="D9D9D9"/>
      <w:tabs>
        <w:tab w:val="left" w:pos="992"/>
      </w:tabs>
      <w:ind w:left="119" w:right="119"/>
    </w:pPr>
    <w:rPr>
      <w:sz w:val="20"/>
    </w:rPr>
  </w:style>
  <w:style w:type="paragraph" w:customStyle="1" w:styleId="MarginIcons">
    <w:name w:val="Margin Icons"/>
    <w:basedOn w:val="BodyText"/>
    <w:rsid w:val="002F52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5204"/>
    <w:rPr>
      <w:rFonts w:ascii="Courier New" w:hAnsi="Courier New"/>
    </w:rPr>
  </w:style>
  <w:style w:type="paragraph" w:customStyle="1" w:styleId="NoteBullet">
    <w:name w:val="Note Bullet"/>
    <w:basedOn w:val="Note"/>
    <w:rsid w:val="002F5204"/>
    <w:pPr>
      <w:tabs>
        <w:tab w:val="clear" w:pos="680"/>
      </w:tabs>
      <w:spacing w:before="60" w:after="60"/>
    </w:pPr>
  </w:style>
  <w:style w:type="paragraph" w:customStyle="1" w:styleId="SubHeading2">
    <w:name w:val="SubHeading2"/>
    <w:basedOn w:val="HeadingBase"/>
    <w:rsid w:val="002F5204"/>
    <w:pPr>
      <w:spacing w:before="240" w:after="60"/>
    </w:pPr>
    <w:rPr>
      <w:sz w:val="20"/>
    </w:rPr>
  </w:style>
  <w:style w:type="paragraph" w:customStyle="1" w:styleId="SubHeading1">
    <w:name w:val="SubHeading1"/>
    <w:basedOn w:val="HeadingBase"/>
    <w:rsid w:val="002F5204"/>
    <w:pPr>
      <w:spacing w:before="240" w:after="60"/>
    </w:pPr>
    <w:rPr>
      <w:color w:val="918585"/>
      <w:sz w:val="22"/>
    </w:rPr>
  </w:style>
  <w:style w:type="paragraph" w:customStyle="1" w:styleId="SideHeading">
    <w:name w:val="Side Heading"/>
    <w:basedOn w:val="HeadingBase"/>
    <w:rsid w:val="002F5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204"/>
    <w:pPr>
      <w:tabs>
        <w:tab w:val="num" w:pos="360"/>
      </w:tabs>
    </w:pPr>
  </w:style>
  <w:style w:type="paragraph" w:styleId="PlainText">
    <w:name w:val="Plain Text"/>
    <w:basedOn w:val="Normal"/>
    <w:link w:val="PlainTextChar"/>
    <w:rsid w:val="002F5204"/>
    <w:rPr>
      <w:sz w:val="20"/>
    </w:rPr>
  </w:style>
  <w:style w:type="character" w:customStyle="1" w:styleId="PlainTextChar">
    <w:name w:val="Plain Text Char"/>
    <w:basedOn w:val="DefaultParagraphFont"/>
    <w:link w:val="PlainText"/>
    <w:rsid w:val="002F5204"/>
    <w:rPr>
      <w:rFonts w:ascii="Courier New" w:eastAsia="Times New Roman" w:hAnsi="Courier New" w:cs="Times New Roman"/>
      <w:sz w:val="20"/>
      <w:szCs w:val="20"/>
      <w:lang w:val="en-US" w:eastAsia="en-US"/>
    </w:rPr>
  </w:style>
  <w:style w:type="character" w:customStyle="1" w:styleId="MenuOption">
    <w:name w:val="Menu Option"/>
    <w:rsid w:val="002F5204"/>
    <w:rPr>
      <w:b/>
      <w:smallCaps/>
    </w:rPr>
  </w:style>
  <w:style w:type="paragraph" w:customStyle="1" w:styleId="TableListNumber">
    <w:name w:val="Table List Number"/>
    <w:basedOn w:val="ListNumber"/>
    <w:rsid w:val="002F5204"/>
    <w:pPr>
      <w:numPr>
        <w:numId w:val="0"/>
      </w:numPr>
    </w:pPr>
  </w:style>
  <w:style w:type="paragraph" w:styleId="TOC4">
    <w:name w:val="toc 4"/>
    <w:basedOn w:val="TOCBase"/>
    <w:next w:val="Normal"/>
    <w:semiHidden/>
    <w:rsid w:val="002F5204"/>
    <w:pPr>
      <w:tabs>
        <w:tab w:val="right" w:leader="dot" w:pos="9071"/>
      </w:tabs>
      <w:ind w:left="1701"/>
    </w:pPr>
  </w:style>
  <w:style w:type="paragraph" w:customStyle="1" w:styleId="ListAlpha">
    <w:name w:val="List Alpha"/>
    <w:basedOn w:val="List"/>
    <w:rsid w:val="002F5204"/>
    <w:pPr>
      <w:numPr>
        <w:numId w:val="8"/>
      </w:numPr>
    </w:pPr>
  </w:style>
  <w:style w:type="paragraph" w:customStyle="1" w:styleId="ListAlpha2">
    <w:name w:val="List Alpha 2"/>
    <w:basedOn w:val="List2"/>
    <w:rsid w:val="002F5204"/>
    <w:pPr>
      <w:numPr>
        <w:numId w:val="7"/>
      </w:numPr>
    </w:pPr>
  </w:style>
  <w:style w:type="paragraph" w:styleId="List3">
    <w:name w:val="List 3"/>
    <w:basedOn w:val="BodyText"/>
    <w:rsid w:val="002F5204"/>
    <w:pPr>
      <w:tabs>
        <w:tab w:val="left" w:pos="1021"/>
      </w:tabs>
      <w:spacing w:before="60" w:after="60"/>
      <w:ind w:left="1020" w:hanging="340"/>
    </w:pPr>
  </w:style>
  <w:style w:type="paragraph" w:styleId="List4">
    <w:name w:val="List 4"/>
    <w:basedOn w:val="BodyText"/>
    <w:rsid w:val="002F5204"/>
    <w:pPr>
      <w:tabs>
        <w:tab w:val="left" w:pos="1361"/>
      </w:tabs>
      <w:spacing w:before="60" w:after="60"/>
      <w:ind w:left="1361" w:hanging="340"/>
    </w:pPr>
  </w:style>
  <w:style w:type="paragraph" w:styleId="List5">
    <w:name w:val="List 5"/>
    <w:basedOn w:val="BodyText"/>
    <w:rsid w:val="002F5204"/>
    <w:pPr>
      <w:tabs>
        <w:tab w:val="left" w:pos="1701"/>
      </w:tabs>
      <w:spacing w:before="60" w:after="60"/>
      <w:ind w:left="1701" w:hanging="340"/>
    </w:pPr>
  </w:style>
  <w:style w:type="paragraph" w:styleId="ListBullet3">
    <w:name w:val="List Bullet 3"/>
    <w:basedOn w:val="List3"/>
    <w:rsid w:val="002F5204"/>
    <w:pPr>
      <w:numPr>
        <w:numId w:val="14"/>
      </w:numPr>
      <w:tabs>
        <w:tab w:val="clear" w:pos="1021"/>
      </w:tabs>
      <w:ind w:left="1037" w:hanging="357"/>
    </w:pPr>
  </w:style>
  <w:style w:type="paragraph" w:styleId="ListBullet4">
    <w:name w:val="List Bullet 4"/>
    <w:basedOn w:val="List4"/>
    <w:rsid w:val="002F5204"/>
    <w:pPr>
      <w:numPr>
        <w:numId w:val="2"/>
      </w:numPr>
    </w:pPr>
  </w:style>
  <w:style w:type="paragraph" w:styleId="ListBullet5">
    <w:name w:val="List Bullet 5"/>
    <w:basedOn w:val="List5"/>
    <w:rsid w:val="002F5204"/>
    <w:pPr>
      <w:numPr>
        <w:numId w:val="3"/>
      </w:numPr>
    </w:pPr>
  </w:style>
  <w:style w:type="paragraph" w:styleId="ListContinue2">
    <w:name w:val="List Continue 2"/>
    <w:basedOn w:val="List2"/>
    <w:rsid w:val="002F5204"/>
    <w:pPr>
      <w:ind w:firstLine="0"/>
    </w:pPr>
  </w:style>
  <w:style w:type="paragraph" w:styleId="ListContinue3">
    <w:name w:val="List Continue 3"/>
    <w:basedOn w:val="List3"/>
    <w:rsid w:val="002F5204"/>
    <w:pPr>
      <w:ind w:left="1021" w:firstLine="0"/>
    </w:pPr>
  </w:style>
  <w:style w:type="paragraph" w:styleId="ListContinue4">
    <w:name w:val="List Continue 4"/>
    <w:basedOn w:val="List4"/>
    <w:rsid w:val="002F5204"/>
    <w:pPr>
      <w:ind w:firstLine="0"/>
    </w:pPr>
  </w:style>
  <w:style w:type="paragraph" w:styleId="ListContinue5">
    <w:name w:val="List Continue 5"/>
    <w:basedOn w:val="List5"/>
    <w:rsid w:val="002F5204"/>
    <w:pPr>
      <w:ind w:firstLine="0"/>
    </w:pPr>
  </w:style>
  <w:style w:type="paragraph" w:styleId="ListNumber3">
    <w:name w:val="List Number 3"/>
    <w:basedOn w:val="List3"/>
    <w:rsid w:val="002F5204"/>
    <w:pPr>
      <w:numPr>
        <w:numId w:val="4"/>
      </w:numPr>
    </w:pPr>
  </w:style>
  <w:style w:type="paragraph" w:styleId="ListNumber4">
    <w:name w:val="List Number 4"/>
    <w:basedOn w:val="List4"/>
    <w:rsid w:val="002F5204"/>
    <w:pPr>
      <w:numPr>
        <w:numId w:val="5"/>
      </w:numPr>
    </w:pPr>
  </w:style>
  <w:style w:type="paragraph" w:styleId="ListNumber5">
    <w:name w:val="List Number 5"/>
    <w:basedOn w:val="List5"/>
    <w:rsid w:val="002F5204"/>
    <w:pPr>
      <w:numPr>
        <w:numId w:val="6"/>
      </w:numPr>
    </w:pPr>
  </w:style>
  <w:style w:type="paragraph" w:styleId="BlockText">
    <w:name w:val="Block Text"/>
    <w:basedOn w:val="Normal"/>
    <w:rsid w:val="002F5204"/>
    <w:pPr>
      <w:spacing w:after="120"/>
      <w:ind w:left="1440" w:right="1440"/>
    </w:pPr>
  </w:style>
  <w:style w:type="character" w:customStyle="1" w:styleId="Subscript">
    <w:name w:val="Subscript"/>
    <w:rsid w:val="002F5204"/>
    <w:rPr>
      <w:sz w:val="16"/>
      <w:vertAlign w:val="subscript"/>
    </w:rPr>
  </w:style>
  <w:style w:type="character" w:customStyle="1" w:styleId="Superscript">
    <w:name w:val="Superscript"/>
    <w:rsid w:val="002F5204"/>
    <w:rPr>
      <w:sz w:val="16"/>
      <w:vertAlign w:val="superscript"/>
    </w:rPr>
  </w:style>
  <w:style w:type="character" w:customStyle="1" w:styleId="Symbols">
    <w:name w:val="Symbols"/>
    <w:rsid w:val="002F5204"/>
    <w:rPr>
      <w:rFonts w:ascii="Symbol" w:hAnsi="Symbol"/>
    </w:rPr>
  </w:style>
  <w:style w:type="character" w:customStyle="1" w:styleId="MenuOptions">
    <w:name w:val="Menu Options"/>
    <w:rsid w:val="002F5204"/>
    <w:rPr>
      <w:rFonts w:ascii="Arial Narrow" w:hAnsi="Arial Narrow"/>
      <w:smallCaps/>
    </w:rPr>
  </w:style>
  <w:style w:type="character" w:customStyle="1" w:styleId="Buttons">
    <w:name w:val="Buttons"/>
    <w:rsid w:val="002F5204"/>
    <w:rPr>
      <w:b/>
    </w:rPr>
  </w:style>
  <w:style w:type="character" w:customStyle="1" w:styleId="Underlined">
    <w:name w:val="Underlined"/>
    <w:rsid w:val="002F5204"/>
    <w:rPr>
      <w:u w:val="single"/>
    </w:rPr>
  </w:style>
  <w:style w:type="paragraph" w:customStyle="1" w:styleId="TableBodyTextRight">
    <w:name w:val="Table Body Text Right"/>
    <w:basedOn w:val="TableBodyText"/>
    <w:rsid w:val="002F5204"/>
    <w:pPr>
      <w:widowControl w:val="0"/>
      <w:autoSpaceDE w:val="0"/>
      <w:autoSpaceDN w:val="0"/>
      <w:adjustRightInd w:val="0"/>
      <w:jc w:val="right"/>
    </w:pPr>
    <w:rPr>
      <w:rFonts w:cs="Arial"/>
      <w:szCs w:val="18"/>
    </w:rPr>
  </w:style>
  <w:style w:type="paragraph" w:customStyle="1" w:styleId="CopyrightText">
    <w:name w:val="Copyright Text"/>
    <w:basedOn w:val="BodyText"/>
    <w:rsid w:val="002F5204"/>
    <w:rPr>
      <w:sz w:val="18"/>
    </w:rPr>
  </w:style>
  <w:style w:type="paragraph" w:customStyle="1" w:styleId="BodySmallRight">
    <w:name w:val="Body Small Right"/>
    <w:basedOn w:val="BodyTextRight"/>
    <w:rsid w:val="002F5204"/>
    <w:rPr>
      <w:sz w:val="18"/>
      <w:szCs w:val="18"/>
    </w:rPr>
  </w:style>
  <w:style w:type="paragraph" w:customStyle="1" w:styleId="MarginEdition">
    <w:name w:val="Margin Edition"/>
    <w:basedOn w:val="MarginNote"/>
    <w:rsid w:val="002F5204"/>
    <w:pPr>
      <w:spacing w:before="0" w:after="0"/>
    </w:pPr>
    <w:rPr>
      <w:rFonts w:ascii="Times New Roman" w:hAnsi="Times New Roman"/>
      <w:color w:val="999999"/>
    </w:rPr>
  </w:style>
  <w:style w:type="paragraph" w:customStyle="1" w:styleId="Spacer">
    <w:name w:val="Spacer"/>
    <w:basedOn w:val="Normal"/>
    <w:rsid w:val="002F5204"/>
    <w:rPr>
      <w:sz w:val="2"/>
      <w:szCs w:val="2"/>
    </w:rPr>
  </w:style>
  <w:style w:type="character" w:customStyle="1" w:styleId="Small">
    <w:name w:val="Small"/>
    <w:rsid w:val="002F5204"/>
    <w:rPr>
      <w:sz w:val="16"/>
    </w:rPr>
  </w:style>
  <w:style w:type="paragraph" w:customStyle="1" w:styleId="WideTable">
    <w:name w:val="Wide Table"/>
    <w:basedOn w:val="Normal"/>
    <w:rsid w:val="002F5204"/>
    <w:pPr>
      <w:ind w:left="-1418"/>
    </w:pPr>
    <w:rPr>
      <w:sz w:val="2"/>
      <w:szCs w:val="2"/>
    </w:rPr>
  </w:style>
  <w:style w:type="character" w:styleId="PageNumber">
    <w:name w:val="page number"/>
    <w:rsid w:val="002F5204"/>
  </w:style>
  <w:style w:type="paragraph" w:styleId="Quote">
    <w:name w:val="Quote"/>
    <w:basedOn w:val="Heading1"/>
    <w:link w:val="QuoteChar"/>
    <w:qFormat/>
    <w:rsid w:val="002F5204"/>
    <w:rPr>
      <w:b w:val="0"/>
      <w:sz w:val="72"/>
      <w:szCs w:val="72"/>
      <w:lang w:val="en-NZ"/>
    </w:rPr>
  </w:style>
  <w:style w:type="character" w:customStyle="1" w:styleId="QuoteChar">
    <w:name w:val="Quote Char"/>
    <w:link w:val="Quote"/>
    <w:rsid w:val="002F5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204"/>
    <w:pPr>
      <w:pageBreakBefore/>
    </w:pPr>
  </w:style>
  <w:style w:type="paragraph" w:customStyle="1" w:styleId="Border">
    <w:name w:val="Border"/>
    <w:basedOn w:val="Normal"/>
    <w:qFormat/>
    <w:rsid w:val="002F5204"/>
    <w:pPr>
      <w:pBdr>
        <w:top w:val="single" w:sz="18" w:space="1" w:color="auto"/>
      </w:pBdr>
    </w:pPr>
    <w:rPr>
      <w:rFonts w:ascii="Times New Roman" w:hAnsi="Times New Roman"/>
      <w:color w:val="FFFFFF"/>
      <w:sz w:val="2"/>
    </w:rPr>
  </w:style>
  <w:style w:type="character" w:styleId="IntenseEmphasis">
    <w:name w:val="Intense Emphasis"/>
    <w:uiPriority w:val="21"/>
    <w:qFormat/>
    <w:rsid w:val="002F5204"/>
    <w:rPr>
      <w:b/>
      <w:bCs/>
      <w:i/>
      <w:iCs/>
      <w:color w:val="auto"/>
    </w:rPr>
  </w:style>
  <w:style w:type="paragraph" w:styleId="IntenseQuote">
    <w:name w:val="Intense Quote"/>
    <w:basedOn w:val="Normal"/>
    <w:next w:val="Normal"/>
    <w:link w:val="IntenseQuoteChar"/>
    <w:uiPriority w:val="30"/>
    <w:qFormat/>
    <w:rsid w:val="002F52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5204"/>
    <w:rPr>
      <w:rFonts w:ascii="Courier New" w:eastAsia="Times New Roman" w:hAnsi="Courier New" w:cs="Times New Roman"/>
      <w:b/>
      <w:bCs/>
      <w:i/>
      <w:iCs/>
      <w:szCs w:val="20"/>
      <w:lang w:val="en-US" w:eastAsia="en-US"/>
    </w:rPr>
  </w:style>
  <w:style w:type="character" w:styleId="SubtleReference">
    <w:name w:val="Subtle Reference"/>
    <w:uiPriority w:val="31"/>
    <w:qFormat/>
    <w:rsid w:val="002F5204"/>
    <w:rPr>
      <w:smallCaps/>
      <w:color w:val="auto"/>
      <w:u w:val="single"/>
    </w:rPr>
  </w:style>
  <w:style w:type="character" w:styleId="IntenseReference">
    <w:name w:val="Intense Reference"/>
    <w:uiPriority w:val="32"/>
    <w:qFormat/>
    <w:rsid w:val="002F5204"/>
    <w:rPr>
      <w:b/>
      <w:bCs/>
      <w:smallCaps/>
      <w:color w:val="auto"/>
      <w:spacing w:val="5"/>
      <w:u w:val="single"/>
    </w:rPr>
  </w:style>
  <w:style w:type="paragraph" w:customStyle="1" w:styleId="2ColumnHeading">
    <w:name w:val="2Column Heading"/>
    <w:basedOn w:val="BodyText"/>
    <w:qFormat/>
    <w:rsid w:val="002F5204"/>
    <w:pPr>
      <w:spacing w:after="60"/>
      <w:ind w:left="-2268"/>
    </w:pPr>
    <w:rPr>
      <w:b/>
    </w:rPr>
  </w:style>
  <w:style w:type="paragraph" w:customStyle="1" w:styleId="Heading1TOC">
    <w:name w:val="Heading1 TOC"/>
    <w:basedOn w:val="Normal"/>
    <w:qFormat/>
    <w:rsid w:val="002F5204"/>
    <w:pPr>
      <w:spacing w:before="240" w:after="120"/>
    </w:pPr>
    <w:rPr>
      <w:rFonts w:ascii="Times New Roman" w:hAnsi="Times New Roman"/>
      <w:b/>
      <w:sz w:val="32"/>
    </w:rPr>
  </w:style>
  <w:style w:type="paragraph" w:customStyle="1" w:styleId="Heading2TOC">
    <w:name w:val="Heading2 TOC"/>
    <w:basedOn w:val="Normal"/>
    <w:qFormat/>
    <w:rsid w:val="002F5204"/>
    <w:pPr>
      <w:spacing w:before="240" w:after="60"/>
    </w:pPr>
    <w:rPr>
      <w:rFonts w:ascii="Times New Roman" w:hAnsi="Times New Roman"/>
      <w:b/>
      <w:sz w:val="28"/>
    </w:rPr>
  </w:style>
  <w:style w:type="character" w:customStyle="1" w:styleId="Underline">
    <w:name w:val="Underline"/>
    <w:qFormat/>
    <w:rsid w:val="002F5204"/>
    <w:rPr>
      <w:u w:val="single"/>
    </w:rPr>
  </w:style>
  <w:style w:type="paragraph" w:styleId="BalloonText">
    <w:name w:val="Balloon Text"/>
    <w:basedOn w:val="Normal"/>
    <w:link w:val="BalloonTextChar"/>
    <w:rsid w:val="002F5204"/>
    <w:rPr>
      <w:rFonts w:ascii="Tahoma" w:hAnsi="Tahoma" w:cs="Tahoma"/>
      <w:sz w:val="16"/>
      <w:szCs w:val="16"/>
    </w:rPr>
  </w:style>
  <w:style w:type="character" w:customStyle="1" w:styleId="BalloonTextChar">
    <w:name w:val="Balloon Text Char"/>
    <w:link w:val="BalloonText"/>
    <w:rsid w:val="002F52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2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52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1342</Words>
  <Characters>8470</Characters>
  <Application>Microsoft Office Word</Application>
  <DocSecurity>0</DocSecurity>
  <Lines>329</Lines>
  <Paragraphs>160</Paragraphs>
  <ScaleCrop>false</ScaleCrop>
  <Company>Author-it Software Corporation Ltd.</Company>
  <LinksUpToDate>false</LinksUpToDate>
  <CharactersWithSpaces>9731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ICAB5063B Monitor and support data conversion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2012-05-27T00:47:00Z</dcterms:created>
  <dcterms:modified xsi:type="dcterms:W3CDTF">2012-05-27T00:47:00Z</dcterms:modified>
</cp:coreProperties>
</file>