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9E5" w:rsidP="003559E5">
      <w:pPr>
        <w:pStyle w:val="Title"/>
      </w:pPr>
      <w:r>
        <w:fldChar w:fldCharType="begin"/>
      </w:r>
      <w:r>
        <w:instrText xml:space="preserve"> TITLE   \* MERGEFORMAT </w:instrText>
      </w:r>
      <w:r>
        <w:fldChar w:fldCharType="separate"/>
      </w:r>
      <w:r>
        <w:t>HLTSTE308C Care for surgical instruments</w:t>
      </w:r>
      <w:r>
        <w:fldChar w:fldCharType="end"/>
      </w:r>
    </w:p>
    <w:p w:rsidR="003559E5" w:rsidP="003559E5">
      <w:pPr>
        <w:pStyle w:val="Version"/>
        <w:sectPr w:rsidSect="00DE1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65C" w:rsidP="00DE165C">
      <w:pPr>
        <w:pStyle w:val="SuperHeading"/>
      </w:pPr>
      <w:r w:rsidRPr="00DE165C">
        <w:t>HLTSTE308C Care for surgical instruments</w:t>
      </w:r>
    </w:p>
    <w:p w:rsidR="00000000" w:rsidRPr="00DE165C" w:rsidP="00DE165C">
      <w:pPr>
        <w:pStyle w:val="Heading1"/>
      </w:pPr>
      <w:bookmarkStart w:id="1" w:name="O_429835"/>
      <w:bookmarkEnd w:id="1"/>
      <w:r w:rsidRPr="00DE165C">
        <w:t>Modification History</w:t>
      </w:r>
    </w:p>
    <w:tbl>
      <w:tblPr>
        <w:tblW w:w="0" w:type="auto"/>
        <w:tblCellMar>
          <w:left w:w="62" w:type="dxa"/>
          <w:right w:w="62" w:type="dxa"/>
        </w:tblCellMar>
        <w:tblLook w:val="0000"/>
      </w:tblPr>
      <w:tblGrid>
        <w:gridCol w:w="1532"/>
        <w:gridCol w:w="3580"/>
        <w:gridCol w:w="4084"/>
      </w:tblGrid>
      <w:tr w:rsidTr="003559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65C">
            <w:pPr>
              <w:pStyle w:val="BodyText"/>
              <w:rPr>
                <w:lang w:val="en-NZ"/>
              </w:rPr>
            </w:pPr>
            <w:r w:rsidRPr="00DE165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65C">
            <w:pPr>
              <w:pStyle w:val="BodyText"/>
              <w:rPr>
                <w:lang w:val="en-NZ"/>
              </w:rPr>
            </w:pPr>
            <w:r w:rsidRPr="00DE165C">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65C">
            <w:pPr>
              <w:pStyle w:val="BodyText"/>
              <w:rPr>
                <w:lang w:val="en-NZ"/>
              </w:rPr>
            </w:pPr>
            <w:r w:rsidRPr="00DE165C">
              <w:t xml:space="preserve">Comments </w:t>
            </w:r>
          </w:p>
        </w:tc>
      </w:tr>
      <w:tr w:rsidTr="003559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65C">
            <w:pPr>
              <w:pStyle w:val="BodyText"/>
              <w:rPr>
                <w:lang w:val="en-NZ"/>
              </w:rPr>
            </w:pPr>
            <w:r w:rsidRPr="00DE165C">
              <w:t>HLTSTE308B Care for surgical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65C">
            <w:pPr>
              <w:pStyle w:val="BodyText"/>
              <w:rPr>
                <w:lang w:val="en-NZ"/>
              </w:rPr>
            </w:pPr>
            <w:r w:rsidRPr="00DE165C">
              <w:t>HLTSTE308C - Care for surgical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165C" w:rsidP="00DE165C">
            <w:pPr>
              <w:pStyle w:val="BodyText"/>
            </w:pPr>
            <w:r w:rsidRPr="00DE165C">
              <w:t>Unit updated in V5.</w:t>
            </w:r>
          </w:p>
          <w:p w:rsidR="00000000" w:rsidRPr="00DE165C" w:rsidP="00DE165C">
            <w:pPr>
              <w:pStyle w:val="BodyText"/>
            </w:pPr>
            <w:r w:rsidRPr="00DE165C">
              <w:t>ISC upgrade changes to remove references to old OHS legislation and replace with references to new WHS legislation. No change to competency outcome.</w:t>
            </w:r>
          </w:p>
        </w:tc>
      </w:tr>
    </w:tbl>
    <w:p w:rsidR="003559E5" w:rsidP="00DE165C">
      <w:pPr>
        <w:pStyle w:val="BodyText"/>
      </w:pPr>
    </w:p>
    <w:p w:rsidR="003559E5" w:rsidP="00DE165C">
      <w:pPr>
        <w:pStyle w:val="BodyText"/>
      </w:pPr>
    </w:p>
    <w:p w:rsidR="00000000" w:rsidRPr="00DE165C" w:rsidP="00DE165C">
      <w:pPr>
        <w:pStyle w:val="Heading1"/>
      </w:pPr>
      <w:bookmarkStart w:id="2" w:name="O_429833"/>
      <w:bookmarkEnd w:id="2"/>
      <w:r w:rsidRPr="00DE165C">
        <w:t>Unit Descriptor</w:t>
      </w:r>
    </w:p>
    <w:tbl>
      <w:tblPr>
        <w:tblW w:w="0" w:type="auto"/>
        <w:tblLayout w:type="fixed"/>
        <w:tblCellMar>
          <w:left w:w="62" w:type="dxa"/>
          <w:right w:w="62" w:type="dxa"/>
        </w:tblCellMar>
        <w:tblLook w:val="0000"/>
      </w:tblPr>
      <w:tblGrid>
        <w:gridCol w:w="3336"/>
        <w:gridCol w:w="5220"/>
      </w:tblGrid>
      <w:tr w:rsidTr="003559E5">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This unit of competency describes the skills and knowledge r</w:t>
            </w:r>
            <w:r w:rsidRPr="00DE165C">
              <w:t>equired to care for surgical instruments following relevant standards, guidelines, policies and procedures and manufacturer's instructions</w:t>
            </w:r>
          </w:p>
        </w:tc>
      </w:tr>
    </w:tbl>
    <w:p w:rsidR="003559E5" w:rsidP="00DE165C">
      <w:pPr>
        <w:pStyle w:val="BodyText"/>
      </w:pPr>
    </w:p>
    <w:p w:rsidR="003559E5" w:rsidP="00DE165C">
      <w:pPr>
        <w:pStyle w:val="BodyText"/>
      </w:pPr>
    </w:p>
    <w:p w:rsidR="00000000" w:rsidRPr="00DE165C" w:rsidP="00DE165C">
      <w:pPr>
        <w:pStyle w:val="Heading1"/>
      </w:pPr>
      <w:bookmarkStart w:id="3" w:name="O_429823"/>
      <w:bookmarkEnd w:id="3"/>
      <w:r w:rsidRPr="00DE165C">
        <w:t>Application of the Unit</w:t>
      </w:r>
    </w:p>
    <w:tbl>
      <w:tblPr>
        <w:tblW w:w="0" w:type="auto"/>
        <w:tblLayout w:type="fixed"/>
        <w:tblCellMar>
          <w:left w:w="62" w:type="dxa"/>
          <w:right w:w="62" w:type="dxa"/>
        </w:tblCellMar>
        <w:tblLook w:val="0000"/>
      </w:tblPr>
      <w:tblGrid>
        <w:gridCol w:w="3350"/>
        <w:gridCol w:w="5206"/>
      </w:tblGrid>
      <w:tr w:rsidTr="003559E5">
        <w:tblPrEx>
          <w:tblW w:w="0" w:type="auto"/>
          <w:tblLayout w:type="fixed"/>
          <w:tblCellMar>
            <w:left w:w="62" w:type="dxa"/>
            <w:right w:w="62" w:type="dxa"/>
          </w:tblCellMar>
          <w:tblLook w:val="0000"/>
        </w:tblPrEx>
        <w:tc>
          <w:tcPr>
            <w:tcW w:w="335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The application of knowledge and skills described in this competency unit could take place in a range of health settings, including hospitals, specialist sterilisation facilities and day surgery units</w:t>
            </w:r>
          </w:p>
          <w:p w:rsidR="00000000" w:rsidRPr="00DE165C" w:rsidP="00DE165C">
            <w:pPr>
              <w:pStyle w:val="BodyText"/>
            </w:pPr>
            <w:r w:rsidRPr="00DE165C">
              <w:t>The application of knowledge and skills takes place aro</w:t>
            </w:r>
            <w:r w:rsidRPr="00DE165C">
              <w:t>und standards, guidelines, policies and procedures and under the supervision of a qualified person</w:t>
            </w:r>
          </w:p>
        </w:tc>
      </w:tr>
    </w:tbl>
    <w:p w:rsidR="003559E5" w:rsidP="00DE165C">
      <w:pPr>
        <w:pStyle w:val="BodyText"/>
      </w:pPr>
    </w:p>
    <w:p w:rsidR="003559E5" w:rsidP="00DE165C">
      <w:pPr>
        <w:pStyle w:val="BodyText"/>
      </w:pPr>
    </w:p>
    <w:p w:rsidR="00000000" w:rsidRPr="00DE165C" w:rsidP="00DE165C">
      <w:pPr>
        <w:pStyle w:val="Heading1"/>
      </w:pPr>
      <w:bookmarkStart w:id="4" w:name="O_429829"/>
      <w:bookmarkEnd w:id="4"/>
      <w:r w:rsidRPr="00DE165C">
        <w:t>Licensing/Regulatory Information</w:t>
      </w:r>
    </w:p>
    <w:p w:rsidR="00000000" w:rsidRPr="00DE165C" w:rsidP="00DE165C">
      <w:pPr>
        <w:pStyle w:val="BodyText"/>
      </w:pPr>
      <w:r w:rsidRPr="00DE165C">
        <w:t>Not Applicable</w:t>
      </w:r>
    </w:p>
    <w:p w:rsidR="00000000" w:rsidRPr="00DE165C" w:rsidP="00DE165C">
      <w:pPr>
        <w:pStyle w:val="AllowPageBreak"/>
      </w:pPr>
    </w:p>
    <w:p w:rsidR="00000000" w:rsidRPr="00DE165C" w:rsidP="00DE165C">
      <w:pPr>
        <w:pStyle w:val="Heading1"/>
      </w:pPr>
      <w:bookmarkStart w:id="5" w:name="O_429830"/>
      <w:bookmarkEnd w:id="5"/>
      <w:r w:rsidRPr="00DE165C">
        <w:t>Pre-Requisites</w:t>
      </w:r>
    </w:p>
    <w:tbl>
      <w:tblPr>
        <w:tblW w:w="0" w:type="auto"/>
        <w:tblLayout w:type="fixed"/>
        <w:tblCellMar>
          <w:left w:w="62" w:type="dxa"/>
          <w:right w:w="62" w:type="dxa"/>
        </w:tblCellMar>
        <w:tblLook w:val="0000"/>
      </w:tblPr>
      <w:tblGrid>
        <w:gridCol w:w="3215"/>
        <w:gridCol w:w="5341"/>
      </w:tblGrid>
      <w:tr w:rsidTr="003559E5">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SpecialBold"/>
              </w:rPr>
              <w:t>Pre-requisite unit</w:t>
            </w:r>
          </w:p>
        </w:tc>
        <w:tc>
          <w:tcPr>
            <w:tcW w:w="5341"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This unit must be assessed after successful achievement of pre-requisite:</w:t>
            </w:r>
          </w:p>
          <w:p w:rsidR="00000000" w:rsidRPr="00DE165C" w:rsidP="00DE165C">
            <w:pPr>
              <w:pStyle w:val="ListBullet"/>
            </w:pPr>
            <w:r w:rsidRPr="00DE165C">
              <w:t>HLTSTE301D Clean reusable medical equipment</w:t>
            </w:r>
          </w:p>
        </w:tc>
      </w:tr>
    </w:tbl>
    <w:p w:rsidR="003559E5" w:rsidP="00DE165C">
      <w:pPr>
        <w:pStyle w:val="BodyText"/>
      </w:pPr>
    </w:p>
    <w:p w:rsidR="003559E5" w:rsidP="00DE165C">
      <w:pPr>
        <w:pStyle w:val="BodyText"/>
      </w:pPr>
    </w:p>
    <w:p w:rsidR="00000000" w:rsidRPr="00DE165C" w:rsidP="00DE165C">
      <w:pPr>
        <w:pStyle w:val="Heading1"/>
      </w:pPr>
      <w:bookmarkStart w:id="6" w:name="O_429826"/>
      <w:bookmarkEnd w:id="6"/>
      <w:r w:rsidRPr="00DE165C">
        <w:t>Employability Skills Information</w:t>
      </w:r>
    </w:p>
    <w:tbl>
      <w:tblPr>
        <w:tblW w:w="0" w:type="auto"/>
        <w:tblLayout w:type="fixed"/>
        <w:tblCellMar>
          <w:left w:w="62" w:type="dxa"/>
          <w:right w:w="62" w:type="dxa"/>
        </w:tblCellMar>
        <w:tblLook w:val="0000"/>
      </w:tblPr>
      <w:tblGrid>
        <w:gridCol w:w="3320"/>
        <w:gridCol w:w="5236"/>
      </w:tblGrid>
      <w:tr w:rsidTr="003559E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This unit contains Employability Skills</w:t>
            </w:r>
          </w:p>
        </w:tc>
      </w:tr>
    </w:tbl>
    <w:p w:rsidR="003559E5" w:rsidP="00DE165C">
      <w:pPr>
        <w:pStyle w:val="BodyText"/>
      </w:pPr>
    </w:p>
    <w:p w:rsidR="003559E5" w:rsidP="00DE165C">
      <w:pPr>
        <w:pStyle w:val="BodyText"/>
      </w:pPr>
    </w:p>
    <w:p w:rsidR="00000000" w:rsidRPr="00DE165C" w:rsidP="00DE165C">
      <w:pPr>
        <w:pStyle w:val="Heading1"/>
      </w:pPr>
      <w:bookmarkStart w:id="7" w:name="O_429825"/>
      <w:bookmarkEnd w:id="7"/>
      <w:r w:rsidRPr="00DE165C">
        <w:t>Elements and Performance Criteria Pre-Content</w:t>
      </w:r>
    </w:p>
    <w:tbl>
      <w:tblPr>
        <w:tblW w:w="0" w:type="auto"/>
        <w:tblLayout w:type="fixed"/>
        <w:tblCellMar>
          <w:left w:w="62" w:type="dxa"/>
          <w:right w:w="62" w:type="dxa"/>
        </w:tblCellMar>
        <w:tblLook w:val="0000"/>
      </w:tblPr>
      <w:tblGrid>
        <w:gridCol w:w="3369"/>
        <w:gridCol w:w="5702"/>
      </w:tblGrid>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The Performance Criteria specify the level of performance required to demonstrate achievement of the Element. Terms in italics are elaborated in t</w:t>
            </w:r>
            <w:r w:rsidRPr="00DE165C">
              <w:t xml:space="preserve">he Range Statement. </w:t>
            </w:r>
          </w:p>
        </w:tc>
      </w:tr>
    </w:tbl>
    <w:p w:rsidR="00000000" w:rsidRPr="00DE165C" w:rsidP="00DE165C">
      <w:pPr>
        <w:pStyle w:val="BodyText"/>
      </w:pPr>
    </w:p>
    <w:p w:rsidR="00000000" w:rsidRPr="00DE165C" w:rsidP="00DE165C">
      <w:pPr>
        <w:pStyle w:val="AllowPageBreak"/>
      </w:pPr>
    </w:p>
    <w:p w:rsidR="00000000" w:rsidRPr="00DE165C" w:rsidP="00DE165C">
      <w:pPr>
        <w:pStyle w:val="Heading1"/>
      </w:pPr>
      <w:bookmarkStart w:id="8" w:name="O_429824"/>
      <w:bookmarkEnd w:id="8"/>
      <w:r w:rsidRPr="00DE165C">
        <w:t>Elements and Performance Criteria</w:t>
      </w:r>
    </w:p>
    <w:tbl>
      <w:tblPr>
        <w:tblW w:w="0" w:type="auto"/>
        <w:tblLayout w:type="fixed"/>
        <w:tblCellMar>
          <w:left w:w="62" w:type="dxa"/>
          <w:right w:w="62" w:type="dxa"/>
        </w:tblCellMar>
        <w:tblLook w:val="0000"/>
      </w:tblPr>
      <w:tblGrid>
        <w:gridCol w:w="3369"/>
        <w:gridCol w:w="5702"/>
      </w:tblGrid>
      <w:tr w:rsidTr="003559E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SpecialBold"/>
              </w:rPr>
              <w:t>PERFORMANCE CRITERIA</w:t>
            </w:r>
          </w:p>
        </w:tc>
      </w:tr>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165C">
            <w:pPr>
              <w:pStyle w:val="List"/>
              <w:rPr>
                <w:lang w:val="en-NZ"/>
              </w:rPr>
            </w:pPr>
            <w:r w:rsidRPr="00DE165C">
              <w:t>1.</w:t>
            </w:r>
            <w:r w:rsidRPr="00DE165C">
              <w:tab/>
              <w:t>Identify cleaning requirements of a range of surgical instruments</w:t>
            </w:r>
          </w:p>
        </w:tc>
        <w:tc>
          <w:tcPr>
            <w:tcW w:w="5702"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1.1</w:t>
            </w:r>
            <w:r w:rsidRPr="00DE165C">
              <w:tab/>
            </w:r>
            <w:r w:rsidRPr="00DE165C">
              <w:t>Select cleaning process appropriate to each surgical instrument in line with relevant legislative requirements and following manufacturer's recommendations</w:t>
            </w:r>
          </w:p>
          <w:p w:rsidR="00000000" w:rsidRPr="00DE165C" w:rsidP="00DE165C">
            <w:pPr>
              <w:pStyle w:val="BodyText"/>
            </w:pPr>
            <w:r w:rsidRPr="00DE165C">
              <w:t>1.2</w:t>
            </w:r>
            <w:r w:rsidRPr="00DE165C">
              <w:tab/>
              <w:t xml:space="preserve">Take into account the composition and manufacturing process of </w:t>
            </w:r>
            <w:r w:rsidRPr="00DE165C">
              <w:rPr>
                <w:rStyle w:val="Emphasis"/>
              </w:rPr>
              <w:t>surgical instruments</w:t>
            </w:r>
          </w:p>
          <w:p w:rsidR="00000000" w:rsidRPr="00DE165C" w:rsidP="00DE165C">
            <w:pPr>
              <w:pStyle w:val="BodyText"/>
            </w:pPr>
            <w:r w:rsidRPr="00DE165C">
              <w:t>1.3</w:t>
            </w:r>
            <w:r w:rsidRPr="00DE165C">
              <w:tab/>
              <w:t>Take int</w:t>
            </w:r>
            <w:r w:rsidRPr="00DE165C">
              <w:t>o account the risk of galvanic corrosion, factors that cause pitting and corrosion and the effect of treatment for the various metal surfaces</w:t>
            </w:r>
          </w:p>
          <w:p w:rsidR="00000000" w:rsidRPr="00DE165C" w:rsidP="00DE165C">
            <w:pPr>
              <w:pStyle w:val="BodyText"/>
            </w:pPr>
            <w:r w:rsidRPr="00DE165C">
              <w:t>1.4</w:t>
            </w:r>
            <w:r w:rsidRPr="00DE165C">
              <w:tab/>
              <w:t xml:space="preserve">Identify surfaces requiring remedial processes </w:t>
            </w:r>
          </w:p>
          <w:p w:rsidR="00000000" w:rsidRPr="00DE165C" w:rsidP="00DE165C">
            <w:pPr>
              <w:pStyle w:val="BodyText"/>
            </w:pPr>
            <w:r w:rsidRPr="00DE165C">
              <w:t>1.5</w:t>
            </w:r>
            <w:r w:rsidRPr="00DE165C">
              <w:tab/>
              <w:t>Identify faulty medical devices and report in line with re</w:t>
            </w:r>
            <w:r w:rsidRPr="00DE165C">
              <w:t xml:space="preserve">levant requirements, policies and procedures </w:t>
            </w:r>
          </w:p>
          <w:p w:rsidR="00000000" w:rsidRPr="00DE165C" w:rsidP="00DE165C">
            <w:pPr>
              <w:pStyle w:val="BodyText"/>
            </w:pPr>
            <w:r w:rsidRPr="00DE165C">
              <w:t>1.6</w:t>
            </w:r>
            <w:r w:rsidRPr="00DE165C">
              <w:tab/>
              <w:t>Work with an understanding of the risk to clients and corrosion risk of debris retained on instruments with textured surfaces</w:t>
            </w:r>
          </w:p>
          <w:p w:rsidR="00000000" w:rsidP="00DE165C">
            <w:pPr>
              <w:pStyle w:val="BodyText"/>
              <w:rPr>
                <w:lang w:val="en-NZ"/>
              </w:rPr>
            </w:pPr>
            <w:r w:rsidRPr="00DE165C">
              <w:t>1.7</w:t>
            </w:r>
            <w:r w:rsidRPr="00DE165C">
              <w:tab/>
              <w:t xml:space="preserve">Identify items requiring </w:t>
            </w:r>
            <w:r w:rsidRPr="00DE165C">
              <w:rPr>
                <w:rStyle w:val="Emphasis"/>
              </w:rPr>
              <w:t>insulation testing</w:t>
            </w:r>
          </w:p>
        </w:tc>
      </w:tr>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165C">
            <w:pPr>
              <w:pStyle w:val="List"/>
              <w:rPr>
                <w:lang w:val="en-NZ"/>
              </w:rPr>
            </w:pPr>
            <w:r w:rsidRPr="00DE165C">
              <w:t>2.</w:t>
            </w:r>
            <w:r w:rsidRPr="00DE165C">
              <w:tab/>
              <w:t xml:space="preserve">Prepare for </w:t>
            </w:r>
            <w:r w:rsidRPr="00DE165C">
              <w:rPr>
                <w:rStyle w:val="Emphasis"/>
              </w:rPr>
              <w:t>cleaning</w:t>
            </w:r>
            <w:r w:rsidRPr="00DE165C">
              <w:t xml:space="preserve"> of a</w:t>
            </w:r>
            <w:r w:rsidRPr="00DE165C">
              <w:t xml:space="preserve"> range of surgical instruments</w:t>
            </w:r>
          </w:p>
        </w:tc>
        <w:tc>
          <w:tcPr>
            <w:tcW w:w="5702"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2.1</w:t>
            </w:r>
            <w:r w:rsidRPr="00DE165C">
              <w:tab/>
              <w:t>Prepare general surgical instruments for cleaning in line with current Australian/New Zealand Standards and associated guidelines</w:t>
            </w:r>
          </w:p>
          <w:p w:rsidR="00000000" w:rsidRPr="00DE165C" w:rsidP="00DE165C">
            <w:pPr>
              <w:pStyle w:val="BodyText"/>
            </w:pPr>
            <w:r w:rsidRPr="00DE165C">
              <w:t>2.2</w:t>
            </w:r>
            <w:r w:rsidRPr="00DE165C">
              <w:tab/>
            </w:r>
            <w:r w:rsidRPr="00DE165C">
              <w:rPr>
                <w:rStyle w:val="Emphasis"/>
              </w:rPr>
              <w:t>Disassemble instruments for cleaning</w:t>
            </w:r>
            <w:r w:rsidRPr="00DE165C">
              <w:t xml:space="preserve"> as required in line with manufacturer's and organisation guidelines and using correct dismantling techniques</w:t>
            </w:r>
          </w:p>
          <w:p w:rsidR="00000000" w:rsidRPr="00DE165C" w:rsidP="00DE165C">
            <w:pPr>
              <w:pStyle w:val="BodyText"/>
            </w:pPr>
            <w:r w:rsidRPr="00DE165C">
              <w:t>2.3</w:t>
            </w:r>
            <w:r w:rsidRPr="00DE165C">
              <w:tab/>
              <w:t xml:space="preserve">Select enzymatic detergents to soak instruments as required in line with manufacturer's instructions </w:t>
            </w:r>
          </w:p>
          <w:p w:rsidR="00000000" w:rsidRPr="00DE165C" w:rsidP="00DE165C">
            <w:pPr>
              <w:pStyle w:val="BodyText"/>
            </w:pPr>
            <w:r w:rsidRPr="00DE165C">
              <w:t>2.4</w:t>
            </w:r>
            <w:r w:rsidRPr="00DE165C">
              <w:tab/>
              <w:t>Follow safe work practices to conduc</w:t>
            </w:r>
            <w:r w:rsidRPr="00DE165C">
              <w:t xml:space="preserve">t insulation testing as required </w:t>
            </w:r>
          </w:p>
          <w:p w:rsidR="00000000" w:rsidRPr="00DE165C" w:rsidP="00DE165C">
            <w:pPr>
              <w:pStyle w:val="BodyText"/>
            </w:pPr>
            <w:r w:rsidRPr="00DE165C">
              <w:t>2.5</w:t>
            </w:r>
            <w:r w:rsidRPr="00DE165C">
              <w:tab/>
              <w:t>Follow organisation guidelines, Australia/New Zealand Standards and manufacturer's instructions when receiving, disassembling and cleaning instruments on loan</w:t>
            </w:r>
          </w:p>
          <w:p w:rsidR="00000000" w:rsidP="00DE165C">
            <w:pPr>
              <w:pStyle w:val="BodyText"/>
              <w:rPr>
                <w:lang w:val="en-NZ"/>
              </w:rPr>
            </w:pPr>
            <w:r w:rsidRPr="00DE165C">
              <w:t>2.6</w:t>
            </w:r>
            <w:r w:rsidRPr="00DE165C">
              <w:tab/>
              <w:t>Identify and differentiate between re-usable and single</w:t>
            </w:r>
            <w:r w:rsidRPr="00DE165C">
              <w:t xml:space="preserve"> use items such as diathermy loops in order to process only reusables</w:t>
            </w:r>
          </w:p>
        </w:tc>
      </w:tr>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165C">
            <w:pPr>
              <w:pStyle w:val="List"/>
              <w:rPr>
                <w:lang w:val="en-NZ"/>
              </w:rPr>
            </w:pPr>
            <w:r w:rsidRPr="00DE165C">
              <w:t>3.</w:t>
            </w:r>
            <w:r w:rsidRPr="00DE165C">
              <w:tab/>
              <w:t>Apply cleaning processes to a range of surgical instruments</w:t>
            </w:r>
          </w:p>
        </w:tc>
        <w:tc>
          <w:tcPr>
            <w:tcW w:w="5702"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3.1</w:t>
            </w:r>
            <w:r w:rsidRPr="00DE165C">
              <w:tab/>
              <w:t>Address particular requirements of a range of general surgical instruments</w:t>
            </w:r>
          </w:p>
          <w:p w:rsidR="00000000" w:rsidRPr="00DE165C" w:rsidP="00DE165C">
            <w:pPr>
              <w:pStyle w:val="BodyText"/>
            </w:pPr>
            <w:r w:rsidRPr="00DE165C">
              <w:t>3.2</w:t>
            </w:r>
            <w:r w:rsidRPr="00DE165C">
              <w:tab/>
              <w:t>Soak instruments as required and rin</w:t>
            </w:r>
            <w:r w:rsidRPr="00DE165C">
              <w:t>se off gross debris in line with manufacturer's instructions for effective and safe use of enzymatic detergents</w:t>
            </w:r>
          </w:p>
          <w:p w:rsidR="00000000" w:rsidRPr="00DE165C" w:rsidP="00DE165C">
            <w:pPr>
              <w:pStyle w:val="BodyText"/>
            </w:pPr>
            <w:r w:rsidRPr="00DE165C">
              <w:t>3.3</w:t>
            </w:r>
            <w:r w:rsidRPr="00DE165C">
              <w:tab/>
              <w:t xml:space="preserve">Brush </w:t>
            </w:r>
            <w:r w:rsidRPr="00DE165C">
              <w:rPr>
                <w:rStyle w:val="Emphasis"/>
              </w:rPr>
              <w:t>instruments with textured surfaces</w:t>
            </w:r>
            <w:r w:rsidRPr="00DE165C">
              <w:t xml:space="preserve"> in the direction against the design to remove the debris effectively and in line with safety requir</w:t>
            </w:r>
            <w:r w:rsidRPr="00DE165C">
              <w:t>ements</w:t>
            </w:r>
          </w:p>
          <w:p w:rsidR="00000000" w:rsidRPr="00DE165C" w:rsidP="00DE165C">
            <w:pPr>
              <w:pStyle w:val="BodyText"/>
            </w:pPr>
            <w:r w:rsidRPr="00DE165C">
              <w:t>3.4</w:t>
            </w:r>
            <w:r w:rsidRPr="00DE165C">
              <w:tab/>
              <w:t xml:space="preserve">Address </w:t>
            </w:r>
            <w:r w:rsidRPr="00DE165C">
              <w:rPr>
                <w:rStyle w:val="Emphasis"/>
              </w:rPr>
              <w:t>requirements of instruments with tightly coiled structures</w:t>
            </w:r>
            <w:r w:rsidRPr="00DE165C">
              <w:t xml:space="preserve"> such as flexible reamers </w:t>
            </w:r>
          </w:p>
          <w:p w:rsidR="00000000" w:rsidRPr="00DE165C" w:rsidP="00DE165C">
            <w:pPr>
              <w:pStyle w:val="BodyText"/>
            </w:pPr>
            <w:r w:rsidRPr="00DE165C">
              <w:t>3.5</w:t>
            </w:r>
            <w:r w:rsidRPr="00DE165C">
              <w:tab/>
              <w:t>Flush instruments with tightly coiled structures with high pressured water and brush the cannulations, attaching to the ultrasonic's flushing mechan</w:t>
            </w:r>
            <w:r w:rsidRPr="00DE165C">
              <w:t>ism ensuring that flexion opens the coil as much as possible</w:t>
            </w:r>
          </w:p>
          <w:p w:rsidR="00000000" w:rsidRPr="00DE165C" w:rsidP="00DE165C">
            <w:pPr>
              <w:pStyle w:val="BodyText"/>
            </w:pPr>
            <w:r w:rsidRPr="00DE165C">
              <w:t>3.6</w:t>
            </w:r>
            <w:r w:rsidRPr="00DE165C">
              <w:tab/>
              <w:t>Check for retained debris by safely flushing with high pressure water and high pressure air</w:t>
            </w:r>
          </w:p>
          <w:p w:rsidR="00000000" w:rsidRPr="00DE165C" w:rsidP="00DE165C">
            <w:pPr>
              <w:pStyle w:val="BodyText"/>
            </w:pPr>
            <w:r w:rsidRPr="00DE165C">
              <w:t>3.7</w:t>
            </w:r>
            <w:r w:rsidRPr="00DE165C">
              <w:tab/>
              <w:t>Safely process fine, delicate items, brushing gently with a suitable brush to remove adherent s</w:t>
            </w:r>
            <w:r w:rsidRPr="00DE165C">
              <w:t>oil</w:t>
            </w:r>
          </w:p>
          <w:p w:rsidR="00000000" w:rsidP="00DE165C">
            <w:pPr>
              <w:pStyle w:val="BodyText"/>
              <w:rPr>
                <w:lang w:val="en-NZ"/>
              </w:rPr>
            </w:pPr>
            <w:r w:rsidRPr="00DE165C">
              <w:t>3.8</w:t>
            </w:r>
            <w:r w:rsidRPr="00DE165C">
              <w:tab/>
              <w:t>Follow guidelines for safe and correct processing of instruments with specific processing requirements</w:t>
            </w:r>
          </w:p>
        </w:tc>
      </w:tr>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165C">
            <w:pPr>
              <w:pStyle w:val="List"/>
              <w:rPr>
                <w:lang w:val="en-NZ"/>
              </w:rPr>
            </w:pPr>
            <w:r w:rsidRPr="00DE165C">
              <w:t>4.</w:t>
            </w:r>
            <w:r w:rsidRPr="00DE165C">
              <w:tab/>
              <w:t>Check quality of cleaning of surgical instruments</w:t>
            </w:r>
          </w:p>
        </w:tc>
        <w:tc>
          <w:tcPr>
            <w:tcW w:w="5702"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t>4.1</w:t>
            </w:r>
            <w:r w:rsidRPr="00DE165C">
              <w:tab/>
              <w:t>Inspect instruments during and after processing in line with identified requirements</w:t>
            </w:r>
          </w:p>
          <w:p w:rsidR="00000000" w:rsidRPr="00DE165C" w:rsidP="00DE165C">
            <w:pPr>
              <w:pStyle w:val="BodyText"/>
            </w:pPr>
            <w:r w:rsidRPr="00DE165C">
              <w:t>4.2</w:t>
            </w:r>
            <w:r w:rsidRPr="00DE165C">
              <w:tab/>
              <w:t>Inspect instruments with textured surfaces for retained debris under lighted magnification</w:t>
            </w:r>
          </w:p>
          <w:p w:rsidR="00000000" w:rsidRPr="00DE165C" w:rsidP="00DE165C">
            <w:pPr>
              <w:pStyle w:val="BodyText"/>
            </w:pPr>
            <w:r w:rsidRPr="00DE165C">
              <w:t>4.3</w:t>
            </w:r>
            <w:r w:rsidRPr="00DE165C">
              <w:tab/>
              <w:t>Inspect instruments for completeness and working function</w:t>
            </w:r>
          </w:p>
          <w:p w:rsidR="00000000" w:rsidRPr="00DE165C" w:rsidP="00DE165C">
            <w:pPr>
              <w:pStyle w:val="BodyText"/>
            </w:pPr>
            <w:r w:rsidRPr="00DE165C">
              <w:t>4.4</w:t>
            </w:r>
            <w:r w:rsidRPr="00DE165C">
              <w:tab/>
              <w:t>Identify faults in the cleaning process and address in line with scope of own work role</w:t>
            </w:r>
          </w:p>
        </w:tc>
      </w:tr>
    </w:tbl>
    <w:p w:rsidR="003559E5" w:rsidP="00DE165C">
      <w:pPr>
        <w:pStyle w:val="BodyText"/>
      </w:pPr>
    </w:p>
    <w:p w:rsidR="003559E5" w:rsidP="00DE165C">
      <w:pPr>
        <w:pStyle w:val="BodyText"/>
      </w:pPr>
    </w:p>
    <w:p w:rsidR="00000000" w:rsidRPr="00DE165C" w:rsidP="00DE165C">
      <w:pPr>
        <w:pStyle w:val="Heading1"/>
      </w:pPr>
      <w:bookmarkStart w:id="9" w:name="O_429832"/>
      <w:bookmarkEnd w:id="9"/>
      <w:r w:rsidRPr="00DE165C">
        <w:t>Required Skills and Knowledge</w:t>
      </w:r>
    </w:p>
    <w:tbl>
      <w:tblPr>
        <w:tblW w:w="0" w:type="auto"/>
        <w:tblLayout w:type="fixed"/>
        <w:tblCellMar>
          <w:left w:w="62" w:type="dxa"/>
          <w:right w:w="62" w:type="dxa"/>
        </w:tblCellMar>
        <w:tblLook w:val="0000"/>
      </w:tblPr>
      <w:tblGrid>
        <w:gridCol w:w="9072"/>
      </w:tblGrid>
      <w:tr w:rsidTr="003559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rPr>
                <w:rStyle w:val="Emphasis"/>
              </w:rPr>
              <w:t>Essential knowledge</w:t>
            </w:r>
            <w:r w:rsidRPr="00DE165C">
              <w:t>:</w:t>
            </w:r>
          </w:p>
          <w:p w:rsidR="00000000" w:rsidRPr="00DE165C" w:rsidP="00DE165C">
            <w:pPr>
              <w:pStyle w:val="BodyText"/>
            </w:pPr>
            <w:r w:rsidRPr="00DE165C">
              <w:t>The candidate must be able to demonstrate essential knowledge required to effectively do the task outlined in elements and performance criteria of this unit, manage the task and manage conti</w:t>
            </w:r>
            <w:r w:rsidRPr="00DE165C">
              <w:t>ngencies in the context of the identified work role</w:t>
            </w:r>
          </w:p>
          <w:p w:rsidR="00000000" w:rsidRPr="00DE165C" w:rsidP="00DE165C">
            <w:pPr>
              <w:pStyle w:val="BodyText"/>
            </w:pPr>
            <w:r w:rsidRPr="00DE165C">
              <w:t>This includes knowledge of:</w:t>
            </w:r>
          </w:p>
          <w:p w:rsidR="00000000" w:rsidRPr="00DE165C" w:rsidP="00DE165C">
            <w:pPr>
              <w:pStyle w:val="ListBullet"/>
            </w:pPr>
            <w:r w:rsidRPr="00DE165C">
              <w:t>Composition and manufacturing process of surgical instruments and how these impact on the correct use and selection of cleaning process eg various grades of stainless steel an</w:t>
            </w:r>
            <w:r w:rsidRPr="00DE165C">
              <w:t>d properties of martensitic steel</w:t>
            </w:r>
          </w:p>
          <w:p w:rsidR="00000000" w:rsidRPr="00DE165C" w:rsidP="00DE165C">
            <w:pPr>
              <w:pStyle w:val="ListBullet"/>
            </w:pPr>
            <w:r w:rsidRPr="00DE165C">
              <w:t>Detergency action and standard precautions procedures</w:t>
            </w:r>
          </w:p>
          <w:p w:rsidR="00000000" w:rsidRPr="00DE165C" w:rsidP="00DE165C">
            <w:pPr>
              <w:pStyle w:val="ListBullet"/>
            </w:pPr>
            <w:r w:rsidRPr="00DE165C">
              <w:t>Enterprise code of practice</w:t>
            </w:r>
          </w:p>
          <w:p w:rsidR="00000000" w:rsidRPr="00DE165C" w:rsidP="00DE165C">
            <w:pPr>
              <w:pStyle w:val="ListBullet"/>
            </w:pPr>
            <w:r w:rsidRPr="00DE165C">
              <w:t>General categories of instruments and associated cleaning requirements</w:t>
            </w:r>
          </w:p>
          <w:p w:rsidR="00000000" w:rsidRPr="00DE165C" w:rsidP="00DE165C">
            <w:pPr>
              <w:pStyle w:val="ListBullet"/>
            </w:pPr>
            <w:r w:rsidRPr="00DE165C">
              <w:t>Impact on client care of defective insulation being used on surgical equipment</w:t>
            </w:r>
          </w:p>
          <w:p w:rsidR="00000000" w:rsidRPr="00DE165C" w:rsidP="00DE165C">
            <w:pPr>
              <w:pStyle w:val="ListBullet"/>
            </w:pPr>
            <w:r w:rsidRPr="00DE165C">
              <w:t>Relevant legislation for selection and reprocessing of reusable medical devices</w:t>
            </w:r>
          </w:p>
          <w:p w:rsidR="00000000" w:rsidRPr="00DE165C" w:rsidP="00DE165C">
            <w:pPr>
              <w:pStyle w:val="ListBullet"/>
            </w:pPr>
            <w:r w:rsidRPr="00DE165C">
              <w:t>Reporting requirements and mechanisms for faulty medical devices</w:t>
            </w:r>
          </w:p>
          <w:p w:rsidR="00000000" w:rsidRPr="00DE165C" w:rsidP="00DE165C">
            <w:pPr>
              <w:pStyle w:val="ListBullet"/>
            </w:pPr>
            <w:r w:rsidRPr="00DE165C">
              <w:t>Standards, including AS/NZS 4187</w:t>
            </w:r>
            <w:r w:rsidRPr="00DE165C">
              <w:t xml:space="preserve">, AS/NZS 4815,  </w:t>
            </w:r>
            <w:r w:rsidRPr="00DE165C">
              <w:rPr>
                <w:rStyle w:val="Emphasis"/>
              </w:rPr>
              <w:t>Therapeutic Goods Amendment</w:t>
            </w:r>
            <w:r w:rsidRPr="00DE165C">
              <w:t xml:space="preserve"> (</w:t>
            </w:r>
            <w:r w:rsidRPr="00DE165C">
              <w:rPr>
                <w:rStyle w:val="Emphasis"/>
              </w:rPr>
              <w:t>Medical Devices</w:t>
            </w:r>
            <w:r w:rsidRPr="00DE165C">
              <w:t xml:space="preserve">) </w:t>
            </w:r>
            <w:r w:rsidRPr="00DE165C">
              <w:rPr>
                <w:rStyle w:val="Emphasis"/>
              </w:rPr>
              <w:t>Bill 2002</w:t>
            </w:r>
            <w:r w:rsidRPr="00DE165C">
              <w:t xml:space="preserve"> and the </w:t>
            </w:r>
            <w:r w:rsidRPr="00DE165C">
              <w:rPr>
                <w:rStyle w:val="Emphasis"/>
              </w:rPr>
              <w:t>Therapeutic Goods</w:t>
            </w:r>
            <w:r w:rsidRPr="00DE165C">
              <w:t xml:space="preserve"> (</w:t>
            </w:r>
            <w:r w:rsidRPr="00DE165C">
              <w:rPr>
                <w:rStyle w:val="Emphasis"/>
              </w:rPr>
              <w:t>Medical Devices</w:t>
            </w:r>
            <w:r w:rsidRPr="00DE165C">
              <w:t xml:space="preserve">) </w:t>
            </w:r>
            <w:r w:rsidRPr="00DE165C">
              <w:rPr>
                <w:rStyle w:val="Emphasis"/>
              </w:rPr>
              <w:t>Regulations 2002</w:t>
            </w:r>
            <w:r w:rsidRPr="00DE165C">
              <w:t xml:space="preserve"> Relevant state/territory guidelines for sterilising services, NCCTG (2004) Reducing Public Health Risks Associated With Reu</w:t>
            </w:r>
            <w:r w:rsidRPr="00DE165C">
              <w:t>sable Medical Devices</w:t>
            </w:r>
          </w:p>
          <w:p w:rsidR="00000000" w:rsidP="00DE165C">
            <w:pPr>
              <w:pStyle w:val="ListBullet"/>
              <w:rPr>
                <w:lang w:val="en-NZ"/>
              </w:rPr>
            </w:pPr>
            <w:r w:rsidRPr="00DE165C">
              <w:t>The importance of cleaning and inspection as a contribution to client safety</w:t>
            </w:r>
          </w:p>
        </w:tc>
      </w:tr>
      <w:tr w:rsidTr="003559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165C" w:rsidP="00DE165C">
            <w:pPr>
              <w:pStyle w:val="BodyText"/>
            </w:pPr>
            <w:r w:rsidRPr="00DE165C">
              <w:rPr>
                <w:rStyle w:val="Emphasis"/>
              </w:rPr>
              <w:t>Essential skills</w:t>
            </w:r>
            <w:r w:rsidRPr="00DE165C">
              <w:t>:</w:t>
            </w:r>
          </w:p>
          <w:p w:rsidR="00000000" w:rsidRPr="00DE165C" w:rsidP="00DE165C">
            <w:pPr>
              <w:pStyle w:val="BodyText"/>
            </w:pPr>
            <w:r w:rsidRPr="00DE165C">
              <w:t>It is critical that the candidate demonstrate the ability to:</w:t>
            </w:r>
          </w:p>
          <w:p w:rsidR="00000000" w:rsidRPr="00DE165C" w:rsidP="00DE165C">
            <w:pPr>
              <w:pStyle w:val="ListBullet"/>
            </w:pPr>
            <w:r w:rsidRPr="00DE165C">
              <w:t xml:space="preserve">Accurately complete all documentation </w:t>
            </w:r>
          </w:p>
          <w:p w:rsidR="00000000" w:rsidRPr="00DE165C" w:rsidP="00DE165C">
            <w:pPr>
              <w:pStyle w:val="ListBullet"/>
            </w:pPr>
            <w:r w:rsidRPr="00DE165C">
              <w:t>Address relevant WHS, infection co</w:t>
            </w:r>
            <w:r w:rsidRPr="00DE165C">
              <w:t>ntrol and risk management requirements</w:t>
            </w:r>
          </w:p>
          <w:p w:rsidR="00000000" w:rsidRPr="00DE165C" w:rsidP="00DE165C">
            <w:pPr>
              <w:pStyle w:val="ListBullet"/>
            </w:pPr>
            <w:r w:rsidRPr="00DE165C">
              <w:t>Comply with relevant Australian /New Zealand standards and associated guidelines</w:t>
            </w:r>
          </w:p>
          <w:p w:rsidR="00000000" w:rsidRPr="00DE165C" w:rsidP="00DE165C">
            <w:pPr>
              <w:pStyle w:val="ListBullet"/>
            </w:pPr>
            <w:r w:rsidRPr="00DE165C">
              <w:t>Demonstrate consistency of performance over a number of trials</w:t>
            </w:r>
          </w:p>
          <w:p w:rsidR="00000000" w:rsidRPr="00DE165C" w:rsidP="00DE165C">
            <w:pPr>
              <w:pStyle w:val="BodyText"/>
            </w:pPr>
          </w:p>
          <w:p w:rsidR="00000000" w:rsidRPr="00DE165C" w:rsidP="00DE165C">
            <w:pPr>
              <w:pStyle w:val="BodyText"/>
            </w:pPr>
            <w:r w:rsidRPr="00DE165C">
              <w:t>In addition, the candidate must be able to effectively do the task outlined in elements and performance criteria of this unit, manage the task and manage contingencies in the context of the identified work role</w:t>
            </w:r>
          </w:p>
          <w:p w:rsidR="00000000" w:rsidRPr="00DE165C" w:rsidP="00DE165C">
            <w:pPr>
              <w:pStyle w:val="BodyText"/>
            </w:pPr>
            <w:r w:rsidRPr="00DE165C">
              <w:t>This includes the ability to:</w:t>
            </w:r>
          </w:p>
          <w:p w:rsidR="00000000" w:rsidRPr="00DE165C" w:rsidP="00DE165C">
            <w:pPr>
              <w:pStyle w:val="ListBullet"/>
            </w:pPr>
            <w:r w:rsidRPr="00DE165C">
              <w:t>Apply cleaning</w:t>
            </w:r>
            <w:r w:rsidRPr="00DE165C">
              <w:t xml:space="preserve"> processes</w:t>
            </w:r>
          </w:p>
          <w:p w:rsidR="00000000" w:rsidRPr="00DE165C" w:rsidP="00DE165C">
            <w:pPr>
              <w:pStyle w:val="ListBullet"/>
            </w:pPr>
            <w:r w:rsidRPr="00DE165C">
              <w:t>Apply problem solving skills - to use available resources</w:t>
            </w:r>
          </w:p>
          <w:p w:rsidR="00000000" w:rsidRPr="00DE165C" w:rsidP="00DE165C">
            <w:pPr>
              <w:pStyle w:val="ListBullet"/>
            </w:pPr>
            <w:r w:rsidRPr="00DE165C">
              <w:t xml:space="preserve">Follow manufacturer's recommendations, the </w:t>
            </w:r>
            <w:r w:rsidRPr="00DE165C">
              <w:rPr>
                <w:rStyle w:val="Emphasis"/>
              </w:rPr>
              <w:t>Therapeutic Goods Amendment</w:t>
            </w:r>
            <w:r w:rsidRPr="00DE165C">
              <w:t xml:space="preserve"> (</w:t>
            </w:r>
            <w:r w:rsidRPr="00DE165C">
              <w:rPr>
                <w:rStyle w:val="Emphasis"/>
              </w:rPr>
              <w:t>Medical Devices</w:t>
            </w:r>
            <w:r w:rsidRPr="00DE165C">
              <w:t xml:space="preserve">) </w:t>
            </w:r>
            <w:r w:rsidRPr="00DE165C">
              <w:rPr>
                <w:rStyle w:val="Emphasis"/>
              </w:rPr>
              <w:t>Bill 2002</w:t>
            </w:r>
            <w:r w:rsidRPr="00DE165C">
              <w:t xml:space="preserve"> and the </w:t>
            </w:r>
            <w:r w:rsidRPr="00DE165C">
              <w:rPr>
                <w:rStyle w:val="Emphasis"/>
              </w:rPr>
              <w:t>Therapeutic Goods</w:t>
            </w:r>
            <w:r w:rsidRPr="00DE165C">
              <w:t xml:space="preserve"> (</w:t>
            </w:r>
            <w:r w:rsidRPr="00DE165C">
              <w:rPr>
                <w:rStyle w:val="Emphasis"/>
              </w:rPr>
              <w:t>Medical Devices</w:t>
            </w:r>
            <w:r w:rsidRPr="00DE165C">
              <w:t xml:space="preserve">) </w:t>
            </w:r>
            <w:r w:rsidRPr="00DE165C">
              <w:rPr>
                <w:rStyle w:val="Emphasis"/>
              </w:rPr>
              <w:t>Regulations 2002</w:t>
            </w:r>
            <w:r w:rsidRPr="00DE165C">
              <w:t xml:space="preserve"> for care of surgical instruments</w:t>
            </w:r>
          </w:p>
          <w:p w:rsidR="00000000" w:rsidRPr="00DE165C" w:rsidP="00DE165C">
            <w:pPr>
              <w:pStyle w:val="ListBullet"/>
            </w:pPr>
            <w:r w:rsidRPr="00DE165C">
              <w:t>Follow manufacturer's, professional and organisation policies and procedures</w:t>
            </w:r>
          </w:p>
          <w:p w:rsidR="00000000" w:rsidRPr="00DE165C" w:rsidP="00DE165C">
            <w:pPr>
              <w:pStyle w:val="ListBullet"/>
            </w:pPr>
            <w:r w:rsidRPr="00DE165C">
              <w:t xml:space="preserve">Identify general and specialist surgical instruments </w:t>
            </w:r>
          </w:p>
          <w:p w:rsidR="00000000" w:rsidRPr="00DE165C" w:rsidP="00DE165C">
            <w:pPr>
              <w:pStyle w:val="ListBullet"/>
            </w:pPr>
            <w:r w:rsidRPr="00DE165C">
              <w:t xml:space="preserve">Identify items requiring insulation testing </w:t>
            </w:r>
          </w:p>
          <w:p w:rsidR="00000000" w:rsidRPr="00DE165C" w:rsidP="00DE165C">
            <w:pPr>
              <w:pStyle w:val="ListBullet"/>
            </w:pPr>
            <w:r w:rsidRPr="00DE165C">
              <w:t>Select and use personal protection equipment</w:t>
            </w:r>
          </w:p>
          <w:p w:rsidR="00000000" w:rsidRPr="00DE165C" w:rsidP="00DE165C">
            <w:pPr>
              <w:pStyle w:val="ListBullet"/>
            </w:pPr>
            <w:r w:rsidRPr="00DE165C">
              <w:t>T</w:t>
            </w:r>
            <w:r w:rsidRPr="00DE165C">
              <w:t>ake into account opportunities to address waste minimisation, environmental responsibility and sustainable practice issues, including appropriate practices to ensure efficient use of resources</w:t>
            </w:r>
          </w:p>
          <w:p w:rsidR="00000000" w:rsidRPr="00DE165C" w:rsidP="00DE165C">
            <w:pPr>
              <w:pStyle w:val="ListBullet"/>
            </w:pPr>
            <w:r w:rsidRPr="00DE165C">
              <w:t>Use literacy, numeracy and oral communication skills required t</w:t>
            </w:r>
            <w:r w:rsidRPr="00DE165C">
              <w:t>o fulfil the position in a safe manner as specified by the health care facility</w:t>
            </w:r>
          </w:p>
        </w:tc>
      </w:tr>
    </w:tbl>
    <w:p w:rsidR="003559E5" w:rsidP="00DE165C">
      <w:pPr>
        <w:pStyle w:val="BodyText"/>
      </w:pPr>
    </w:p>
    <w:p w:rsidR="003559E5" w:rsidP="00DE165C">
      <w:pPr>
        <w:pStyle w:val="BodyText"/>
      </w:pPr>
    </w:p>
    <w:p w:rsidR="00000000" w:rsidRPr="00DE165C" w:rsidP="00DE165C">
      <w:pPr>
        <w:pStyle w:val="Heading1"/>
      </w:pPr>
      <w:bookmarkStart w:id="10" w:name="O_429827"/>
      <w:bookmarkEnd w:id="10"/>
      <w:r w:rsidRPr="00DE165C">
        <w:t>Evidence Guide</w:t>
      </w:r>
    </w:p>
    <w:tbl>
      <w:tblPr>
        <w:tblW w:w="0" w:type="auto"/>
        <w:tblLayout w:type="fixed"/>
        <w:tblCellMar>
          <w:left w:w="62" w:type="dxa"/>
          <w:right w:w="62" w:type="dxa"/>
        </w:tblCellMar>
        <w:tblLook w:val="0000"/>
      </w:tblPr>
      <w:tblGrid>
        <w:gridCol w:w="3402"/>
        <w:gridCol w:w="5670"/>
      </w:tblGrid>
      <w:tr w:rsidTr="003559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SpecialBold"/>
              </w:rPr>
              <w:t>EVIDENCE GUIDE</w:t>
            </w:r>
          </w:p>
        </w:tc>
      </w:tr>
      <w:tr w:rsidTr="003559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t>The evidence guide provides advice on assessment and must be read in conjunction with the Performance Criteria, Required Skills and Knowledge, the Range Statement and the Assessment Guidelines for this Training Package.</w:t>
            </w:r>
          </w:p>
        </w:tc>
      </w:tr>
      <w:tr w:rsidTr="003559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Critical aspects for assessment</w:t>
            </w:r>
            <w:r w:rsidRPr="00DE165C">
              <w:rPr>
                <w:rStyle w:val="Emphasis"/>
              </w:rPr>
              <w:t xml:space="preserve"> and evidence required to demonstrate this competency unit</w:t>
            </w:r>
            <w:r w:rsidRPr="00DE165C">
              <w:t xml:space="preserve">: </w:t>
            </w:r>
            <w:r w:rsidRPr="00DE165C">
              <w:br/>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The individual being assessed must provide evidence of specified essential knowledge as well as skills</w:t>
            </w:r>
          </w:p>
          <w:p w:rsidR="00000000" w:rsidRPr="00DE165C" w:rsidP="00DE165C">
            <w:pPr>
              <w:pStyle w:val="ListBullet"/>
            </w:pPr>
            <w:r w:rsidRPr="00DE165C">
              <w:t>Where, for reasons of safety, space, or access to equipment and resources, assessment take</w:t>
            </w:r>
            <w:r w:rsidRPr="00DE165C">
              <w:t>s place away from the workplace, the assessment environment should represent workplace conditions as closely as possible</w:t>
            </w:r>
          </w:p>
          <w:p w:rsidR="00000000" w:rsidP="00DE165C">
            <w:pPr>
              <w:pStyle w:val="ListBullet"/>
              <w:rPr>
                <w:lang w:val="en-NZ"/>
              </w:rPr>
            </w:pPr>
            <w:r w:rsidRPr="00DE165C">
              <w:t>Consistency of performance should be demonstrated over the required range of situations relevant to the workplace</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Context of and specific resources for assessment</w:t>
            </w:r>
            <w:r w:rsidRPr="00DE165C">
              <w:t xml:space="preserve">: </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Assessment should replicate workplace conditions as far as possible</w:t>
            </w:r>
          </w:p>
          <w:p w:rsidR="00000000" w:rsidRPr="00DE165C" w:rsidP="00DE165C">
            <w:pPr>
              <w:pStyle w:val="ListBullet"/>
            </w:pPr>
            <w:r w:rsidRPr="00DE165C">
              <w:t xml:space="preserve">Simulations may be used to represent workplace conditions as closely as possible </w:t>
            </w:r>
          </w:p>
          <w:p w:rsidR="00000000" w:rsidRPr="00DE165C" w:rsidP="00DE165C">
            <w:pPr>
              <w:pStyle w:val="ListBullet"/>
            </w:pPr>
            <w:r w:rsidRPr="00DE165C">
              <w:t>Resources essential for assessment include access to:</w:t>
            </w:r>
          </w:p>
          <w:p w:rsidR="00000000" w:rsidRPr="00DE165C" w:rsidP="00DE165C">
            <w:pPr>
              <w:pStyle w:val="ListBullet2"/>
            </w:pPr>
            <w:r w:rsidRPr="00DE165C">
              <w:t>relevant workplace or appropriately simulated environment where assessment can take place</w:t>
            </w:r>
          </w:p>
          <w:p w:rsidR="00000000" w:rsidP="00DE165C">
            <w:pPr>
              <w:pStyle w:val="ListBullet2"/>
              <w:rPr>
                <w:lang w:val="en-NZ"/>
              </w:rPr>
            </w:pPr>
            <w:r w:rsidRPr="00DE165C">
              <w:t>Australian Standards, government and organisation policies and procedures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Access and equity considerations</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All workers in the health industry should be aware of access and equity issues in relation to their own area of work</w:t>
            </w:r>
          </w:p>
          <w:p w:rsidR="00000000" w:rsidRPr="00DE165C" w:rsidP="00DE165C">
            <w:pPr>
              <w:pStyle w:val="ListBullet"/>
            </w:pPr>
            <w:r w:rsidRPr="00DE165C">
              <w:t xml:space="preserve">All workers should develop their ability to work in a culturally diverse environment </w:t>
            </w:r>
          </w:p>
          <w:p w:rsidR="00000000" w:rsidRPr="00DE165C" w:rsidP="00DE165C">
            <w:pPr>
              <w:pStyle w:val="ListBullet"/>
            </w:pPr>
            <w:r w:rsidRPr="00DE165C">
              <w:t>In recognition of particular health issues facing Aboriginal and Torres Strait Islander communities, workers should be aware of cultural, historical and current issues impacting on health of Aboriginal and Torres Strait Islander people</w:t>
            </w:r>
          </w:p>
          <w:p w:rsidR="00000000" w:rsidP="00DE165C">
            <w:pPr>
              <w:pStyle w:val="ListBullet"/>
              <w:rPr>
                <w:lang w:val="en-NZ"/>
              </w:rPr>
            </w:pPr>
            <w:r w:rsidRPr="00DE165C">
              <w:t>Assessors and traine</w:t>
            </w:r>
            <w:r w:rsidRPr="00DE165C">
              <w:t>rs must take into account relevant access and equity issues, in particular relating to factors impacting on health of Aboriginal and/or Torres Strait Islander clients and communities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BodyText"/>
            </w:pPr>
          </w:p>
        </w:tc>
      </w:tr>
    </w:tbl>
    <w:p w:rsidR="003559E5" w:rsidP="00DE165C">
      <w:pPr>
        <w:pStyle w:val="BodyText"/>
      </w:pPr>
    </w:p>
    <w:p w:rsidR="003559E5" w:rsidP="00DE165C">
      <w:pPr>
        <w:pStyle w:val="BodyText"/>
      </w:pPr>
    </w:p>
    <w:p w:rsidR="00000000" w:rsidRPr="00DE165C" w:rsidP="00DE165C">
      <w:pPr>
        <w:pStyle w:val="Heading1"/>
      </w:pPr>
      <w:bookmarkStart w:id="11" w:name="O_429831"/>
      <w:bookmarkEnd w:id="11"/>
      <w:r w:rsidRPr="00DE165C">
        <w:t>Range Statement</w:t>
      </w:r>
    </w:p>
    <w:tbl>
      <w:tblPr>
        <w:tblW w:w="0" w:type="auto"/>
        <w:tblLayout w:type="fixed"/>
        <w:tblCellMar>
          <w:left w:w="62" w:type="dxa"/>
          <w:right w:w="62" w:type="dxa"/>
        </w:tblCellMar>
        <w:tblLook w:val="0000"/>
      </w:tblPr>
      <w:tblGrid>
        <w:gridCol w:w="3402"/>
        <w:gridCol w:w="5670"/>
      </w:tblGrid>
      <w:tr w:rsidTr="003559E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SpecialBold"/>
              </w:rPr>
              <w:t>RANGE STATEMENT</w:t>
            </w:r>
          </w:p>
        </w:tc>
      </w:tr>
      <w:tr w:rsidTr="003559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t>The Range Statement relates to the unit of competency as a whole.  It allows for different work environments and situations that may affect performance.  Add any essential operating conditions that may be present with training and assessment depending on t</w:t>
            </w:r>
            <w:r w:rsidRPr="00DE165C">
              <w:t>he work situation, needs of the candidate, accessibility of the item, and local industry and regional contexts.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Surgical and medical instrumentation and equipment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General instruments</w:t>
            </w:r>
          </w:p>
          <w:p w:rsidR="00000000" w:rsidRPr="00DE165C" w:rsidP="00DE165C">
            <w:pPr>
              <w:pStyle w:val="ListBullet"/>
            </w:pPr>
            <w:r w:rsidRPr="00DE165C">
              <w:t>Flexible and rigid endoscopic equipment</w:t>
            </w:r>
          </w:p>
          <w:p w:rsidR="00000000" w:rsidRPr="00DE165C" w:rsidP="00DE165C">
            <w:pPr>
              <w:pStyle w:val="ListBullet"/>
            </w:pPr>
            <w:r w:rsidRPr="00DE165C">
              <w:t>Insulated instruments</w:t>
            </w:r>
          </w:p>
          <w:p w:rsidR="00000000" w:rsidRPr="00DE165C" w:rsidP="00DE165C">
            <w:pPr>
              <w:pStyle w:val="ListBullet"/>
            </w:pPr>
            <w:r w:rsidRPr="00DE165C">
              <w:t>Laparoscopic instruments</w:t>
            </w:r>
          </w:p>
          <w:p w:rsidR="00000000" w:rsidRPr="00DE165C" w:rsidP="00DE165C">
            <w:pPr>
              <w:pStyle w:val="ListBullet"/>
            </w:pPr>
            <w:r w:rsidRPr="00DE165C">
              <w:t>Microscopic instruments</w:t>
            </w:r>
          </w:p>
          <w:p w:rsidR="00000000" w:rsidRPr="00DE165C" w:rsidP="00DE165C">
            <w:pPr>
              <w:pStyle w:val="ListBullet"/>
            </w:pPr>
            <w:r w:rsidRPr="00DE165C">
              <w:t>Power tools</w:t>
            </w:r>
          </w:p>
          <w:p w:rsidR="00000000" w:rsidP="00DE165C">
            <w:pPr>
              <w:pStyle w:val="ListBullet"/>
              <w:rPr>
                <w:lang w:val="en-NZ"/>
              </w:rPr>
            </w:pPr>
            <w:r w:rsidRPr="00DE165C">
              <w:t>Fibre optic equipment</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Cleaning may involve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Disassembly</w:t>
            </w:r>
          </w:p>
          <w:p w:rsidR="00000000" w:rsidRPr="00DE165C" w:rsidP="00DE165C">
            <w:pPr>
              <w:pStyle w:val="ListBullet"/>
            </w:pPr>
            <w:r w:rsidRPr="00DE165C">
              <w:t>Solutions including:</w:t>
            </w:r>
          </w:p>
          <w:p w:rsidR="00000000" w:rsidRPr="00DE165C" w:rsidP="00DE165C">
            <w:pPr>
              <w:pStyle w:val="ListBullet2"/>
            </w:pPr>
            <w:r w:rsidRPr="00DE165C">
              <w:t>soaking</w:t>
            </w:r>
          </w:p>
          <w:p w:rsidR="00000000" w:rsidRPr="00DE165C" w:rsidP="00DE165C">
            <w:pPr>
              <w:pStyle w:val="ListBullet2"/>
            </w:pPr>
            <w:r w:rsidRPr="00DE165C">
              <w:t>enzymatic</w:t>
            </w:r>
          </w:p>
          <w:p w:rsidR="00000000" w:rsidRPr="00DE165C" w:rsidP="00DE165C">
            <w:pPr>
              <w:pStyle w:val="ListBullet2"/>
            </w:pPr>
            <w:r w:rsidRPr="00DE165C">
              <w:t>lubrication</w:t>
            </w:r>
          </w:p>
          <w:p w:rsidR="00000000" w:rsidRPr="00DE165C" w:rsidP="00DE165C">
            <w:pPr>
              <w:pStyle w:val="ListBullet2"/>
            </w:pPr>
            <w:r w:rsidRPr="00DE165C">
              <w:t>stainless steel stain remover</w:t>
            </w:r>
          </w:p>
          <w:p w:rsidR="00000000" w:rsidRPr="00DE165C" w:rsidP="00DE165C">
            <w:pPr>
              <w:pStyle w:val="ListBullet"/>
            </w:pPr>
            <w:r w:rsidRPr="00DE165C">
              <w:t>Brushing of lumen/cannulated items</w:t>
            </w:r>
          </w:p>
          <w:p w:rsidR="00000000" w:rsidRPr="00DE165C" w:rsidP="00DE165C">
            <w:pPr>
              <w:pStyle w:val="ListBullet"/>
            </w:pPr>
            <w:r w:rsidRPr="00DE165C">
              <w:t>Non-immersible items</w:t>
            </w:r>
          </w:p>
          <w:p w:rsidR="00000000" w:rsidRPr="00DE165C" w:rsidP="00DE165C">
            <w:pPr>
              <w:pStyle w:val="ListBullet"/>
            </w:pPr>
            <w:r w:rsidRPr="00DE165C">
              <w:t>Complex specialised instrumentation</w:t>
            </w:r>
          </w:p>
          <w:p w:rsidR="00000000" w:rsidRPr="00DE165C" w:rsidP="00DE165C">
            <w:pPr>
              <w:pStyle w:val="ListBullet"/>
            </w:pPr>
            <w:r w:rsidRPr="00DE165C">
              <w:t>Leak testing of flexible endoscope</w:t>
            </w:r>
          </w:p>
          <w:p w:rsidR="00000000" w:rsidP="00DE165C">
            <w:pPr>
              <w:pStyle w:val="ListBullet"/>
              <w:rPr>
                <w:lang w:val="en-NZ"/>
              </w:rPr>
            </w:pPr>
            <w:r w:rsidRPr="00DE165C">
              <w:t>Mechanical lubrication</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Disassembling instruments for cleaning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Opening ratcheted instruments for processing</w:t>
            </w:r>
          </w:p>
          <w:p w:rsidR="00000000" w:rsidRPr="00DE165C" w:rsidP="00DE165C">
            <w:pPr>
              <w:pStyle w:val="ListBullet"/>
            </w:pPr>
            <w:r w:rsidRPr="00DE165C">
              <w:t>Opening taps and valves</w:t>
            </w:r>
          </w:p>
          <w:p w:rsidR="00000000" w:rsidRPr="00DE165C" w:rsidP="00DE165C">
            <w:pPr>
              <w:pStyle w:val="ListBullet"/>
            </w:pPr>
            <w:r w:rsidRPr="00DE165C">
              <w:t>Disassembling and reassembling multipart instruments and stilettes to check for correct fit and function</w:t>
            </w:r>
          </w:p>
          <w:p w:rsidR="00000000" w:rsidP="00DE165C">
            <w:pPr>
              <w:pStyle w:val="ListBullet"/>
              <w:rPr>
                <w:lang w:val="en-NZ"/>
              </w:rPr>
            </w:pPr>
            <w:r w:rsidRPr="00DE165C">
              <w:t>Using correct dismantling technique for a variety of endoscopic instruments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Particular requirements for general surgical in</w:t>
            </w:r>
            <w:r w:rsidRPr="00DE165C">
              <w:rPr>
                <w:rStyle w:val="Emphasis"/>
              </w:rPr>
              <w:t>struments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Check scissors for correct set, sharpness and barbs</w:t>
            </w:r>
          </w:p>
          <w:p w:rsidR="00000000" w:rsidRPr="00DE165C" w:rsidP="00DE165C">
            <w:pPr>
              <w:pStyle w:val="ListBullet"/>
            </w:pPr>
            <w:r w:rsidRPr="00DE165C">
              <w:t>Correctly clean, inspect and check box-jointed forceps for stiffness or wear</w:t>
            </w:r>
          </w:p>
          <w:p w:rsidR="00000000" w:rsidRPr="00DE165C" w:rsidP="00DE165C">
            <w:pPr>
              <w:pStyle w:val="ListBullet"/>
            </w:pPr>
            <w:r w:rsidRPr="00DE165C">
              <w:t>Identify and correctly clean and inspect instruments with long shafts for example cup biopsy forceps, punches and rongeurs, checking the shaft for debris</w:t>
            </w:r>
          </w:p>
          <w:p w:rsidR="00000000" w:rsidRPr="00DE165C" w:rsidP="00DE165C">
            <w:pPr>
              <w:pStyle w:val="ListBullet"/>
            </w:pPr>
            <w:r w:rsidRPr="00DE165C">
              <w:t>Identify processes required for removal of dyes/ adhesives</w:t>
            </w:r>
          </w:p>
          <w:p w:rsidR="00000000" w:rsidRPr="00DE165C" w:rsidP="00DE165C">
            <w:pPr>
              <w:pStyle w:val="ListBullet"/>
            </w:pPr>
            <w:r w:rsidRPr="00DE165C">
              <w:t>Soak instruments used for Bonny's Blue to r</w:t>
            </w:r>
            <w:r w:rsidRPr="00DE165C">
              <w:t>emove the dye</w:t>
            </w:r>
          </w:p>
          <w:p w:rsidR="00000000" w:rsidRPr="00DE165C" w:rsidP="00DE165C">
            <w:pPr>
              <w:pStyle w:val="ListBullet"/>
            </w:pPr>
            <w:r w:rsidRPr="00DE165C">
              <w:t>Identify and process blind-ended instruments such as spackmann's cannula by processes that may include soaking and flushing safely with high pressure water</w:t>
            </w:r>
          </w:p>
          <w:p w:rsidR="00000000" w:rsidRPr="00DE165C" w:rsidP="00DE165C">
            <w:pPr>
              <w:pStyle w:val="ListBullet"/>
            </w:pPr>
            <w:r w:rsidRPr="00DE165C">
              <w:t>Identify cannulated drills and process to remove impacted bone and other debris, inspe</w:t>
            </w:r>
            <w:r w:rsidRPr="00DE165C">
              <w:t>cting for cleanliness prior to packaging</w:t>
            </w:r>
          </w:p>
          <w:p w:rsidR="00000000" w:rsidRPr="00DE165C" w:rsidP="00DE165C">
            <w:pPr>
              <w:pStyle w:val="ListBullet"/>
            </w:pPr>
            <w:r w:rsidRPr="00DE165C">
              <w:t>Identify very fine suckers and process to remove wax blood and other organic debris using a variety of stillettes and brushes that touch the sides of the cannulation</w:t>
            </w:r>
          </w:p>
          <w:p w:rsidR="00000000" w:rsidP="00DE165C">
            <w:pPr>
              <w:pStyle w:val="ListBullet"/>
              <w:rPr>
                <w:lang w:val="en-NZ"/>
              </w:rPr>
            </w:pPr>
            <w:r w:rsidRPr="00DE165C">
              <w:t>Identify difficult designs, follow manufacturer's</w:t>
            </w:r>
            <w:r w:rsidRPr="00DE165C">
              <w:t xml:space="preserve"> instructions, dismantle for cleaning by brushing and flushing, and reassemble to check function for instruments such as Filshie clip applicators and Tonsil snares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Instruments with textured surfaces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Acetabula graters</w:t>
            </w:r>
          </w:p>
          <w:p w:rsidR="00000000" w:rsidRPr="00DE165C" w:rsidP="00DE165C">
            <w:pPr>
              <w:pStyle w:val="ListBullet"/>
            </w:pPr>
            <w:r w:rsidRPr="00DE165C">
              <w:t xml:space="preserve">Reamers </w:t>
            </w:r>
          </w:p>
          <w:p w:rsidR="00000000" w:rsidP="00DE165C">
            <w:pPr>
              <w:pStyle w:val="ListBullet"/>
              <w:rPr>
                <w:lang w:val="en-NZ"/>
              </w:rPr>
            </w:pPr>
            <w:r w:rsidRPr="00DE165C">
              <w:t>ENT files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Requirements of instruments with tightly coiled structures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Soak appropriate enzymatic detergents</w:t>
            </w:r>
          </w:p>
          <w:p w:rsidR="00000000" w:rsidRPr="00DE165C" w:rsidP="00DE165C">
            <w:pPr>
              <w:pStyle w:val="ListBullet"/>
            </w:pPr>
            <w:r w:rsidRPr="00DE165C">
              <w:t xml:space="preserve">Rinse off gross debris </w:t>
            </w:r>
          </w:p>
          <w:p w:rsidR="00000000" w:rsidRPr="00DE165C" w:rsidP="00DE165C">
            <w:pPr>
              <w:pStyle w:val="ListBullet"/>
            </w:pPr>
            <w:r w:rsidRPr="00DE165C">
              <w:t>Follow the manufacturer's instructions for effective and safe use of enzymatic detergents</w:t>
            </w:r>
          </w:p>
          <w:p w:rsidR="00000000" w:rsidRPr="00DE165C" w:rsidP="00DE165C">
            <w:pPr>
              <w:pStyle w:val="ListBullet"/>
            </w:pPr>
            <w:r w:rsidRPr="00DE165C">
              <w:t xml:space="preserve">Importance of soaking as soon as </w:t>
            </w:r>
            <w:r w:rsidRPr="00DE165C">
              <w:t>possible as part of pre-cleaning in the operating theatre</w:t>
            </w:r>
          </w:p>
          <w:p w:rsidR="00000000" w:rsidP="00DE165C">
            <w:pPr>
              <w:pStyle w:val="ListBullet"/>
              <w:rPr>
                <w:lang w:val="en-NZ"/>
              </w:rPr>
            </w:pPr>
            <w:r w:rsidRPr="00DE165C">
              <w:t>Value of keeping the instrument moist prior to dispatch for cleaning</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Selection and use of enzymatic detergents includes</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 xml:space="preserve">To soak instruments with soil impacted in textured surfaces </w:t>
            </w:r>
          </w:p>
          <w:p w:rsidR="00000000" w:rsidRPr="00DE165C" w:rsidP="00DE165C">
            <w:pPr>
              <w:pStyle w:val="ListBullet"/>
            </w:pPr>
            <w:r w:rsidRPr="00DE165C">
              <w:t>To soak instruments with tightly coiled structures</w:t>
            </w:r>
          </w:p>
          <w:p w:rsidR="00000000" w:rsidP="00DE165C">
            <w:pPr>
              <w:pStyle w:val="ListBullet"/>
              <w:rPr>
                <w:lang w:val="en-NZ"/>
              </w:rPr>
            </w:pPr>
            <w:r w:rsidRPr="00DE165C">
              <w:t>Follow manufacturer's instructions for effective and safe use</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Instruments with specific processing requirements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Flexible illuminated instruments, for example:</w:t>
            </w:r>
          </w:p>
          <w:p w:rsidR="00000000" w:rsidRPr="00DE165C" w:rsidP="00DE165C">
            <w:pPr>
              <w:pStyle w:val="ListBullet2"/>
            </w:pPr>
            <w:r w:rsidRPr="00DE165C">
              <w:t>cystoscopes</w:t>
            </w:r>
          </w:p>
          <w:p w:rsidR="00000000" w:rsidRPr="00DE165C" w:rsidP="00DE165C">
            <w:pPr>
              <w:pStyle w:val="ListBullet2"/>
            </w:pPr>
            <w:r w:rsidRPr="00DE165C">
              <w:t xml:space="preserve">choledochoscope </w:t>
            </w:r>
          </w:p>
          <w:p w:rsidR="00000000" w:rsidRPr="00DE165C" w:rsidP="00DE165C">
            <w:pPr>
              <w:pStyle w:val="ListBullet2"/>
            </w:pPr>
            <w:r w:rsidRPr="00DE165C">
              <w:t>brochoscope with channels</w:t>
            </w:r>
          </w:p>
          <w:p w:rsidR="00000000" w:rsidRPr="00DE165C" w:rsidP="00DE165C">
            <w:pPr>
              <w:pStyle w:val="ListBullet"/>
            </w:pPr>
            <w:r w:rsidRPr="00DE165C">
              <w:t>Power tools</w:t>
            </w:r>
          </w:p>
          <w:p w:rsidR="00000000" w:rsidRPr="00DE165C" w:rsidP="00DE165C">
            <w:pPr>
              <w:pStyle w:val="ListBullet"/>
            </w:pPr>
            <w:r w:rsidRPr="00DE165C">
              <w:t>Screw and implant caddies</w:t>
            </w:r>
          </w:p>
          <w:p w:rsidR="00000000" w:rsidP="00DE165C">
            <w:pPr>
              <w:pStyle w:val="ListBullet"/>
              <w:rPr>
                <w:lang w:val="en-NZ"/>
              </w:rPr>
            </w:pPr>
            <w:r w:rsidRPr="00DE165C">
              <w:t>Items requiring manual cleaning</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Safe and correct processing of flexible endoscopes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Wipe and suction with a solution immediately after the procedure, following the manufactur</w:t>
            </w:r>
            <w:r w:rsidRPr="00DE165C">
              <w:t>er's instructions</w:t>
            </w:r>
          </w:p>
          <w:p w:rsidR="00000000" w:rsidRPr="00DE165C" w:rsidP="00DE165C">
            <w:pPr>
              <w:pStyle w:val="ListBullet"/>
            </w:pPr>
          </w:p>
          <w:p w:rsidR="00000000" w:rsidRPr="00DE165C" w:rsidP="00DE165C">
            <w:pPr>
              <w:pStyle w:val="ListBullet"/>
            </w:pPr>
            <w:r w:rsidRPr="00DE165C">
              <w:t>Follow instructions for leak testing, and soaking in enzymatic detergent solution</w:t>
            </w:r>
          </w:p>
          <w:p w:rsidR="00000000" w:rsidRPr="00DE165C" w:rsidP="00DE165C">
            <w:pPr>
              <w:pStyle w:val="ListBullet"/>
            </w:pPr>
            <w:r w:rsidRPr="00DE165C">
              <w:t>Follow instructions for disassembling, brushing, wiping and checking for cleanliness</w:t>
            </w:r>
          </w:p>
          <w:p w:rsidR="00000000" w:rsidP="00DE165C">
            <w:pPr>
              <w:pStyle w:val="ListBullet"/>
              <w:rPr>
                <w:lang w:val="en-NZ"/>
              </w:rPr>
            </w:pPr>
            <w:r w:rsidRPr="00DE165C">
              <w:t>Follow instructions for drying (eg. using alcohol to flush channels or</w:t>
            </w:r>
            <w:r w:rsidRPr="00DE165C">
              <w:t xml:space="preserve"> dry under low pressure forced air)</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Safe and correct processing of power tools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Follow manufacturer's instructions to prevent water entering the motor</w:t>
            </w:r>
          </w:p>
          <w:p w:rsidR="00000000" w:rsidRPr="00DE165C" w:rsidP="00DE165C">
            <w:pPr>
              <w:pStyle w:val="ListBullet"/>
            </w:pPr>
            <w:r w:rsidRPr="00DE165C">
              <w:t>Identify and brush cannulation in power-tools</w:t>
            </w:r>
          </w:p>
          <w:p w:rsidR="00000000" w:rsidP="00DE165C">
            <w:pPr>
              <w:pStyle w:val="ListBullet"/>
              <w:rPr>
                <w:lang w:val="en-NZ"/>
              </w:rPr>
            </w:pPr>
            <w:r w:rsidRPr="00DE165C">
              <w:t>Remove debris between movable, close-fitting parts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Safe and correct processing of screw and implant caddies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Identify instruments likely to contain organic soil, such as drill bits</w:t>
            </w:r>
          </w:p>
          <w:p w:rsidR="00000000" w:rsidRPr="00DE165C" w:rsidP="00DE165C">
            <w:pPr>
              <w:pStyle w:val="ListBullet"/>
            </w:pPr>
            <w:r w:rsidRPr="00DE165C">
              <w:t>Follow manufacturer's and organisation instructions to:</w:t>
            </w:r>
          </w:p>
          <w:p w:rsidR="00000000" w:rsidRPr="00DE165C" w:rsidP="00DE165C">
            <w:pPr>
              <w:pStyle w:val="ListBullet2"/>
            </w:pPr>
            <w:r w:rsidRPr="00DE165C">
              <w:t>s</w:t>
            </w:r>
            <w:r w:rsidRPr="00DE165C">
              <w:t>oak in mild detergent solution</w:t>
            </w:r>
          </w:p>
          <w:p w:rsidR="00000000" w:rsidRPr="00DE165C" w:rsidP="00DE165C">
            <w:pPr>
              <w:pStyle w:val="ListBullet2"/>
            </w:pPr>
            <w:r w:rsidRPr="00DE165C">
              <w:t xml:space="preserve">rinse with flushing water </w:t>
            </w:r>
          </w:p>
          <w:p w:rsidR="00000000" w:rsidP="00DE165C">
            <w:pPr>
              <w:pStyle w:val="ListBullet2"/>
              <w:rPr>
                <w:lang w:val="en-NZ"/>
              </w:rPr>
            </w:pPr>
            <w:r w:rsidRPr="00DE165C">
              <w:t xml:space="preserve">assist drying with low-pressure forced air </w:t>
            </w:r>
            <w:r w:rsidRPr="00DE165C">
              <w:br/>
              <w:t>(eg. leave lid on to prevent dislodging fine items)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Safe practices for manual cleaning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Safe and effective brushing:</w:t>
            </w:r>
          </w:p>
          <w:p w:rsidR="00000000" w:rsidRPr="00DE165C" w:rsidP="00DE165C">
            <w:pPr>
              <w:pStyle w:val="ListBullet2"/>
            </w:pPr>
            <w:r w:rsidRPr="00DE165C">
              <w:t>selecting a suitable brush</w:t>
            </w:r>
          </w:p>
          <w:p w:rsidR="00000000" w:rsidRPr="00DE165C" w:rsidP="00DE165C">
            <w:pPr>
              <w:pStyle w:val="ListBullet2"/>
            </w:pPr>
            <w:r w:rsidRPr="00DE165C">
              <w:t>reducing the creation of aerosols</w:t>
            </w:r>
          </w:p>
          <w:p w:rsidR="00000000" w:rsidRPr="00DE165C" w:rsidP="00DE165C">
            <w:pPr>
              <w:pStyle w:val="ListBullet2"/>
            </w:pPr>
            <w:r w:rsidRPr="00DE165C">
              <w:t xml:space="preserve">removing debris off brush before retracting it up into a cannula. </w:t>
            </w:r>
          </w:p>
          <w:p w:rsidR="00000000" w:rsidRPr="00DE165C" w:rsidP="00DE165C">
            <w:pPr>
              <w:pStyle w:val="ListBullet"/>
            </w:pPr>
            <w:r w:rsidRPr="00DE165C">
              <w:t>Follow standards such as AS/NZS 4187 for safe and effective methods of manual cleaning.</w:t>
            </w:r>
          </w:p>
          <w:p w:rsidR="00000000" w:rsidP="00DE165C">
            <w:pPr>
              <w:pStyle w:val="ListBullet"/>
              <w:rPr>
                <w:lang w:val="en-NZ"/>
              </w:rPr>
            </w:pPr>
            <w:r w:rsidRPr="00DE165C">
              <w:t xml:space="preserve">Select agents and equipment for manual </w:t>
            </w:r>
            <w:r w:rsidRPr="00DE165C">
              <w:t>cleaning following AS/NZS 4187</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Safe work practices to conduct insulation testing includes</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Follow safety requirements when operating insulation porosity testers</w:t>
            </w:r>
          </w:p>
          <w:p w:rsidR="00000000" w:rsidRPr="00DE165C" w:rsidP="00DE165C">
            <w:pPr>
              <w:pStyle w:val="ListBullet"/>
            </w:pPr>
            <w:r w:rsidRPr="00DE165C">
              <w:t>Follow appliance manufacturer instructions in applying devices such as the brush to identify defects</w:t>
            </w:r>
          </w:p>
          <w:p w:rsidR="00000000" w:rsidP="00DE165C">
            <w:pPr>
              <w:pStyle w:val="ListBullet"/>
              <w:rPr>
                <w:lang w:val="en-NZ"/>
              </w:rPr>
            </w:pPr>
            <w:r w:rsidRPr="00DE165C">
              <w:t>Follow organisation processes for the removal and replacement of defective items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165C">
            <w:pPr>
              <w:pStyle w:val="BodyText"/>
              <w:rPr>
                <w:lang w:val="en-NZ"/>
              </w:rPr>
            </w:pPr>
            <w:r w:rsidRPr="00DE165C">
              <w:rPr>
                <w:rStyle w:val="Emphasis"/>
              </w:rPr>
              <w:t>Instruments on loan may include</w:t>
            </w:r>
            <w:r w:rsidRPr="00DE165C">
              <w:t>:</w:t>
            </w: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ListBullet"/>
            </w:pPr>
            <w:r w:rsidRPr="00DE165C">
              <w:t>Complex instruments with instruction</w:t>
            </w:r>
            <w:r w:rsidRPr="00DE165C">
              <w:t>s from a loan set company</w:t>
            </w:r>
          </w:p>
          <w:p w:rsidR="00000000" w:rsidP="00DE165C">
            <w:pPr>
              <w:pStyle w:val="ListBullet"/>
              <w:rPr>
                <w:lang w:val="en-NZ"/>
              </w:rPr>
            </w:pPr>
            <w:r w:rsidRPr="00DE165C">
              <w:t>Borrowed instruments from other hospitals</w:t>
            </w:r>
          </w:p>
        </w:tc>
      </w:tr>
      <w:tr w:rsidTr="003559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165C" w:rsidP="00DE165C">
            <w:pPr>
              <w:pStyle w:val="BodyText"/>
            </w:pPr>
          </w:p>
        </w:tc>
      </w:tr>
    </w:tbl>
    <w:p w:rsidR="003559E5" w:rsidP="00DE165C">
      <w:pPr>
        <w:pStyle w:val="BodyText"/>
      </w:pPr>
    </w:p>
    <w:p w:rsidR="003559E5" w:rsidP="00DE165C">
      <w:pPr>
        <w:pStyle w:val="BodyText"/>
      </w:pPr>
    </w:p>
    <w:p w:rsidR="00000000" w:rsidRPr="00DE165C" w:rsidP="00DE165C">
      <w:pPr>
        <w:pStyle w:val="Heading1"/>
      </w:pPr>
      <w:bookmarkStart w:id="12" w:name="O_429834"/>
      <w:bookmarkEnd w:id="12"/>
      <w:r w:rsidRPr="00DE165C">
        <w:t>Unit Sector(s)</w:t>
      </w:r>
    </w:p>
    <w:p w:rsidR="00000000" w:rsidRPr="00DE165C" w:rsidP="00DE165C">
      <w:pPr>
        <w:pStyle w:val="BodyText"/>
      </w:pPr>
      <w:r w:rsidRPr="00DE165C">
        <w:t>Not Applicable</w:t>
      </w:r>
    </w:p>
    <w:p w:rsidR="00000000" w:rsidRPr="00DE165C" w:rsidP="00DE165C"/>
    <w:sectPr w:rsidSect="00DE1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9E5" w:rsidP="003559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9E5" w:rsidP="00DE1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59E5" w:rsidP="00DE1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559E5" w:rsidP="00DE1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9E5" w:rsidP="003559E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9E5" w:rsidP="00DE165C">
    <w:pPr>
      <w:pStyle w:val="Header"/>
      <w:framePr w:wrap="around"/>
    </w:pPr>
    <w:r>
      <w:fldChar w:fldCharType="begin"/>
    </w:r>
    <w:r>
      <w:instrText xml:space="preserve"> TITLE   \* MERGEFORMAT </w:instrText>
    </w:r>
    <w:r>
      <w:fldChar w:fldCharType="separate"/>
    </w:r>
    <w:r>
      <w:t>HLTSTE308C Care for surgical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59E5" w:rsidP="00DE16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20B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E21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6B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6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65C"/>
    <w:pPr>
      <w:spacing w:before="360" w:after="60"/>
      <w:outlineLvl w:val="0"/>
    </w:pPr>
    <w:rPr>
      <w:sz w:val="32"/>
    </w:rPr>
  </w:style>
  <w:style w:type="paragraph" w:styleId="Heading2">
    <w:name w:val="heading 2"/>
    <w:basedOn w:val="HeadingBase"/>
    <w:next w:val="BodyText"/>
    <w:link w:val="Heading2Char"/>
    <w:qFormat/>
    <w:rsid w:val="00DE165C"/>
    <w:pPr>
      <w:keepLines/>
      <w:spacing w:before="240" w:after="120"/>
      <w:outlineLvl w:val="1"/>
    </w:pPr>
    <w:rPr>
      <w:sz w:val="28"/>
      <w:szCs w:val="40"/>
    </w:rPr>
  </w:style>
  <w:style w:type="paragraph" w:styleId="Heading3">
    <w:name w:val="heading 3"/>
    <w:basedOn w:val="HeadingBase"/>
    <w:next w:val="BodyText"/>
    <w:link w:val="Heading3Char"/>
    <w:qFormat/>
    <w:rsid w:val="00DE165C"/>
    <w:pPr>
      <w:spacing w:before="180" w:after="120"/>
      <w:outlineLvl w:val="2"/>
    </w:pPr>
    <w:rPr>
      <w:spacing w:val="-10"/>
      <w:kern w:val="32"/>
    </w:rPr>
  </w:style>
  <w:style w:type="paragraph" w:styleId="Heading4">
    <w:name w:val="heading 4"/>
    <w:basedOn w:val="HeadingBase"/>
    <w:next w:val="BodyText"/>
    <w:link w:val="Heading4Char"/>
    <w:qFormat/>
    <w:rsid w:val="00DE165C"/>
    <w:pPr>
      <w:spacing w:before="160" w:after="120"/>
      <w:outlineLvl w:val="3"/>
    </w:pPr>
    <w:rPr>
      <w:sz w:val="22"/>
    </w:rPr>
  </w:style>
  <w:style w:type="paragraph" w:styleId="Heading5">
    <w:name w:val="heading 5"/>
    <w:basedOn w:val="HeadingBase"/>
    <w:next w:val="Normal"/>
    <w:link w:val="Heading5Char"/>
    <w:qFormat/>
    <w:rsid w:val="00DE165C"/>
    <w:pPr>
      <w:spacing w:before="80"/>
      <w:outlineLvl w:val="4"/>
    </w:pPr>
    <w:rPr>
      <w:color w:val="918585"/>
      <w:sz w:val="20"/>
    </w:rPr>
  </w:style>
  <w:style w:type="paragraph" w:styleId="Heading6">
    <w:name w:val="heading 6"/>
    <w:basedOn w:val="HeadingBase"/>
    <w:next w:val="Normal"/>
    <w:link w:val="Heading6Char"/>
    <w:qFormat/>
    <w:rsid w:val="00DE165C"/>
    <w:pPr>
      <w:spacing w:before="60"/>
      <w:outlineLvl w:val="5"/>
    </w:pPr>
    <w:rPr>
      <w:color w:val="918585"/>
      <w:sz w:val="20"/>
    </w:rPr>
  </w:style>
  <w:style w:type="paragraph" w:styleId="Heading7">
    <w:name w:val="heading 7"/>
    <w:basedOn w:val="Normal"/>
    <w:next w:val="Normal"/>
    <w:link w:val="Heading7Char"/>
    <w:qFormat/>
    <w:rsid w:val="00DE165C"/>
    <w:pPr>
      <w:ind w:left="720"/>
      <w:outlineLvl w:val="6"/>
    </w:pPr>
    <w:rPr>
      <w:i/>
    </w:rPr>
  </w:style>
  <w:style w:type="paragraph" w:styleId="Heading8">
    <w:name w:val="heading 8"/>
    <w:basedOn w:val="Normal"/>
    <w:next w:val="Normal"/>
    <w:link w:val="Heading8Char"/>
    <w:qFormat/>
    <w:rsid w:val="00DE165C"/>
    <w:pPr>
      <w:ind w:left="720"/>
      <w:outlineLvl w:val="7"/>
    </w:pPr>
    <w:rPr>
      <w:i/>
    </w:rPr>
  </w:style>
  <w:style w:type="paragraph" w:styleId="Heading9">
    <w:name w:val="heading 9"/>
    <w:basedOn w:val="Normal"/>
    <w:next w:val="Normal"/>
    <w:link w:val="Heading9Char"/>
    <w:qFormat/>
    <w:rsid w:val="00DE165C"/>
    <w:pPr>
      <w:ind w:left="720"/>
      <w:outlineLvl w:val="8"/>
    </w:pPr>
    <w:rPr>
      <w:i/>
    </w:rPr>
  </w:style>
  <w:style w:type="character" w:default="1" w:styleId="DefaultParagraphFont">
    <w:name w:val="Default Paragraph Font"/>
    <w:uiPriority w:val="1"/>
    <w:unhideWhenUsed/>
    <w:rsid w:val="00DE1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65C"/>
  </w:style>
  <w:style w:type="character" w:customStyle="1" w:styleId="Heading1Char">
    <w:name w:val="Heading 1 Char"/>
    <w:link w:val="Heading1"/>
    <w:rsid w:val="00DE165C"/>
    <w:rPr>
      <w:rFonts w:ascii="Times New Roman" w:eastAsia="Times New Roman" w:hAnsi="Times New Roman" w:cs="Times New Roman"/>
      <w:b/>
      <w:sz w:val="32"/>
      <w:szCs w:val="20"/>
      <w:lang w:eastAsia="en-US"/>
    </w:rPr>
  </w:style>
  <w:style w:type="paragraph" w:styleId="BodyText">
    <w:name w:val="Body Text"/>
    <w:basedOn w:val="Normal"/>
    <w:link w:val="BodyTextChar"/>
    <w:rsid w:val="00DE165C"/>
    <w:pPr>
      <w:spacing w:before="120" w:after="120"/>
      <w:contextualSpacing/>
    </w:pPr>
    <w:rPr>
      <w:rFonts w:ascii="Times New Roman" w:hAnsi="Times New Roman"/>
      <w:sz w:val="24"/>
      <w:szCs w:val="22"/>
    </w:rPr>
  </w:style>
  <w:style w:type="character" w:customStyle="1" w:styleId="BodyTextChar">
    <w:name w:val="Body Text Char"/>
    <w:link w:val="BodyText"/>
    <w:rsid w:val="00DE165C"/>
    <w:rPr>
      <w:rFonts w:ascii="Times New Roman" w:eastAsia="Times New Roman" w:hAnsi="Times New Roman" w:cs="Times New Roman"/>
      <w:sz w:val="24"/>
      <w:lang w:val="en-US" w:eastAsia="en-US"/>
    </w:rPr>
  </w:style>
  <w:style w:type="paragraph" w:styleId="Footer">
    <w:name w:val="footer"/>
    <w:basedOn w:val="Normal"/>
    <w:link w:val="FooterChar"/>
    <w:rsid w:val="00DE1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165C"/>
    <w:rPr>
      <w:rFonts w:ascii="Times New Roman" w:eastAsia="Times New Roman" w:hAnsi="Times New Roman" w:cs="Times New Roman"/>
      <w:sz w:val="16"/>
      <w:lang w:val="en-US" w:eastAsia="en-US"/>
    </w:rPr>
  </w:style>
  <w:style w:type="paragraph" w:styleId="List">
    <w:name w:val="List"/>
    <w:basedOn w:val="BodyText"/>
    <w:next w:val="BodyText"/>
    <w:rsid w:val="00DE165C"/>
    <w:pPr>
      <w:tabs>
        <w:tab w:val="left" w:pos="340"/>
      </w:tabs>
      <w:spacing w:before="60" w:after="60"/>
      <w:ind w:left="340" w:hanging="340"/>
    </w:pPr>
  </w:style>
  <w:style w:type="paragraph" w:styleId="ListBullet">
    <w:name w:val="List Bullet"/>
    <w:basedOn w:val="List"/>
    <w:rsid w:val="00DE165C"/>
    <w:pPr>
      <w:numPr>
        <w:numId w:val="13"/>
      </w:numPr>
      <w:tabs>
        <w:tab w:val="clear" w:pos="340"/>
      </w:tabs>
      <w:spacing w:before="40" w:after="40"/>
    </w:pPr>
  </w:style>
  <w:style w:type="character" w:customStyle="1" w:styleId="SpecialBold">
    <w:name w:val="Special Bold"/>
    <w:rsid w:val="00DE165C"/>
    <w:rPr>
      <w:b/>
      <w:spacing w:val="0"/>
    </w:rPr>
  </w:style>
  <w:style w:type="paragraph" w:styleId="ListBullet2">
    <w:name w:val="List Bullet 2"/>
    <w:basedOn w:val="List2"/>
    <w:rsid w:val="00DE165C"/>
    <w:pPr>
      <w:numPr>
        <w:numId w:val="14"/>
      </w:numPr>
      <w:tabs>
        <w:tab w:val="clear" w:pos="680"/>
      </w:tabs>
    </w:pPr>
  </w:style>
  <w:style w:type="paragraph" w:styleId="Header">
    <w:name w:val="header"/>
    <w:basedOn w:val="Normal"/>
    <w:link w:val="HeaderChar"/>
    <w:rsid w:val="00DE1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165C"/>
    <w:rPr>
      <w:rFonts w:ascii="Times New Roman" w:eastAsia="Times New Roman" w:hAnsi="Times New Roman" w:cs="Times New Roman"/>
      <w:sz w:val="16"/>
      <w:szCs w:val="20"/>
      <w:lang w:val="en-GB" w:eastAsia="en-US"/>
    </w:rPr>
  </w:style>
  <w:style w:type="character" w:styleId="Emphasis">
    <w:name w:val="Emphasis"/>
    <w:qFormat/>
    <w:rsid w:val="00DE165C"/>
    <w:rPr>
      <w:i/>
    </w:rPr>
  </w:style>
  <w:style w:type="paragraph" w:customStyle="1" w:styleId="SuperHeading">
    <w:name w:val="SuperHeading"/>
    <w:basedOn w:val="Normal"/>
    <w:rsid w:val="00DE165C"/>
    <w:pPr>
      <w:spacing w:before="240" w:after="120"/>
      <w:outlineLvl w:val="0"/>
    </w:pPr>
    <w:rPr>
      <w:rFonts w:ascii="Times New Roman" w:hAnsi="Times New Roman"/>
      <w:b/>
      <w:sz w:val="28"/>
    </w:rPr>
  </w:style>
  <w:style w:type="paragraph" w:customStyle="1" w:styleId="AllowPageBreak">
    <w:name w:val="AllowPageBreak"/>
    <w:rsid w:val="00DE1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E165C"/>
    <w:rPr>
      <w:rFonts w:ascii="Times New Roman" w:eastAsia="Times New Roman" w:hAnsi="Times New Roman" w:cs="Times New Roman"/>
      <w:b/>
      <w:sz w:val="28"/>
      <w:szCs w:val="40"/>
      <w:lang w:eastAsia="en-US"/>
    </w:rPr>
  </w:style>
  <w:style w:type="character" w:customStyle="1" w:styleId="Heading3Char">
    <w:name w:val="Heading 3 Char"/>
    <w:link w:val="Heading3"/>
    <w:rsid w:val="00DE16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165C"/>
    <w:rPr>
      <w:rFonts w:ascii="Times New Roman" w:eastAsia="Times New Roman" w:hAnsi="Times New Roman" w:cs="Times New Roman"/>
      <w:b/>
      <w:szCs w:val="20"/>
      <w:lang w:eastAsia="en-US"/>
    </w:rPr>
  </w:style>
  <w:style w:type="character" w:customStyle="1" w:styleId="Heading5Char">
    <w:name w:val="Heading 5 Char"/>
    <w:link w:val="Heading5"/>
    <w:rsid w:val="00DE16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1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6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6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65C"/>
    <w:rPr>
      <w:rFonts w:ascii="Courier New" w:eastAsia="Times New Roman" w:hAnsi="Courier New" w:cs="Times New Roman"/>
      <w:i/>
      <w:szCs w:val="20"/>
      <w:lang w:val="en-US" w:eastAsia="en-US"/>
    </w:rPr>
  </w:style>
  <w:style w:type="paragraph" w:customStyle="1" w:styleId="HeadingBase">
    <w:name w:val="Heading Base"/>
    <w:rsid w:val="00DE1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65C"/>
    <w:pPr>
      <w:tabs>
        <w:tab w:val="right" w:leader="dot" w:pos="9072"/>
      </w:tabs>
      <w:ind w:left="567"/>
    </w:pPr>
    <w:rPr>
      <w:szCs w:val="22"/>
    </w:rPr>
  </w:style>
  <w:style w:type="paragraph" w:customStyle="1" w:styleId="TOCBase">
    <w:name w:val="TOC Base"/>
    <w:rsid w:val="00DE1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65C"/>
    <w:pPr>
      <w:tabs>
        <w:tab w:val="right" w:leader="dot" w:pos="9072"/>
      </w:tabs>
      <w:spacing w:before="40" w:after="40"/>
      <w:ind w:left="284"/>
    </w:pPr>
    <w:rPr>
      <w:rFonts w:ascii="Times New Roman" w:hAnsi="Times New Roman"/>
    </w:rPr>
  </w:style>
  <w:style w:type="paragraph" w:styleId="TOC1">
    <w:name w:val="toc 1"/>
    <w:basedOn w:val="TOCBase"/>
    <w:next w:val="Normal"/>
    <w:rsid w:val="00DE1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65C"/>
    <w:pPr>
      <w:spacing w:before="5040"/>
      <w:jc w:val="center"/>
    </w:pPr>
    <w:rPr>
      <w:sz w:val="48"/>
      <w:szCs w:val="72"/>
      <w:lang w:val="en-US"/>
    </w:rPr>
  </w:style>
  <w:style w:type="character" w:customStyle="1" w:styleId="TitleChar">
    <w:name w:val="Title Char"/>
    <w:link w:val="Title"/>
    <w:rsid w:val="00DE1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65C"/>
    <w:pPr>
      <w:tabs>
        <w:tab w:val="left" w:pos="3600"/>
        <w:tab w:val="left" w:pos="3958"/>
      </w:tabs>
    </w:pPr>
  </w:style>
  <w:style w:type="paragraph" w:customStyle="1" w:styleId="Note">
    <w:name w:val="Note"/>
    <w:basedOn w:val="BodyText"/>
    <w:rsid w:val="00DE1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65C"/>
    <w:pPr>
      <w:framePr w:wrap="auto" w:hAnchor="text" w:y="6049"/>
    </w:pPr>
    <w:rPr>
      <w:color w:val="000000"/>
      <w:sz w:val="40"/>
    </w:rPr>
  </w:style>
  <w:style w:type="paragraph" w:customStyle="1" w:styleId="TOCTitle">
    <w:name w:val="TOCTitle"/>
    <w:basedOn w:val="Heading1"/>
    <w:rsid w:val="00DE165C"/>
    <w:pPr>
      <w:spacing w:after="240"/>
      <w:jc w:val="center"/>
      <w:outlineLvl w:val="9"/>
    </w:pPr>
    <w:rPr>
      <w:caps/>
    </w:rPr>
  </w:style>
  <w:style w:type="paragraph" w:customStyle="1" w:styleId="Version">
    <w:name w:val="Version"/>
    <w:rsid w:val="00DE1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65C"/>
    <w:pPr>
      <w:keepNext w:val="0"/>
      <w:tabs>
        <w:tab w:val="right" w:pos="4176"/>
      </w:tabs>
      <w:ind w:left="198" w:hanging="198"/>
    </w:pPr>
    <w:rPr>
      <w:rFonts w:ascii="Garamond" w:hAnsi="Garamond"/>
    </w:rPr>
  </w:style>
  <w:style w:type="paragraph" w:styleId="IndexHeading">
    <w:name w:val="index heading"/>
    <w:basedOn w:val="Normal"/>
    <w:next w:val="Index1"/>
    <w:semiHidden/>
    <w:rsid w:val="00DE165C"/>
    <w:pPr>
      <w:spacing w:before="120" w:after="120"/>
    </w:pPr>
    <w:rPr>
      <w:rFonts w:ascii="Arial" w:hAnsi="Arial"/>
      <w:b/>
      <w:color w:val="918585"/>
      <w:sz w:val="24"/>
    </w:rPr>
  </w:style>
  <w:style w:type="paragraph" w:customStyle="1" w:styleId="Chapter">
    <w:name w:val="Chapter"/>
    <w:basedOn w:val="Normal"/>
    <w:rsid w:val="00DE165C"/>
    <w:pPr>
      <w:spacing w:before="240"/>
    </w:pPr>
    <w:rPr>
      <w:rFonts w:ascii="Times New Roman" w:hAnsi="Times New Roman"/>
      <w:smallCaps/>
      <w:spacing w:val="80"/>
      <w:sz w:val="28"/>
    </w:rPr>
  </w:style>
  <w:style w:type="paragraph" w:customStyle="1" w:styleId="InChapter">
    <w:name w:val="InChapter"/>
    <w:basedOn w:val="Heading3"/>
    <w:rsid w:val="00DE165C"/>
    <w:pPr>
      <w:spacing w:after="240"/>
      <w:outlineLvl w:val="9"/>
    </w:pPr>
    <w:rPr>
      <w:noProof/>
    </w:rPr>
  </w:style>
  <w:style w:type="paragraph" w:styleId="Index2">
    <w:name w:val="index 2"/>
    <w:basedOn w:val="Normal"/>
    <w:next w:val="Normal"/>
    <w:semiHidden/>
    <w:rsid w:val="00DE165C"/>
    <w:pPr>
      <w:tabs>
        <w:tab w:val="right" w:pos="4176"/>
      </w:tabs>
      <w:ind w:left="568" w:hanging="284"/>
    </w:pPr>
    <w:rPr>
      <w:rFonts w:ascii="Garamond" w:hAnsi="Garamond"/>
    </w:rPr>
  </w:style>
  <w:style w:type="paragraph" w:customStyle="1" w:styleId="Byline">
    <w:name w:val="Byline"/>
    <w:rsid w:val="00DE1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65C"/>
    <w:pPr>
      <w:tabs>
        <w:tab w:val="clear" w:pos="3600"/>
        <w:tab w:val="clear" w:pos="3958"/>
      </w:tabs>
      <w:jc w:val="right"/>
    </w:pPr>
  </w:style>
  <w:style w:type="paragraph" w:styleId="Caption">
    <w:name w:val="caption"/>
    <w:basedOn w:val="BodyText"/>
    <w:next w:val="Normal"/>
    <w:qFormat/>
    <w:rsid w:val="00DE165C"/>
    <w:pPr>
      <w:framePr w:w="2268" w:hSpace="181" w:vSpace="181" w:wrap="around" w:vAnchor="text" w:hAnchor="page" w:x="1135" w:y="285" w:anchorLock="1"/>
    </w:pPr>
    <w:rPr>
      <w:i/>
    </w:rPr>
  </w:style>
  <w:style w:type="paragraph" w:customStyle="1" w:styleId="MiniTOCTitle">
    <w:name w:val="MiniTOCTitle"/>
    <w:basedOn w:val="Heading4"/>
    <w:rsid w:val="00DE165C"/>
    <w:pPr>
      <w:spacing w:before="240"/>
      <w:outlineLvl w:val="9"/>
    </w:pPr>
    <w:rPr>
      <w:noProof/>
      <w:sz w:val="24"/>
    </w:rPr>
  </w:style>
  <w:style w:type="paragraph" w:customStyle="1" w:styleId="MiniTOCItem">
    <w:name w:val="MiniTOCItem"/>
    <w:basedOn w:val="ListBullet"/>
    <w:rsid w:val="00DE165C"/>
    <w:pPr>
      <w:numPr>
        <w:numId w:val="0"/>
      </w:numPr>
      <w:tabs>
        <w:tab w:val="right" w:leader="dot" w:pos="6521"/>
      </w:tabs>
      <w:spacing w:before="0" w:after="0"/>
    </w:pPr>
  </w:style>
  <w:style w:type="paragraph" w:customStyle="1" w:styleId="TOFTitle">
    <w:name w:val="TOFTitle"/>
    <w:basedOn w:val="TOCTitle"/>
    <w:rsid w:val="00DE165C"/>
  </w:style>
  <w:style w:type="paragraph" w:styleId="TableofFigures">
    <w:name w:val="table of figures"/>
    <w:basedOn w:val="Normal"/>
    <w:next w:val="Normal"/>
    <w:semiHidden/>
    <w:rsid w:val="00DE165C"/>
    <w:pPr>
      <w:tabs>
        <w:tab w:val="right" w:leader="dot" w:pos="9072"/>
      </w:tabs>
      <w:ind w:left="970" w:hanging="403"/>
    </w:pPr>
    <w:rPr>
      <w:rFonts w:ascii="Times New Roman" w:hAnsi="Times New Roman"/>
      <w:b/>
    </w:rPr>
  </w:style>
  <w:style w:type="paragraph" w:styleId="ListNumber">
    <w:name w:val="List Number"/>
    <w:basedOn w:val="List"/>
    <w:rsid w:val="00DE165C"/>
    <w:pPr>
      <w:numPr>
        <w:numId w:val="11"/>
      </w:numPr>
    </w:pPr>
  </w:style>
  <w:style w:type="character" w:customStyle="1" w:styleId="WingdingSymbols">
    <w:name w:val="Wingding Symbols"/>
    <w:rsid w:val="00DE165C"/>
    <w:rPr>
      <w:rFonts w:ascii="Wingdings" w:hAnsi="Wingdings"/>
    </w:rPr>
  </w:style>
  <w:style w:type="paragraph" w:customStyle="1" w:styleId="TableHeading">
    <w:name w:val="Table Heading"/>
    <w:basedOn w:val="HeadingBase"/>
    <w:rsid w:val="00DE165C"/>
    <w:pPr>
      <w:keepLines/>
      <w:pBdr>
        <w:bottom w:val="single" w:sz="6" w:space="1" w:color="918585"/>
      </w:pBdr>
      <w:spacing w:before="240"/>
    </w:pPr>
  </w:style>
  <w:style w:type="character" w:customStyle="1" w:styleId="HotSpot">
    <w:name w:val="HotSpot"/>
    <w:rsid w:val="00DE165C"/>
    <w:rPr>
      <w:color w:val="0033CC"/>
      <w:u w:val="none"/>
    </w:rPr>
  </w:style>
  <w:style w:type="paragraph" w:customStyle="1" w:styleId="BodyTextRight">
    <w:name w:val="Body Text Right"/>
    <w:basedOn w:val="BodyText"/>
    <w:rsid w:val="00DE165C"/>
    <w:pPr>
      <w:spacing w:before="0" w:after="0"/>
      <w:jc w:val="right"/>
    </w:pPr>
  </w:style>
  <w:style w:type="paragraph" w:styleId="Index3">
    <w:name w:val="index 3"/>
    <w:basedOn w:val="ListNumber2"/>
    <w:next w:val="Normal"/>
    <w:semiHidden/>
    <w:rsid w:val="00DE165C"/>
    <w:pPr>
      <w:numPr>
        <w:numId w:val="0"/>
      </w:numPr>
      <w:tabs>
        <w:tab w:val="right" w:leader="dot" w:pos="4176"/>
      </w:tabs>
    </w:pPr>
  </w:style>
  <w:style w:type="paragraph" w:styleId="ListNumber2">
    <w:name w:val="List Number 2"/>
    <w:basedOn w:val="List2"/>
    <w:rsid w:val="00DE165C"/>
    <w:pPr>
      <w:numPr>
        <w:numId w:val="10"/>
      </w:numPr>
      <w:tabs>
        <w:tab w:val="clear" w:pos="1060"/>
      </w:tabs>
    </w:pPr>
  </w:style>
  <w:style w:type="paragraph" w:customStyle="1" w:styleId="MarginNote">
    <w:name w:val="Margin Note"/>
    <w:basedOn w:val="BodyText"/>
    <w:rsid w:val="00DE1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16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65C"/>
    <w:rPr>
      <w:sz w:val="32"/>
    </w:rPr>
  </w:style>
  <w:style w:type="paragraph" w:customStyle="1" w:styleId="HeadingProcedure">
    <w:name w:val="Heading Procedure"/>
    <w:basedOn w:val="HeadingBase"/>
    <w:next w:val="Normal"/>
    <w:rsid w:val="00DE165C"/>
    <w:pPr>
      <w:tabs>
        <w:tab w:val="left" w:pos="0"/>
      </w:tabs>
      <w:spacing w:before="120" w:after="60"/>
    </w:pPr>
    <w:rPr>
      <w:i/>
      <w:color w:val="918585"/>
      <w:sz w:val="22"/>
    </w:rPr>
  </w:style>
  <w:style w:type="paragraph" w:customStyle="1" w:styleId="TableBodyText">
    <w:name w:val="Table Body Text"/>
    <w:basedOn w:val="BodyText"/>
    <w:rsid w:val="00DE165C"/>
    <w:pPr>
      <w:spacing w:before="60" w:after="60"/>
    </w:pPr>
  </w:style>
  <w:style w:type="paragraph" w:styleId="ListContinue">
    <w:name w:val="List Continue"/>
    <w:basedOn w:val="List"/>
    <w:rsid w:val="00DE165C"/>
    <w:pPr>
      <w:ind w:firstLine="0"/>
    </w:pPr>
  </w:style>
  <w:style w:type="paragraph" w:customStyle="1" w:styleId="ListNote">
    <w:name w:val="List Note"/>
    <w:basedOn w:val="List"/>
    <w:rsid w:val="00DE165C"/>
    <w:pPr>
      <w:pBdr>
        <w:top w:val="single" w:sz="6" w:space="2" w:color="918585"/>
        <w:bottom w:val="single" w:sz="6" w:space="2" w:color="918585"/>
      </w:pBdr>
      <w:tabs>
        <w:tab w:val="left" w:pos="1021"/>
      </w:tabs>
      <w:ind w:firstLine="0"/>
    </w:pPr>
  </w:style>
  <w:style w:type="paragraph" w:customStyle="1" w:styleId="Warning">
    <w:name w:val="Warning"/>
    <w:basedOn w:val="BodyText"/>
    <w:rsid w:val="00DE165C"/>
    <w:pPr>
      <w:shd w:val="clear" w:color="auto" w:fill="D9D9D9"/>
      <w:tabs>
        <w:tab w:val="left" w:pos="992"/>
      </w:tabs>
      <w:ind w:left="119" w:right="119"/>
    </w:pPr>
    <w:rPr>
      <w:sz w:val="20"/>
    </w:rPr>
  </w:style>
  <w:style w:type="paragraph" w:customStyle="1" w:styleId="MarginIcons">
    <w:name w:val="Margin Icons"/>
    <w:basedOn w:val="BodyText"/>
    <w:rsid w:val="00DE16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165C"/>
    <w:rPr>
      <w:rFonts w:ascii="Courier New" w:hAnsi="Courier New"/>
    </w:rPr>
  </w:style>
  <w:style w:type="paragraph" w:customStyle="1" w:styleId="NoteBullet">
    <w:name w:val="Note Bullet"/>
    <w:basedOn w:val="Note"/>
    <w:rsid w:val="00DE165C"/>
    <w:pPr>
      <w:tabs>
        <w:tab w:val="clear" w:pos="680"/>
      </w:tabs>
      <w:spacing w:before="60" w:after="60"/>
    </w:pPr>
  </w:style>
  <w:style w:type="paragraph" w:customStyle="1" w:styleId="SubHeading2">
    <w:name w:val="SubHeading2"/>
    <w:basedOn w:val="HeadingBase"/>
    <w:rsid w:val="00DE165C"/>
    <w:pPr>
      <w:spacing w:before="240" w:after="60"/>
    </w:pPr>
    <w:rPr>
      <w:sz w:val="20"/>
    </w:rPr>
  </w:style>
  <w:style w:type="paragraph" w:customStyle="1" w:styleId="SubHeading1">
    <w:name w:val="SubHeading1"/>
    <w:basedOn w:val="HeadingBase"/>
    <w:rsid w:val="00DE165C"/>
    <w:pPr>
      <w:spacing w:before="240" w:after="60"/>
    </w:pPr>
    <w:rPr>
      <w:color w:val="918585"/>
      <w:sz w:val="22"/>
    </w:rPr>
  </w:style>
  <w:style w:type="paragraph" w:customStyle="1" w:styleId="SideHeading">
    <w:name w:val="Side Heading"/>
    <w:basedOn w:val="HeadingBase"/>
    <w:rsid w:val="00DE1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65C"/>
    <w:pPr>
      <w:numPr>
        <w:numId w:val="12"/>
      </w:numPr>
    </w:pPr>
  </w:style>
  <w:style w:type="paragraph" w:styleId="PlainText">
    <w:name w:val="Plain Text"/>
    <w:basedOn w:val="Normal"/>
    <w:link w:val="PlainTextChar"/>
    <w:rsid w:val="00DE165C"/>
    <w:rPr>
      <w:sz w:val="20"/>
    </w:rPr>
  </w:style>
  <w:style w:type="character" w:customStyle="1" w:styleId="PlainTextChar">
    <w:name w:val="Plain Text Char"/>
    <w:basedOn w:val="DefaultParagraphFont"/>
    <w:link w:val="PlainText"/>
    <w:rsid w:val="00DE165C"/>
    <w:rPr>
      <w:rFonts w:ascii="Courier New" w:eastAsia="Times New Roman" w:hAnsi="Courier New" w:cs="Times New Roman"/>
      <w:sz w:val="20"/>
      <w:szCs w:val="20"/>
      <w:lang w:val="en-US" w:eastAsia="en-US"/>
    </w:rPr>
  </w:style>
  <w:style w:type="character" w:customStyle="1" w:styleId="MenuOption">
    <w:name w:val="Menu Option"/>
    <w:rsid w:val="00DE165C"/>
    <w:rPr>
      <w:b/>
      <w:smallCaps/>
    </w:rPr>
  </w:style>
  <w:style w:type="paragraph" w:customStyle="1" w:styleId="TableListNumber">
    <w:name w:val="Table List Number"/>
    <w:basedOn w:val="ListNumber"/>
    <w:rsid w:val="00DE165C"/>
    <w:pPr>
      <w:numPr>
        <w:numId w:val="0"/>
      </w:numPr>
    </w:pPr>
  </w:style>
  <w:style w:type="paragraph" w:styleId="TOC4">
    <w:name w:val="toc 4"/>
    <w:basedOn w:val="TOCBase"/>
    <w:next w:val="Normal"/>
    <w:semiHidden/>
    <w:rsid w:val="00DE165C"/>
    <w:pPr>
      <w:tabs>
        <w:tab w:val="right" w:leader="dot" w:pos="9071"/>
      </w:tabs>
      <w:ind w:left="1701"/>
    </w:pPr>
  </w:style>
  <w:style w:type="paragraph" w:customStyle="1" w:styleId="ListAlpha">
    <w:name w:val="List Alpha"/>
    <w:basedOn w:val="List"/>
    <w:rsid w:val="00DE165C"/>
    <w:pPr>
      <w:numPr>
        <w:numId w:val="9"/>
      </w:numPr>
    </w:pPr>
  </w:style>
  <w:style w:type="paragraph" w:customStyle="1" w:styleId="ListAlpha2">
    <w:name w:val="List Alpha 2"/>
    <w:basedOn w:val="List2"/>
    <w:rsid w:val="00DE165C"/>
    <w:pPr>
      <w:numPr>
        <w:numId w:val="8"/>
      </w:numPr>
    </w:pPr>
  </w:style>
  <w:style w:type="paragraph" w:styleId="List2">
    <w:name w:val="List 2"/>
    <w:basedOn w:val="BodyText"/>
    <w:rsid w:val="00DE165C"/>
    <w:pPr>
      <w:tabs>
        <w:tab w:val="left" w:pos="680"/>
      </w:tabs>
      <w:spacing w:before="60" w:after="60"/>
      <w:ind w:left="680" w:hanging="340"/>
    </w:pPr>
  </w:style>
  <w:style w:type="paragraph" w:styleId="List3">
    <w:name w:val="List 3"/>
    <w:basedOn w:val="BodyText"/>
    <w:rsid w:val="00DE165C"/>
    <w:pPr>
      <w:tabs>
        <w:tab w:val="left" w:pos="1021"/>
      </w:tabs>
      <w:spacing w:before="60" w:after="60"/>
      <w:ind w:left="1020" w:hanging="340"/>
    </w:pPr>
  </w:style>
  <w:style w:type="paragraph" w:styleId="List4">
    <w:name w:val="List 4"/>
    <w:basedOn w:val="BodyText"/>
    <w:rsid w:val="00DE165C"/>
    <w:pPr>
      <w:tabs>
        <w:tab w:val="left" w:pos="1361"/>
      </w:tabs>
      <w:spacing w:before="60" w:after="60"/>
      <w:ind w:left="1361" w:hanging="340"/>
    </w:pPr>
  </w:style>
  <w:style w:type="paragraph" w:styleId="List5">
    <w:name w:val="List 5"/>
    <w:basedOn w:val="BodyText"/>
    <w:rsid w:val="00DE165C"/>
    <w:pPr>
      <w:tabs>
        <w:tab w:val="left" w:pos="1701"/>
      </w:tabs>
      <w:spacing w:before="60" w:after="60"/>
      <w:ind w:left="1701" w:hanging="340"/>
    </w:pPr>
  </w:style>
  <w:style w:type="paragraph" w:styleId="ListBullet3">
    <w:name w:val="List Bullet 3"/>
    <w:basedOn w:val="List3"/>
    <w:rsid w:val="00DE165C"/>
    <w:pPr>
      <w:numPr>
        <w:numId w:val="15"/>
      </w:numPr>
      <w:tabs>
        <w:tab w:val="clear" w:pos="1021"/>
      </w:tabs>
      <w:ind w:left="1037" w:hanging="357"/>
    </w:pPr>
  </w:style>
  <w:style w:type="paragraph" w:styleId="ListBullet4">
    <w:name w:val="List Bullet 4"/>
    <w:basedOn w:val="List4"/>
    <w:rsid w:val="00DE165C"/>
    <w:pPr>
      <w:numPr>
        <w:numId w:val="3"/>
      </w:numPr>
    </w:pPr>
  </w:style>
  <w:style w:type="paragraph" w:styleId="ListBullet5">
    <w:name w:val="List Bullet 5"/>
    <w:basedOn w:val="List5"/>
    <w:rsid w:val="00DE165C"/>
    <w:pPr>
      <w:numPr>
        <w:numId w:val="4"/>
      </w:numPr>
    </w:pPr>
  </w:style>
  <w:style w:type="paragraph" w:styleId="ListContinue2">
    <w:name w:val="List Continue 2"/>
    <w:basedOn w:val="List2"/>
    <w:rsid w:val="00DE165C"/>
    <w:pPr>
      <w:ind w:firstLine="0"/>
    </w:pPr>
  </w:style>
  <w:style w:type="paragraph" w:styleId="ListContinue3">
    <w:name w:val="List Continue 3"/>
    <w:basedOn w:val="List3"/>
    <w:rsid w:val="00DE165C"/>
    <w:pPr>
      <w:ind w:left="1021" w:firstLine="0"/>
    </w:pPr>
  </w:style>
  <w:style w:type="paragraph" w:styleId="ListContinue4">
    <w:name w:val="List Continue 4"/>
    <w:basedOn w:val="List4"/>
    <w:rsid w:val="00DE165C"/>
    <w:pPr>
      <w:ind w:firstLine="0"/>
    </w:pPr>
  </w:style>
  <w:style w:type="paragraph" w:styleId="ListContinue5">
    <w:name w:val="List Continue 5"/>
    <w:basedOn w:val="List5"/>
    <w:rsid w:val="00DE165C"/>
    <w:pPr>
      <w:ind w:firstLine="0"/>
    </w:pPr>
  </w:style>
  <w:style w:type="paragraph" w:styleId="ListNumber3">
    <w:name w:val="List Number 3"/>
    <w:basedOn w:val="List3"/>
    <w:rsid w:val="00DE165C"/>
    <w:pPr>
      <w:numPr>
        <w:numId w:val="5"/>
      </w:numPr>
    </w:pPr>
  </w:style>
  <w:style w:type="paragraph" w:styleId="ListNumber4">
    <w:name w:val="List Number 4"/>
    <w:basedOn w:val="List4"/>
    <w:rsid w:val="00DE165C"/>
    <w:pPr>
      <w:numPr>
        <w:numId w:val="6"/>
      </w:numPr>
    </w:pPr>
  </w:style>
  <w:style w:type="paragraph" w:styleId="ListNumber5">
    <w:name w:val="List Number 5"/>
    <w:basedOn w:val="List5"/>
    <w:rsid w:val="00DE165C"/>
    <w:pPr>
      <w:numPr>
        <w:numId w:val="7"/>
      </w:numPr>
    </w:pPr>
  </w:style>
  <w:style w:type="paragraph" w:styleId="BlockText">
    <w:name w:val="Block Text"/>
    <w:basedOn w:val="Normal"/>
    <w:rsid w:val="00DE165C"/>
    <w:pPr>
      <w:spacing w:after="120"/>
      <w:ind w:left="1440" w:right="1440"/>
    </w:pPr>
  </w:style>
  <w:style w:type="character" w:customStyle="1" w:styleId="Subscript">
    <w:name w:val="Subscript"/>
    <w:rsid w:val="00DE165C"/>
    <w:rPr>
      <w:sz w:val="16"/>
      <w:vertAlign w:val="subscript"/>
    </w:rPr>
  </w:style>
  <w:style w:type="character" w:customStyle="1" w:styleId="Superscript">
    <w:name w:val="Superscript"/>
    <w:rsid w:val="00DE165C"/>
    <w:rPr>
      <w:sz w:val="16"/>
      <w:vertAlign w:val="superscript"/>
    </w:rPr>
  </w:style>
  <w:style w:type="character" w:customStyle="1" w:styleId="Symbols">
    <w:name w:val="Symbols"/>
    <w:rsid w:val="00DE165C"/>
    <w:rPr>
      <w:rFonts w:ascii="Symbol" w:hAnsi="Symbol"/>
    </w:rPr>
  </w:style>
  <w:style w:type="character" w:customStyle="1" w:styleId="MenuOptions">
    <w:name w:val="Menu Options"/>
    <w:rsid w:val="00DE165C"/>
    <w:rPr>
      <w:rFonts w:ascii="Arial Narrow" w:hAnsi="Arial Narrow"/>
      <w:smallCaps/>
    </w:rPr>
  </w:style>
  <w:style w:type="character" w:customStyle="1" w:styleId="Buttons">
    <w:name w:val="Buttons"/>
    <w:rsid w:val="00DE165C"/>
    <w:rPr>
      <w:b/>
    </w:rPr>
  </w:style>
  <w:style w:type="character" w:customStyle="1" w:styleId="Underlined">
    <w:name w:val="Underlined"/>
    <w:rsid w:val="00DE165C"/>
    <w:rPr>
      <w:u w:val="single"/>
    </w:rPr>
  </w:style>
  <w:style w:type="paragraph" w:customStyle="1" w:styleId="TableBodyTextRight">
    <w:name w:val="Table Body Text Right"/>
    <w:basedOn w:val="TableBodyText"/>
    <w:rsid w:val="00DE165C"/>
    <w:pPr>
      <w:widowControl w:val="0"/>
      <w:autoSpaceDE w:val="0"/>
      <w:autoSpaceDN w:val="0"/>
      <w:adjustRightInd w:val="0"/>
      <w:jc w:val="right"/>
    </w:pPr>
    <w:rPr>
      <w:rFonts w:cs="Arial"/>
      <w:szCs w:val="18"/>
    </w:rPr>
  </w:style>
  <w:style w:type="paragraph" w:customStyle="1" w:styleId="CopyrightText">
    <w:name w:val="Copyright Text"/>
    <w:basedOn w:val="BodyText"/>
    <w:rsid w:val="00DE165C"/>
    <w:rPr>
      <w:sz w:val="18"/>
    </w:rPr>
  </w:style>
  <w:style w:type="paragraph" w:customStyle="1" w:styleId="BodySmallRight">
    <w:name w:val="Body Small Right"/>
    <w:basedOn w:val="BodyTextRight"/>
    <w:rsid w:val="00DE165C"/>
    <w:rPr>
      <w:sz w:val="18"/>
      <w:szCs w:val="18"/>
    </w:rPr>
  </w:style>
  <w:style w:type="paragraph" w:customStyle="1" w:styleId="MarginEdition">
    <w:name w:val="Margin Edition"/>
    <w:basedOn w:val="MarginNote"/>
    <w:rsid w:val="00DE165C"/>
    <w:pPr>
      <w:spacing w:before="0" w:after="0"/>
    </w:pPr>
    <w:rPr>
      <w:rFonts w:ascii="Times New Roman" w:hAnsi="Times New Roman"/>
      <w:color w:val="999999"/>
    </w:rPr>
  </w:style>
  <w:style w:type="paragraph" w:customStyle="1" w:styleId="Spacer">
    <w:name w:val="Spacer"/>
    <w:basedOn w:val="Normal"/>
    <w:rsid w:val="00DE165C"/>
    <w:rPr>
      <w:sz w:val="2"/>
      <w:szCs w:val="2"/>
    </w:rPr>
  </w:style>
  <w:style w:type="character" w:customStyle="1" w:styleId="Small">
    <w:name w:val="Small"/>
    <w:rsid w:val="00DE165C"/>
    <w:rPr>
      <w:sz w:val="16"/>
    </w:rPr>
  </w:style>
  <w:style w:type="paragraph" w:customStyle="1" w:styleId="WideTable">
    <w:name w:val="Wide Table"/>
    <w:basedOn w:val="Normal"/>
    <w:rsid w:val="00DE165C"/>
    <w:pPr>
      <w:ind w:left="-1418"/>
    </w:pPr>
    <w:rPr>
      <w:sz w:val="2"/>
      <w:szCs w:val="2"/>
    </w:rPr>
  </w:style>
  <w:style w:type="character" w:styleId="PageNumber">
    <w:name w:val="page number"/>
    <w:rsid w:val="00DE165C"/>
  </w:style>
  <w:style w:type="paragraph" w:styleId="Quote">
    <w:name w:val="Quote"/>
    <w:basedOn w:val="Heading1"/>
    <w:link w:val="QuoteChar"/>
    <w:qFormat/>
    <w:rsid w:val="00DE165C"/>
    <w:rPr>
      <w:b w:val="0"/>
      <w:sz w:val="72"/>
      <w:szCs w:val="72"/>
      <w:lang w:val="en-NZ"/>
    </w:rPr>
  </w:style>
  <w:style w:type="character" w:customStyle="1" w:styleId="QuoteChar">
    <w:name w:val="Quote Char"/>
    <w:link w:val="Quote"/>
    <w:rsid w:val="00DE1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65C"/>
    <w:pPr>
      <w:pageBreakBefore/>
    </w:pPr>
  </w:style>
  <w:style w:type="paragraph" w:customStyle="1" w:styleId="Border">
    <w:name w:val="Border"/>
    <w:basedOn w:val="Normal"/>
    <w:qFormat/>
    <w:rsid w:val="00DE165C"/>
    <w:pPr>
      <w:pBdr>
        <w:top w:val="single" w:sz="18" w:space="1" w:color="auto"/>
      </w:pBdr>
    </w:pPr>
    <w:rPr>
      <w:rFonts w:ascii="Times New Roman" w:hAnsi="Times New Roman"/>
      <w:color w:val="FFFFFF"/>
      <w:sz w:val="2"/>
    </w:rPr>
  </w:style>
  <w:style w:type="character" w:styleId="IntenseEmphasis">
    <w:name w:val="Intense Emphasis"/>
    <w:uiPriority w:val="21"/>
    <w:qFormat/>
    <w:rsid w:val="00DE165C"/>
    <w:rPr>
      <w:b/>
      <w:bCs/>
      <w:i/>
      <w:iCs/>
      <w:color w:val="auto"/>
    </w:rPr>
  </w:style>
  <w:style w:type="paragraph" w:styleId="IntenseQuote">
    <w:name w:val="Intense Quote"/>
    <w:basedOn w:val="Normal"/>
    <w:next w:val="Normal"/>
    <w:link w:val="IntenseQuoteChar"/>
    <w:uiPriority w:val="30"/>
    <w:qFormat/>
    <w:rsid w:val="00DE16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165C"/>
    <w:rPr>
      <w:rFonts w:ascii="Courier New" w:eastAsia="Times New Roman" w:hAnsi="Courier New" w:cs="Times New Roman"/>
      <w:b/>
      <w:bCs/>
      <w:i/>
      <w:iCs/>
      <w:szCs w:val="20"/>
      <w:lang w:val="en-US" w:eastAsia="en-US"/>
    </w:rPr>
  </w:style>
  <w:style w:type="character" w:styleId="SubtleReference">
    <w:name w:val="Subtle Reference"/>
    <w:uiPriority w:val="31"/>
    <w:qFormat/>
    <w:rsid w:val="00DE165C"/>
    <w:rPr>
      <w:smallCaps/>
      <w:color w:val="auto"/>
      <w:u w:val="single"/>
    </w:rPr>
  </w:style>
  <w:style w:type="character" w:styleId="IntenseReference">
    <w:name w:val="Intense Reference"/>
    <w:uiPriority w:val="32"/>
    <w:qFormat/>
    <w:rsid w:val="00DE165C"/>
    <w:rPr>
      <w:b/>
      <w:bCs/>
      <w:smallCaps/>
      <w:color w:val="auto"/>
      <w:spacing w:val="5"/>
      <w:u w:val="single"/>
    </w:rPr>
  </w:style>
  <w:style w:type="paragraph" w:customStyle="1" w:styleId="2ColumnHeading">
    <w:name w:val="2Column Heading"/>
    <w:basedOn w:val="BodyText"/>
    <w:qFormat/>
    <w:rsid w:val="00DE165C"/>
    <w:pPr>
      <w:spacing w:after="60"/>
      <w:ind w:left="-2268"/>
    </w:pPr>
    <w:rPr>
      <w:b/>
    </w:rPr>
  </w:style>
  <w:style w:type="paragraph" w:customStyle="1" w:styleId="Heading1TOC">
    <w:name w:val="Heading1 TOC"/>
    <w:basedOn w:val="Normal"/>
    <w:qFormat/>
    <w:rsid w:val="00DE165C"/>
    <w:pPr>
      <w:spacing w:before="240" w:after="120"/>
    </w:pPr>
    <w:rPr>
      <w:rFonts w:ascii="Times New Roman" w:hAnsi="Times New Roman"/>
      <w:b/>
      <w:sz w:val="32"/>
    </w:rPr>
  </w:style>
  <w:style w:type="paragraph" w:customStyle="1" w:styleId="Heading2TOC">
    <w:name w:val="Heading2 TOC"/>
    <w:basedOn w:val="Normal"/>
    <w:qFormat/>
    <w:rsid w:val="00DE165C"/>
    <w:pPr>
      <w:spacing w:before="240" w:after="60"/>
    </w:pPr>
    <w:rPr>
      <w:rFonts w:ascii="Times New Roman" w:hAnsi="Times New Roman"/>
      <w:b/>
      <w:sz w:val="28"/>
    </w:rPr>
  </w:style>
  <w:style w:type="character" w:customStyle="1" w:styleId="Underline">
    <w:name w:val="Underline"/>
    <w:qFormat/>
    <w:rsid w:val="00DE165C"/>
    <w:rPr>
      <w:u w:val="single"/>
    </w:rPr>
  </w:style>
  <w:style w:type="character" w:customStyle="1" w:styleId="BoldandItalics">
    <w:name w:val="Bold and Italics"/>
    <w:qFormat/>
    <w:rsid w:val="00DE165C"/>
    <w:rPr>
      <w:b/>
      <w:i/>
      <w:u w:val="none"/>
    </w:rPr>
  </w:style>
  <w:style w:type="paragraph" w:styleId="BalloonText">
    <w:name w:val="Balloon Text"/>
    <w:basedOn w:val="Normal"/>
    <w:link w:val="BalloonTextChar"/>
    <w:rsid w:val="00DE165C"/>
    <w:rPr>
      <w:rFonts w:ascii="Tahoma" w:hAnsi="Tahoma" w:cs="Tahoma"/>
      <w:sz w:val="16"/>
      <w:szCs w:val="16"/>
    </w:rPr>
  </w:style>
  <w:style w:type="character" w:customStyle="1" w:styleId="BalloonTextChar">
    <w:name w:val="Balloon Text Char"/>
    <w:link w:val="BalloonText"/>
    <w:rsid w:val="00DE16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6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16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1991</Words>
  <Characters>12508</Characters>
  <Application>Microsoft Office Word</Application>
  <DocSecurity>0</DocSecurity>
  <Lines>433</Lines>
  <Paragraphs>201</Paragraphs>
  <ScaleCrop>false</ScaleCrop>
  <Company>Author-it Software Corporation Ltd.</Company>
  <LinksUpToDate>false</LinksUpToDate>
  <CharactersWithSpaces>14431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HLTSTE308C Care for surgical instruments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2012-05-26T17:10:00Z</dcterms:created>
  <dcterms:modified xsi:type="dcterms:W3CDTF">2012-05-26T17:10:00Z</dcterms:modified>
</cp:coreProperties>
</file>