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38E" w:rsidP="00D7338E">
      <w:pPr>
        <w:pStyle w:val="Title"/>
      </w:pPr>
      <w:r>
        <w:fldChar w:fldCharType="begin"/>
      </w:r>
      <w:r>
        <w:instrText xml:space="preserve"> TITLE   \* MERGEFORMAT </w:instrText>
      </w:r>
      <w:r>
        <w:fldChar w:fldCharType="separate"/>
      </w:r>
      <w:r>
        <w:t>HLTPOP501C Apply a population health framework</w:t>
      </w:r>
      <w:r>
        <w:fldChar w:fldCharType="end"/>
      </w:r>
    </w:p>
    <w:p w:rsidR="00D7338E" w:rsidP="00D7338E">
      <w:pPr>
        <w:pStyle w:val="Version"/>
        <w:sectPr w:rsidSect="004E1F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1F56" w:rsidP="004E1F56">
      <w:pPr>
        <w:pStyle w:val="SuperHeading"/>
      </w:pPr>
      <w:r w:rsidRPr="004E1F56">
        <w:t>HLTPOP501C Apply a population health framework</w:t>
      </w:r>
    </w:p>
    <w:p w:rsidR="00000000" w:rsidRPr="004E1F56" w:rsidP="004E1F56">
      <w:pPr>
        <w:pStyle w:val="Heading1"/>
      </w:pPr>
      <w:bookmarkStart w:id="1" w:name="O_271413"/>
      <w:bookmarkEnd w:id="1"/>
      <w:r w:rsidRPr="004E1F56">
        <w:t>Modification History</w:t>
      </w:r>
    </w:p>
    <w:p w:rsidR="00000000" w:rsidRPr="004E1F56" w:rsidP="004E1F56">
      <w:pPr>
        <w:pStyle w:val="BodyText"/>
      </w:pPr>
      <w:r w:rsidRPr="004E1F56">
        <w:t>Not Applicable</w:t>
      </w:r>
    </w:p>
    <w:p w:rsidR="00000000" w:rsidRPr="004E1F56" w:rsidP="004E1F56">
      <w:pPr>
        <w:pStyle w:val="AllowPageBreak"/>
      </w:pPr>
    </w:p>
    <w:p w:rsidR="00000000" w:rsidRPr="004E1F56" w:rsidP="004E1F56">
      <w:pPr>
        <w:pStyle w:val="Heading1"/>
      </w:pPr>
      <w:bookmarkStart w:id="2" w:name="O_206617"/>
      <w:bookmarkEnd w:id="2"/>
      <w:r w:rsidRPr="004E1F56">
        <w:t>Unit Descriptor</w:t>
      </w:r>
    </w:p>
    <w:tbl>
      <w:tblPr>
        <w:tblW w:w="0" w:type="auto"/>
        <w:tblLayout w:type="fixed"/>
        <w:tblCellMar>
          <w:left w:w="62" w:type="dxa"/>
          <w:right w:w="62" w:type="dxa"/>
        </w:tblCellMar>
        <w:tblLook w:val="0000"/>
      </w:tblPr>
      <w:tblGrid>
        <w:gridCol w:w="3338"/>
        <w:gridCol w:w="5218"/>
      </w:tblGrid>
      <w:tr w:rsidTr="00D7338E">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4E1F56" w:rsidP="004E1F56">
            <w:pPr>
              <w:pStyle w:val="BodyText"/>
            </w:pPr>
            <w:r w:rsidRPr="004E1F56">
              <w:t>This unit is intended to support workers to understand and apply the underlying principles and ph</w:t>
            </w:r>
            <w:r w:rsidRPr="004E1F56">
              <w:t>ilosophy that must be reflected in all areas of population health work</w:t>
            </w:r>
          </w:p>
          <w:p w:rsidR="00000000" w:rsidRPr="004E1F56" w:rsidP="004E1F56">
            <w:pPr>
              <w:pStyle w:val="BodyText"/>
            </w:pPr>
            <w:r w:rsidRPr="004E1F56">
              <w:t>This includes using appropriately a range of "change action" frameworks underpinning population health work</w:t>
            </w:r>
          </w:p>
          <w:p w:rsidR="00000000" w:rsidRPr="004E1F56" w:rsidP="004E1F56">
            <w:pPr>
              <w:pStyle w:val="BodyText"/>
            </w:pPr>
            <w:r w:rsidRPr="004E1F56">
              <w:t>The unit also assists in locating the population health worker within the lar</w:t>
            </w:r>
            <w:r w:rsidRPr="004E1F56">
              <w:t>ger context of regional, national and international initiatives on promoting health</w:t>
            </w:r>
          </w:p>
        </w:tc>
      </w:tr>
    </w:tbl>
    <w:p w:rsidR="00D7338E" w:rsidP="004E1F56">
      <w:pPr>
        <w:pStyle w:val="BodyText"/>
      </w:pPr>
    </w:p>
    <w:p w:rsidR="00D7338E" w:rsidP="004E1F56">
      <w:pPr>
        <w:pStyle w:val="BodyText"/>
      </w:pPr>
    </w:p>
    <w:p w:rsidR="00000000" w:rsidRPr="004E1F56" w:rsidP="004E1F56">
      <w:pPr>
        <w:pStyle w:val="Heading1"/>
      </w:pPr>
      <w:bookmarkStart w:id="3" w:name="O_206619"/>
      <w:bookmarkEnd w:id="3"/>
      <w:r w:rsidRPr="004E1F56">
        <w:t>Application of the Unit</w:t>
      </w:r>
    </w:p>
    <w:tbl>
      <w:tblPr>
        <w:tblW w:w="0" w:type="auto"/>
        <w:tblLayout w:type="fixed"/>
        <w:tblCellMar>
          <w:left w:w="62" w:type="dxa"/>
          <w:right w:w="62" w:type="dxa"/>
        </w:tblCellMar>
        <w:tblLook w:val="0000"/>
      </w:tblPr>
      <w:tblGrid>
        <w:gridCol w:w="3349"/>
        <w:gridCol w:w="5207"/>
      </w:tblGrid>
      <w:tr w:rsidTr="00D7338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rPr>
                <w:rStyle w:val="SpecialBold"/>
              </w:rPr>
              <w:t>Application</w:t>
            </w:r>
            <w:r w:rsidRPr="004E1F56">
              <w:t xml:space="preserve"> </w:t>
            </w:r>
          </w:p>
        </w:tc>
        <w:tc>
          <w:tcPr>
            <w:tcW w:w="5207" w:type="dxa"/>
            <w:tcBorders>
              <w:top w:val="nil"/>
              <w:left w:val="nil"/>
              <w:bottom w:val="nil"/>
              <w:right w:val="nil"/>
            </w:tcBorders>
            <w:tcMar>
              <w:top w:w="0" w:type="dxa"/>
              <w:left w:w="62" w:type="dxa"/>
              <w:bottom w:w="0" w:type="dxa"/>
              <w:right w:w="62" w:type="dxa"/>
            </w:tcMar>
          </w:tcPr>
          <w:p w:rsidR="00000000" w:rsidRPr="004E1F56" w:rsidP="004E1F56">
            <w:pPr>
              <w:pStyle w:val="BodyText"/>
            </w:pPr>
            <w:r w:rsidRPr="004E1F56">
              <w:t>This unit applies to work in a public health context</w:t>
            </w:r>
          </w:p>
        </w:tc>
      </w:tr>
    </w:tbl>
    <w:p w:rsidR="00D7338E" w:rsidP="004E1F56">
      <w:pPr>
        <w:pStyle w:val="BodyText"/>
      </w:pPr>
    </w:p>
    <w:p w:rsidR="00D7338E" w:rsidP="004E1F56">
      <w:pPr>
        <w:pStyle w:val="BodyText"/>
      </w:pPr>
    </w:p>
    <w:p w:rsidR="00000000" w:rsidRPr="004E1F56" w:rsidP="004E1F56">
      <w:pPr>
        <w:pStyle w:val="Heading1"/>
      </w:pPr>
      <w:bookmarkStart w:id="4" w:name="O_279673"/>
      <w:bookmarkEnd w:id="4"/>
      <w:r w:rsidRPr="004E1F56">
        <w:t>Licensing/Regulatory Information</w:t>
      </w:r>
    </w:p>
    <w:p w:rsidR="00000000" w:rsidRPr="004E1F56" w:rsidP="004E1F56">
      <w:pPr>
        <w:pStyle w:val="BodyText"/>
      </w:pPr>
      <w:r w:rsidRPr="004E1F56">
        <w:t>Not Applicable</w:t>
      </w:r>
    </w:p>
    <w:p w:rsidR="00000000" w:rsidRPr="004E1F56" w:rsidP="004E1F56">
      <w:pPr>
        <w:pStyle w:val="AllowPageBreak"/>
      </w:pPr>
    </w:p>
    <w:p w:rsidR="00000000" w:rsidRPr="004E1F56" w:rsidP="004E1F56">
      <w:pPr>
        <w:pStyle w:val="Heading1"/>
      </w:pPr>
      <w:bookmarkStart w:id="5" w:name="O_284342"/>
      <w:bookmarkEnd w:id="5"/>
      <w:r w:rsidRPr="004E1F56">
        <w:t>Pre-Requisites</w:t>
      </w:r>
    </w:p>
    <w:p w:rsidR="00000000" w:rsidRPr="004E1F56" w:rsidP="004E1F56">
      <w:pPr>
        <w:pStyle w:val="BodyText"/>
      </w:pPr>
      <w:r w:rsidRPr="004E1F56">
        <w:t>Not Applicable</w:t>
      </w:r>
    </w:p>
    <w:p w:rsidR="00000000" w:rsidRPr="004E1F56" w:rsidP="004E1F56">
      <w:pPr>
        <w:pStyle w:val="AllowPageBreak"/>
      </w:pPr>
    </w:p>
    <w:p w:rsidR="00000000" w:rsidRPr="004E1F56" w:rsidP="004E1F56">
      <w:pPr>
        <w:pStyle w:val="Heading1"/>
      </w:pPr>
      <w:bookmarkStart w:id="6" w:name="O_206618"/>
      <w:bookmarkEnd w:id="6"/>
      <w:r w:rsidRPr="004E1F56">
        <w:t>Employability Skills Information</w:t>
      </w:r>
    </w:p>
    <w:tbl>
      <w:tblPr>
        <w:tblW w:w="0" w:type="auto"/>
        <w:tblLayout w:type="fixed"/>
        <w:tblCellMar>
          <w:left w:w="62" w:type="dxa"/>
          <w:right w:w="62" w:type="dxa"/>
        </w:tblCellMar>
        <w:tblLook w:val="0000"/>
      </w:tblPr>
      <w:tblGrid>
        <w:gridCol w:w="3320"/>
        <w:gridCol w:w="5236"/>
      </w:tblGrid>
      <w:tr w:rsidTr="00D7338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E1F56" w:rsidP="004E1F56">
            <w:pPr>
              <w:pStyle w:val="BodyText"/>
            </w:pPr>
            <w:r w:rsidRPr="004E1F56">
              <w:t>This unit contains Employability Skills</w:t>
            </w:r>
          </w:p>
        </w:tc>
      </w:tr>
    </w:tbl>
    <w:p w:rsidR="00D7338E" w:rsidP="004E1F56">
      <w:pPr>
        <w:pStyle w:val="BodyText"/>
      </w:pPr>
    </w:p>
    <w:p w:rsidR="00D7338E" w:rsidP="004E1F56">
      <w:pPr>
        <w:pStyle w:val="BodyText"/>
      </w:pPr>
    </w:p>
    <w:p w:rsidR="00000000" w:rsidRPr="004E1F56" w:rsidP="004E1F56">
      <w:pPr>
        <w:pStyle w:val="Heading1"/>
      </w:pPr>
      <w:bookmarkStart w:id="7" w:name="O_289459"/>
      <w:bookmarkEnd w:id="7"/>
      <w:r w:rsidRPr="004E1F56">
        <w:t>Elements and Performance Criteria Pre-Content</w:t>
      </w:r>
    </w:p>
    <w:tbl>
      <w:tblPr>
        <w:tblW w:w="0" w:type="auto"/>
        <w:tblLayout w:type="fixed"/>
        <w:tblCellMar>
          <w:left w:w="62" w:type="dxa"/>
          <w:right w:w="62" w:type="dxa"/>
        </w:tblCellMar>
        <w:tblLook w:val="0000"/>
      </w:tblPr>
      <w:tblGrid>
        <w:gridCol w:w="3369"/>
        <w:gridCol w:w="5702"/>
      </w:tblGrid>
      <w:tr w:rsidTr="00D733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E1F56" w:rsidP="004E1F56">
            <w:pPr>
              <w:pStyle w:val="BodyText"/>
            </w:pPr>
            <w:r w:rsidRPr="004E1F56">
              <w:t xml:space="preserve">The Performance Criteria specify the level of performance required to demonstrate achievement of the Element. Terms in italics are elaborated in the Range Statement. </w:t>
            </w:r>
          </w:p>
        </w:tc>
      </w:tr>
    </w:tbl>
    <w:p w:rsidR="00000000" w:rsidRPr="004E1F56" w:rsidP="004E1F56">
      <w:pPr>
        <w:pStyle w:val="BodyText"/>
      </w:pPr>
    </w:p>
    <w:p w:rsidR="00000000" w:rsidRPr="004E1F56" w:rsidP="004E1F56">
      <w:pPr>
        <w:pStyle w:val="AllowPageBreak"/>
      </w:pPr>
    </w:p>
    <w:p w:rsidR="00000000" w:rsidRPr="004E1F56" w:rsidP="004E1F56">
      <w:pPr>
        <w:pStyle w:val="Heading1"/>
      </w:pPr>
      <w:bookmarkStart w:id="8" w:name="O_236126"/>
      <w:bookmarkEnd w:id="8"/>
      <w:r w:rsidRPr="004E1F56">
        <w:t>Elements and Performance Criteria</w:t>
      </w:r>
    </w:p>
    <w:tbl>
      <w:tblPr>
        <w:tblW w:w="0" w:type="auto"/>
        <w:tblLayout w:type="fixed"/>
        <w:tblCellMar>
          <w:left w:w="62" w:type="dxa"/>
          <w:right w:w="62" w:type="dxa"/>
        </w:tblCellMar>
        <w:tblLook w:val="0000"/>
      </w:tblPr>
      <w:tblGrid>
        <w:gridCol w:w="3369"/>
        <w:gridCol w:w="5702"/>
      </w:tblGrid>
      <w:tr w:rsidTr="00D7338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E1F56" w:rsidP="004E1F56">
            <w:pPr>
              <w:pStyle w:val="BodyText"/>
            </w:pPr>
            <w:r w:rsidRPr="004E1F5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rPr>
                <w:rStyle w:val="SpecialBold"/>
              </w:rPr>
              <w:t>PERFORMANCE CRITERIA</w:t>
            </w:r>
          </w:p>
        </w:tc>
      </w:tr>
      <w:tr w:rsidTr="00D733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1F56">
            <w:pPr>
              <w:pStyle w:val="List"/>
              <w:rPr>
                <w:lang w:val="en-NZ"/>
              </w:rPr>
            </w:pPr>
            <w:r w:rsidRPr="004E1F56">
              <w:t>1.</w:t>
            </w:r>
            <w:r w:rsidRPr="004E1F56">
              <w:tab/>
              <w:t xml:space="preserve">Apply the principles of the </w:t>
            </w:r>
            <w:r w:rsidRPr="004E1F56">
              <w:rPr>
                <w:rStyle w:val="Emphasis"/>
              </w:rPr>
              <w:t>population</w:t>
            </w:r>
            <w:r w:rsidRPr="004E1F56">
              <w:t xml:space="preserve"> health approach to relevant work</w:t>
            </w:r>
          </w:p>
        </w:tc>
        <w:tc>
          <w:tcPr>
            <w:tcW w:w="5702" w:type="dxa"/>
            <w:tcBorders>
              <w:top w:val="nil"/>
              <w:left w:val="nil"/>
              <w:bottom w:val="nil"/>
              <w:right w:val="nil"/>
            </w:tcBorders>
            <w:tcMar>
              <w:top w:w="0" w:type="dxa"/>
              <w:left w:w="62" w:type="dxa"/>
              <w:bottom w:w="0" w:type="dxa"/>
              <w:right w:w="62" w:type="dxa"/>
            </w:tcMar>
          </w:tcPr>
          <w:p w:rsidR="00000000" w:rsidRPr="004E1F56" w:rsidP="004E1F56">
            <w:pPr>
              <w:pStyle w:val="BodyText"/>
            </w:pPr>
            <w:r w:rsidRPr="004E1F56">
              <w:t>1.1</w:t>
            </w:r>
            <w:r w:rsidRPr="004E1F56">
              <w:tab/>
              <w:t xml:space="preserve">Identify current and historic </w:t>
            </w:r>
            <w:r w:rsidRPr="004E1F56">
              <w:rPr>
                <w:rStyle w:val="Emphasis"/>
              </w:rPr>
              <w:t>concepts of health</w:t>
            </w:r>
            <w:r w:rsidRPr="004E1F56">
              <w:t xml:space="preserve"> and its determinants </w:t>
            </w:r>
          </w:p>
          <w:p w:rsidR="00000000" w:rsidRPr="004E1F56" w:rsidP="004E1F56">
            <w:pPr>
              <w:pStyle w:val="BodyText"/>
            </w:pPr>
            <w:r w:rsidRPr="004E1F56">
              <w:t>1.2</w:t>
            </w:r>
            <w:r w:rsidRPr="004E1F56">
              <w:tab/>
              <w:t>Identify key principles to a populatio</w:t>
            </w:r>
            <w:r w:rsidRPr="004E1F56">
              <w:t xml:space="preserve">n health approach </w:t>
            </w:r>
          </w:p>
          <w:p w:rsidR="00000000" w:rsidP="004E1F56">
            <w:pPr>
              <w:pStyle w:val="BodyText"/>
              <w:rPr>
                <w:lang w:val="en-NZ"/>
              </w:rPr>
            </w:pPr>
            <w:r w:rsidRPr="004E1F56">
              <w:t>1.3</w:t>
            </w:r>
            <w:r w:rsidRPr="004E1F56">
              <w:tab/>
              <w:t>Modify work approach so as to apply key principles of population health</w:t>
            </w:r>
          </w:p>
        </w:tc>
      </w:tr>
      <w:tr w:rsidTr="00D733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p>
        </w:tc>
      </w:tr>
      <w:tr w:rsidTr="00D733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1F56">
            <w:pPr>
              <w:pStyle w:val="List"/>
              <w:rPr>
                <w:lang w:val="en-NZ"/>
              </w:rPr>
            </w:pPr>
            <w:r w:rsidRPr="004E1F56">
              <w:t>2.</w:t>
            </w:r>
            <w:r w:rsidRPr="004E1F56">
              <w:tab/>
              <w:t>Select from of a range of '</w:t>
            </w:r>
            <w:r w:rsidRPr="004E1F56">
              <w:rPr>
                <w:rStyle w:val="Emphasis"/>
              </w:rPr>
              <w:t>change action' frameworks</w:t>
            </w:r>
            <w:r w:rsidRPr="004E1F56">
              <w:t xml:space="preserve"> that underpin population health work</w:t>
            </w:r>
          </w:p>
        </w:tc>
        <w:tc>
          <w:tcPr>
            <w:tcW w:w="5702" w:type="dxa"/>
            <w:tcBorders>
              <w:top w:val="nil"/>
              <w:left w:val="nil"/>
              <w:bottom w:val="nil"/>
              <w:right w:val="nil"/>
            </w:tcBorders>
            <w:tcMar>
              <w:top w:w="0" w:type="dxa"/>
              <w:left w:w="62" w:type="dxa"/>
              <w:bottom w:w="0" w:type="dxa"/>
              <w:right w:w="62" w:type="dxa"/>
            </w:tcMar>
          </w:tcPr>
          <w:p w:rsidR="00000000" w:rsidRPr="004E1F56" w:rsidP="004E1F56">
            <w:pPr>
              <w:pStyle w:val="BodyText"/>
            </w:pPr>
            <w:r w:rsidRPr="004E1F56">
              <w:t>2.1</w:t>
            </w:r>
            <w:r w:rsidRPr="004E1F56">
              <w:tab/>
            </w:r>
            <w:r w:rsidRPr="004E1F56">
              <w:t xml:space="preserve">Identify relevant population health 'change action' frameworks </w:t>
            </w:r>
          </w:p>
          <w:p w:rsidR="00000000" w:rsidRPr="004E1F56" w:rsidP="004E1F56">
            <w:pPr>
              <w:pStyle w:val="BodyText"/>
            </w:pPr>
            <w:r w:rsidRPr="004E1F56">
              <w:t>2.2</w:t>
            </w:r>
            <w:r w:rsidRPr="004E1F56">
              <w:tab/>
              <w:t>Match appropriate 'change action' frameworks to population health tasks on the basis of theory and/or past evidence</w:t>
            </w:r>
          </w:p>
          <w:p w:rsidR="00000000" w:rsidRPr="004E1F56" w:rsidP="004E1F56">
            <w:pPr>
              <w:pStyle w:val="BodyText"/>
            </w:pPr>
            <w:r w:rsidRPr="004E1F56">
              <w:t>2.3</w:t>
            </w:r>
            <w:r w:rsidRPr="004E1F56">
              <w:tab/>
              <w:t>Recognise and reflect a multi-disciplinary and multi-strategic appro</w:t>
            </w:r>
            <w:r w:rsidRPr="004E1F56">
              <w:t>ach in population health work</w:t>
            </w:r>
          </w:p>
          <w:p w:rsidR="00000000" w:rsidP="004E1F56">
            <w:pPr>
              <w:pStyle w:val="BodyText"/>
              <w:rPr>
                <w:lang w:val="en-NZ"/>
              </w:rPr>
            </w:pPr>
            <w:r w:rsidRPr="004E1F56">
              <w:t>2.4</w:t>
            </w:r>
            <w:r w:rsidRPr="004E1F56">
              <w:tab/>
              <w:t xml:space="preserve">Notice and remedy the consequences of poor selection </w:t>
            </w:r>
          </w:p>
        </w:tc>
      </w:tr>
      <w:tr w:rsidTr="00D733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p>
        </w:tc>
      </w:tr>
      <w:tr w:rsidTr="00D733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1F56">
            <w:pPr>
              <w:pStyle w:val="List"/>
              <w:rPr>
                <w:lang w:val="en-NZ"/>
              </w:rPr>
            </w:pPr>
            <w:r w:rsidRPr="004E1F56">
              <w:t>3.</w:t>
            </w:r>
            <w:r w:rsidRPr="004E1F56">
              <w:tab/>
              <w:t xml:space="preserve">Work effectively within the local, state, national and international context within which a population health worker operates </w:t>
            </w:r>
          </w:p>
        </w:tc>
        <w:tc>
          <w:tcPr>
            <w:tcW w:w="5702" w:type="dxa"/>
            <w:tcBorders>
              <w:top w:val="nil"/>
              <w:left w:val="nil"/>
              <w:bottom w:val="nil"/>
              <w:right w:val="nil"/>
            </w:tcBorders>
            <w:tcMar>
              <w:top w:w="0" w:type="dxa"/>
              <w:left w:w="62" w:type="dxa"/>
              <w:bottom w:w="0" w:type="dxa"/>
              <w:right w:w="62" w:type="dxa"/>
            </w:tcMar>
          </w:tcPr>
          <w:p w:rsidR="00000000" w:rsidRPr="004E1F56" w:rsidP="004E1F56">
            <w:pPr>
              <w:pStyle w:val="BodyText"/>
            </w:pPr>
            <w:r w:rsidRPr="004E1F56">
              <w:t>3.1</w:t>
            </w:r>
            <w:r w:rsidRPr="004E1F56">
              <w:tab/>
              <w:t>Identify and assess relevant l</w:t>
            </w:r>
            <w:r w:rsidRPr="004E1F56">
              <w:t xml:space="preserve">ocal, state and national organisations, networks, policies and initiatives supporting population health </w:t>
            </w:r>
          </w:p>
          <w:p w:rsidR="00000000" w:rsidRPr="004E1F56" w:rsidP="004E1F56">
            <w:pPr>
              <w:pStyle w:val="BodyText"/>
            </w:pPr>
            <w:r w:rsidRPr="004E1F56">
              <w:t>3.2</w:t>
            </w:r>
            <w:r w:rsidRPr="004E1F56">
              <w:tab/>
              <w:t xml:space="preserve">Explore priority population health issues at the local, state, national level and international levels </w:t>
            </w:r>
          </w:p>
          <w:p w:rsidR="00000000" w:rsidRPr="004E1F56" w:rsidP="004E1F56">
            <w:pPr>
              <w:pStyle w:val="BodyText"/>
            </w:pPr>
            <w:r w:rsidRPr="004E1F56">
              <w:t>3.3</w:t>
            </w:r>
            <w:r w:rsidRPr="004E1F56">
              <w:tab/>
              <w:t>Determine limitations on actions result</w:t>
            </w:r>
            <w:r w:rsidRPr="004E1F56">
              <w:t>ing from legislation etc. and discuss with superiors, peers and other team members</w:t>
            </w:r>
          </w:p>
          <w:p w:rsidR="00000000" w:rsidP="004E1F56">
            <w:pPr>
              <w:pStyle w:val="BodyText"/>
              <w:rPr>
                <w:lang w:val="en-NZ"/>
              </w:rPr>
            </w:pPr>
            <w:r w:rsidRPr="004E1F56">
              <w:t>3.4</w:t>
            </w:r>
            <w:r w:rsidRPr="004E1F56">
              <w:tab/>
              <w:t xml:space="preserve">Clarify own role as part of a multi-sectoral and multi-strategic approach to population health </w:t>
            </w:r>
          </w:p>
        </w:tc>
      </w:tr>
      <w:tr w:rsidTr="00D733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E1F56" w:rsidP="004E1F56">
            <w:pPr>
              <w:pStyle w:val="BodyText"/>
            </w:pPr>
          </w:p>
        </w:tc>
      </w:tr>
    </w:tbl>
    <w:p w:rsidR="00D7338E" w:rsidP="004E1F56">
      <w:pPr>
        <w:pStyle w:val="BodyText"/>
      </w:pPr>
    </w:p>
    <w:p w:rsidR="00D7338E" w:rsidP="004E1F56">
      <w:pPr>
        <w:pStyle w:val="BodyText"/>
      </w:pPr>
    </w:p>
    <w:p w:rsidR="00000000" w:rsidRPr="004E1F56" w:rsidP="004E1F56">
      <w:pPr>
        <w:pStyle w:val="Heading1"/>
      </w:pPr>
      <w:bookmarkStart w:id="9" w:name="O_260076"/>
      <w:bookmarkEnd w:id="9"/>
      <w:r w:rsidRPr="004E1F56">
        <w:t>Required Skills and Knowledge</w:t>
      </w:r>
    </w:p>
    <w:tbl>
      <w:tblPr>
        <w:tblW w:w="0" w:type="auto"/>
        <w:tblLayout w:type="fixed"/>
        <w:tblCellMar>
          <w:left w:w="62" w:type="dxa"/>
          <w:right w:w="62" w:type="dxa"/>
        </w:tblCellMar>
        <w:tblLook w:val="0000"/>
      </w:tblPr>
      <w:tblGrid>
        <w:gridCol w:w="9072"/>
      </w:tblGrid>
      <w:tr w:rsidTr="00D7338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rPr>
                <w:rStyle w:val="SpecialBold"/>
              </w:rPr>
              <w:t>REQUIRED SKILLS AND KNOWLEDGE</w:t>
            </w:r>
          </w:p>
        </w:tc>
      </w:tr>
      <w:tr w:rsidTr="00D733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p>
        </w:tc>
      </w:tr>
      <w:tr w:rsidTr="00D733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t>This describes the essential skills and knowledge and their level required for this unit.</w:t>
            </w:r>
          </w:p>
        </w:tc>
      </w:tr>
      <w:tr w:rsidTr="00D733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p>
        </w:tc>
      </w:tr>
      <w:tr w:rsidTr="00D733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1F56" w:rsidP="004E1F56">
            <w:pPr>
              <w:pStyle w:val="BodyText"/>
            </w:pPr>
            <w:r w:rsidRPr="004E1F56">
              <w:rPr>
                <w:rStyle w:val="Emphasis"/>
              </w:rPr>
              <w:t>Essential knowledge</w:t>
            </w:r>
            <w:r w:rsidRPr="004E1F56">
              <w:t>:</w:t>
            </w:r>
          </w:p>
          <w:p w:rsidR="00000000" w:rsidRPr="004E1F56" w:rsidP="004E1F56">
            <w:pPr>
              <w:pStyle w:val="BodyText"/>
            </w:pPr>
            <w:r w:rsidRPr="004E1F56">
              <w:t>The candidate must be able to demonstrate essential knowledge required to effectively do the task outlined in</w:t>
            </w:r>
            <w:r w:rsidRPr="004E1F56">
              <w:t xml:space="preserve"> elements and performance criteria of this unit, manage the task and manage contingencies in the context of the identified work role</w:t>
            </w:r>
          </w:p>
          <w:p w:rsidR="00000000" w:rsidRPr="004E1F56" w:rsidP="004E1F56">
            <w:pPr>
              <w:pStyle w:val="BodyText"/>
            </w:pPr>
            <w:r w:rsidRPr="004E1F56">
              <w:t>This includes knowledge of:</w:t>
            </w:r>
          </w:p>
          <w:p w:rsidR="00000000" w:rsidRPr="004E1F56" w:rsidP="004E1F56">
            <w:pPr>
              <w:pStyle w:val="ListBullet"/>
            </w:pPr>
            <w:r w:rsidRPr="004E1F56">
              <w:t>Equity issues in population health</w:t>
            </w:r>
          </w:p>
          <w:p w:rsidR="00000000" w:rsidRPr="004E1F56" w:rsidP="004E1F56">
            <w:pPr>
              <w:pStyle w:val="ListBullet"/>
            </w:pPr>
            <w:r w:rsidRPr="004E1F56">
              <w:t>Evidence-based practice</w:t>
            </w:r>
          </w:p>
          <w:p w:rsidR="00000000" w:rsidRPr="004E1F56" w:rsidP="004E1F56">
            <w:pPr>
              <w:pStyle w:val="ListBullet"/>
            </w:pPr>
            <w:r w:rsidRPr="004E1F56">
              <w:t>National, State and local health policies, goals, targets and priorities and relevant legislative frameworks</w:t>
            </w:r>
          </w:p>
          <w:p w:rsidR="00000000" w:rsidRPr="004E1F56" w:rsidP="004E1F56">
            <w:pPr>
              <w:pStyle w:val="ListBullet"/>
            </w:pPr>
            <w:r w:rsidRPr="004E1F56">
              <w:t xml:space="preserve">Population health issues in Australia </w:t>
            </w:r>
          </w:p>
          <w:p w:rsidR="00000000" w:rsidRPr="004E1F56" w:rsidP="004E1F56">
            <w:pPr>
              <w:pStyle w:val="ListBullet"/>
            </w:pPr>
            <w:r w:rsidRPr="004E1F56">
              <w:t xml:space="preserve">Principles and practices of population health </w:t>
            </w:r>
          </w:p>
          <w:p w:rsidR="00000000" w:rsidRPr="004E1F56" w:rsidP="004E1F56">
            <w:pPr>
              <w:pStyle w:val="ListBullet"/>
            </w:pPr>
            <w:r w:rsidRPr="004E1F56">
              <w:t>Range of population health strategies and application of best</w:t>
            </w:r>
            <w:r w:rsidRPr="004E1F56">
              <w:t xml:space="preserve"> practice in population health</w:t>
            </w:r>
          </w:p>
          <w:p w:rsidR="00000000" w:rsidRPr="004E1F56" w:rsidP="004E1F56">
            <w:pPr>
              <w:pStyle w:val="ListBullet"/>
            </w:pPr>
            <w:r w:rsidRPr="004E1F56">
              <w:t>Relevant international charters/declarations and documents (e.g. Ottawa Charter, Alma Ata, Jakarta Declaration, The Solid Facts by WHO)</w:t>
            </w:r>
          </w:p>
          <w:p w:rsidR="00000000" w:rsidRPr="004E1F56" w:rsidP="004E1F56">
            <w:pPr>
              <w:pStyle w:val="ListBullet"/>
            </w:pPr>
            <w:r w:rsidRPr="004E1F56">
              <w:t xml:space="preserve">Social determinants of health </w:t>
            </w:r>
          </w:p>
          <w:p w:rsidR="00000000" w:rsidRPr="004E1F56" w:rsidP="004E1F56">
            <w:pPr>
              <w:pStyle w:val="ListBullet"/>
            </w:pPr>
            <w:r w:rsidRPr="004E1F56">
              <w:t xml:space="preserve">Theory and practice of population health including health </w:t>
            </w:r>
            <w:r w:rsidRPr="004E1F56">
              <w:t>promotion, health protection and prevention of communicable and non communicable diseases</w:t>
            </w:r>
          </w:p>
          <w:p w:rsidR="00000000" w:rsidP="004E1F56">
            <w:pPr>
              <w:pStyle w:val="ListBullet"/>
              <w:rPr>
                <w:lang w:val="en-NZ"/>
              </w:rPr>
            </w:pPr>
            <w:r w:rsidRPr="004E1F56">
              <w:t>Types of organisations involved in population health in Australia</w:t>
            </w:r>
          </w:p>
        </w:tc>
      </w:tr>
      <w:tr w:rsidTr="00D733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p>
        </w:tc>
      </w:tr>
      <w:tr w:rsidTr="00D733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1F56" w:rsidP="004E1F56">
            <w:pPr>
              <w:pStyle w:val="BodyText"/>
            </w:pPr>
            <w:r w:rsidRPr="004E1F56">
              <w:rPr>
                <w:rStyle w:val="Emphasis"/>
              </w:rPr>
              <w:t>Essential skills</w:t>
            </w:r>
            <w:r w:rsidRPr="004E1F56">
              <w:t>:</w:t>
            </w:r>
          </w:p>
          <w:p w:rsidR="00000000" w:rsidRPr="004E1F56" w:rsidP="004E1F56">
            <w:pPr>
              <w:pStyle w:val="BodyText"/>
            </w:pPr>
            <w:r w:rsidRPr="004E1F56">
              <w:t>It is critical that the candidate demonstrate the ability to effectively do the</w:t>
            </w:r>
            <w:r w:rsidRPr="004E1F56">
              <w:t xml:space="preserve"> task outlined in elements and performance criteria of this unit, manage the task and manage contingencies in the context of the identified work role</w:t>
            </w:r>
          </w:p>
          <w:p w:rsidR="00000000" w:rsidRPr="004E1F56" w:rsidP="004E1F56">
            <w:pPr>
              <w:pStyle w:val="BodyText"/>
            </w:pPr>
            <w:r w:rsidRPr="004E1F56">
              <w:t>This includes the ability to:</w:t>
            </w:r>
          </w:p>
          <w:p w:rsidR="00000000" w:rsidRPr="004E1F56" w:rsidP="004E1F56">
            <w:pPr>
              <w:pStyle w:val="ListBullet"/>
            </w:pPr>
            <w:r w:rsidRPr="004E1F56">
              <w:t>Apply analytical thinking, problem solving and critical appraisal</w:t>
            </w:r>
          </w:p>
          <w:p w:rsidR="00000000" w:rsidRPr="004E1F56" w:rsidP="004E1F56">
            <w:pPr>
              <w:pStyle w:val="ListBullet"/>
            </w:pPr>
            <w:r w:rsidRPr="004E1F56">
              <w:t>Apply effective communication and interpersonal skills including:</w:t>
            </w:r>
          </w:p>
          <w:p w:rsidR="00000000" w:rsidRPr="004E1F56" w:rsidP="004E1F56">
            <w:pPr>
              <w:pStyle w:val="ListBullet2"/>
            </w:pPr>
            <w:r w:rsidRPr="004E1F56">
              <w:t xml:space="preserve">high level written or verbal </w:t>
            </w:r>
          </w:p>
          <w:p w:rsidR="00000000" w:rsidRPr="004E1F56" w:rsidP="004E1F56">
            <w:pPr>
              <w:pStyle w:val="ListBullet2"/>
            </w:pPr>
            <w:r w:rsidRPr="004E1F56">
              <w:t xml:space="preserve">negotiation and liaison </w:t>
            </w:r>
          </w:p>
          <w:p w:rsidR="00000000" w:rsidRPr="004E1F56" w:rsidP="004E1F56">
            <w:pPr>
              <w:pStyle w:val="ListBullet2"/>
            </w:pPr>
            <w:r w:rsidRPr="004E1F56">
              <w:t xml:space="preserve">consultation </w:t>
            </w:r>
          </w:p>
          <w:p w:rsidR="00000000" w:rsidRPr="004E1F56" w:rsidP="004E1F56">
            <w:pPr>
              <w:pStyle w:val="ListBullet2"/>
            </w:pPr>
            <w:r w:rsidRPr="004E1F56">
              <w:t xml:space="preserve">conflict resolution and mediation </w:t>
            </w:r>
          </w:p>
          <w:p w:rsidR="00000000" w:rsidRPr="004E1F56" w:rsidP="004E1F56">
            <w:pPr>
              <w:pStyle w:val="ListBullet"/>
            </w:pPr>
            <w:r w:rsidRPr="004E1F56">
              <w:t>Gather information from documentation, consultation and other sources</w:t>
            </w:r>
          </w:p>
          <w:p w:rsidR="00000000" w:rsidRPr="004E1F56" w:rsidP="004E1F56">
            <w:pPr>
              <w:pStyle w:val="ListBullet"/>
            </w:pPr>
            <w:r w:rsidRPr="004E1F56">
              <w:t>Translate 'big</w:t>
            </w:r>
            <w:r w:rsidRPr="004E1F56">
              <w:t xml:space="preserve"> picture' information into value at the local and regional level</w:t>
            </w:r>
          </w:p>
        </w:tc>
      </w:tr>
    </w:tbl>
    <w:p w:rsidR="00D7338E" w:rsidP="004E1F56">
      <w:pPr>
        <w:pStyle w:val="BodyText"/>
      </w:pPr>
    </w:p>
    <w:p w:rsidR="00D7338E" w:rsidP="004E1F56">
      <w:pPr>
        <w:pStyle w:val="BodyText"/>
      </w:pPr>
    </w:p>
    <w:p w:rsidR="00000000" w:rsidRPr="004E1F56" w:rsidP="004E1F56">
      <w:pPr>
        <w:pStyle w:val="Heading1"/>
      </w:pPr>
      <w:bookmarkStart w:id="10" w:name="O_244110"/>
      <w:bookmarkEnd w:id="10"/>
      <w:r w:rsidRPr="004E1F56">
        <w:t>Evidence Guide</w:t>
      </w:r>
    </w:p>
    <w:tbl>
      <w:tblPr>
        <w:tblW w:w="0" w:type="auto"/>
        <w:tblLayout w:type="fixed"/>
        <w:tblCellMar>
          <w:left w:w="62" w:type="dxa"/>
          <w:right w:w="62" w:type="dxa"/>
        </w:tblCellMar>
        <w:tblLook w:val="0000"/>
      </w:tblPr>
      <w:tblGrid>
        <w:gridCol w:w="3402"/>
        <w:gridCol w:w="5670"/>
      </w:tblGrid>
      <w:tr w:rsidTr="00D7338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rPr>
                <w:rStyle w:val="SpecialBold"/>
              </w:rPr>
              <w:t>EVIDENCE GUIDE</w:t>
            </w:r>
          </w:p>
        </w:tc>
      </w:tr>
      <w:tr w:rsidTr="00D733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1F56">
            <w:pPr>
              <w:pStyle w:val="BodyText"/>
              <w:rPr>
                <w:lang w:val="en-NZ"/>
              </w:rPr>
            </w:pPr>
          </w:p>
        </w:tc>
      </w:tr>
      <w:tr w:rsidTr="00D733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t>The evidence guide provides advice on assessment and must be read in conjunction with the Performance Criteria, Required Skills and Knowledge, the Range Statement and the Assessment Guidelines for this Training Package.</w:t>
            </w:r>
          </w:p>
        </w:tc>
      </w:tr>
      <w:tr w:rsidTr="00D733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1F56">
            <w:pPr>
              <w:pStyle w:val="BodyText"/>
              <w:rPr>
                <w:lang w:val="en-NZ"/>
              </w:rPr>
            </w:pP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rPr>
                <w:rStyle w:val="Emphasis"/>
              </w:rPr>
              <w:t>Critical aspects for assessment</w:t>
            </w:r>
            <w:r w:rsidRPr="004E1F56">
              <w:rPr>
                <w:rStyle w:val="Emphasis"/>
              </w:rPr>
              <w:t xml:space="preserve"> and evidence required to demonstrate this competency unit</w:t>
            </w:r>
            <w:r w:rsidRPr="004E1F56">
              <w:t>:</w:t>
            </w:r>
          </w:p>
        </w:tc>
        <w:tc>
          <w:tcPr>
            <w:tcW w:w="5670" w:type="dxa"/>
            <w:tcBorders>
              <w:top w:val="nil"/>
              <w:left w:val="nil"/>
              <w:bottom w:val="nil"/>
              <w:right w:val="nil"/>
            </w:tcBorders>
            <w:tcMar>
              <w:top w:w="0" w:type="dxa"/>
              <w:left w:w="62" w:type="dxa"/>
              <w:bottom w:w="0" w:type="dxa"/>
              <w:right w:w="62" w:type="dxa"/>
            </w:tcMar>
          </w:tcPr>
          <w:p w:rsidR="00000000" w:rsidP="004E1F56">
            <w:pPr>
              <w:pStyle w:val="ListBullet"/>
              <w:rPr>
                <w:lang w:val="en-NZ"/>
              </w:rPr>
            </w:pPr>
            <w:r w:rsidRPr="004E1F56">
              <w:t>The individual being assessed must provide evidence of specified essential knowledge as well as skills</w:t>
            </w: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rPr>
                <w:rStyle w:val="Emphasis"/>
              </w:rPr>
              <w:t>Access and equity considerations</w:t>
            </w:r>
            <w:r w:rsidRPr="004E1F56">
              <w:t>:</w:t>
            </w:r>
          </w:p>
        </w:tc>
        <w:tc>
          <w:tcPr>
            <w:tcW w:w="5670" w:type="dxa"/>
            <w:tcBorders>
              <w:top w:val="nil"/>
              <w:left w:val="nil"/>
              <w:bottom w:val="nil"/>
              <w:right w:val="nil"/>
            </w:tcBorders>
            <w:tcMar>
              <w:top w:w="0" w:type="dxa"/>
              <w:left w:w="62" w:type="dxa"/>
              <w:bottom w:w="0" w:type="dxa"/>
              <w:right w:w="62" w:type="dxa"/>
            </w:tcMar>
          </w:tcPr>
          <w:p w:rsidR="00000000" w:rsidRPr="004E1F56" w:rsidP="004E1F56">
            <w:pPr>
              <w:pStyle w:val="ListBullet"/>
            </w:pPr>
            <w:r w:rsidRPr="004E1F56">
              <w:t>All workers in the health industry should be aware of access and equity issues in relation to their own area of work</w:t>
            </w:r>
          </w:p>
          <w:p w:rsidR="00000000" w:rsidRPr="004E1F56" w:rsidP="004E1F56">
            <w:pPr>
              <w:pStyle w:val="ListBullet"/>
            </w:pPr>
            <w:r w:rsidRPr="004E1F56">
              <w:t xml:space="preserve">All workers should develop their ability to work in a culturally diverse environment </w:t>
            </w:r>
          </w:p>
          <w:p w:rsidR="00000000" w:rsidRPr="004E1F56" w:rsidP="004E1F56">
            <w:pPr>
              <w:pStyle w:val="ListBullet"/>
            </w:pPr>
            <w:r w:rsidRPr="004E1F56">
              <w:t>In recognition of particular health issues facing Abo</w:t>
            </w:r>
            <w:r w:rsidRPr="004E1F56">
              <w:t>riginal and Torres Strait Islander communities, workers should be aware of cultural, historical and current issues impacting on health of Aboriginal and Torres Strait Islander people</w:t>
            </w:r>
          </w:p>
          <w:p w:rsidR="00000000" w:rsidP="004E1F56">
            <w:pPr>
              <w:pStyle w:val="ListBullet"/>
              <w:rPr>
                <w:lang w:val="en-NZ"/>
              </w:rPr>
            </w:pPr>
            <w:r w:rsidRPr="004E1F56">
              <w:t xml:space="preserve">Assessors and trainers must take into account relevant access and equity </w:t>
            </w:r>
            <w:r w:rsidRPr="004E1F56">
              <w:t>issues, in particular relating to factors impacting on health of Aboriginal and/or Torres Strait Islander clients and communities</w:t>
            </w: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rPr>
                <w:rStyle w:val="Emphasis"/>
              </w:rPr>
              <w:t>Context of and specific resources for assessment</w:t>
            </w:r>
            <w:r w:rsidRPr="004E1F56">
              <w:t>:</w:t>
            </w:r>
          </w:p>
        </w:tc>
        <w:tc>
          <w:tcPr>
            <w:tcW w:w="5670" w:type="dxa"/>
            <w:tcBorders>
              <w:top w:val="nil"/>
              <w:left w:val="nil"/>
              <w:bottom w:val="nil"/>
              <w:right w:val="nil"/>
            </w:tcBorders>
            <w:tcMar>
              <w:top w:w="0" w:type="dxa"/>
              <w:left w:w="62" w:type="dxa"/>
              <w:bottom w:w="0" w:type="dxa"/>
              <w:right w:w="62" w:type="dxa"/>
            </w:tcMar>
          </w:tcPr>
          <w:p w:rsidR="00000000" w:rsidRPr="004E1F56" w:rsidP="004E1F56">
            <w:pPr>
              <w:pStyle w:val="ListBullet"/>
            </w:pPr>
            <w:r w:rsidRPr="004E1F56">
              <w:t xml:space="preserve">This unit may be assessed in the workplace or in a simulated workplace </w:t>
            </w:r>
            <w:r w:rsidRPr="004E1F56">
              <w:t>under normal conditions</w:t>
            </w:r>
          </w:p>
          <w:p w:rsidR="00000000" w:rsidRPr="004E1F56" w:rsidP="004E1F56">
            <w:pPr>
              <w:pStyle w:val="ListBullet"/>
            </w:pPr>
            <w:r w:rsidRPr="004E1F56">
              <w:t>The unit may be assessed in the classroom and may contain a strong theoretical emphasis</w:t>
            </w:r>
          </w:p>
          <w:p w:rsidR="00000000" w:rsidRPr="004E1F56" w:rsidP="004E1F56">
            <w:pPr>
              <w:pStyle w:val="ListBullet"/>
            </w:pPr>
            <w:r w:rsidRPr="004E1F56">
              <w:t>Access to:</w:t>
            </w:r>
          </w:p>
          <w:p w:rsidR="00000000" w:rsidRPr="004E1F56" w:rsidP="004E1F56">
            <w:pPr>
              <w:pStyle w:val="ListBullet2"/>
            </w:pPr>
            <w:r w:rsidRPr="004E1F56">
              <w:t>a range of government and non-government policy documents and reports and statistics</w:t>
            </w:r>
          </w:p>
          <w:p w:rsidR="00000000" w:rsidRPr="004E1F56" w:rsidP="004E1F56">
            <w:pPr>
              <w:pStyle w:val="ListBullet2"/>
            </w:pPr>
            <w:r w:rsidRPr="004E1F56">
              <w:t>journals, books and external expertise</w:t>
            </w:r>
          </w:p>
          <w:p w:rsidR="00000000" w:rsidRPr="004E1F56" w:rsidP="004E1F56">
            <w:pPr>
              <w:pStyle w:val="ListBullet2"/>
            </w:pPr>
            <w:r w:rsidRPr="004E1F56">
              <w:t>documents and other materials (charters, declarations, discussion papers, etc.) from international conferences on population health</w:t>
            </w:r>
          </w:p>
          <w:p w:rsidR="00000000" w:rsidRPr="004E1F56" w:rsidP="004E1F56">
            <w:pPr>
              <w:pStyle w:val="ListBullet2"/>
            </w:pPr>
            <w:r w:rsidRPr="004E1F56">
              <w:t>a range of government and non government policy documents and reports and statistics</w:t>
            </w:r>
          </w:p>
          <w:p w:rsidR="00000000" w:rsidP="004E1F56">
            <w:pPr>
              <w:pStyle w:val="ListBullet2"/>
              <w:rPr>
                <w:lang w:val="en-NZ"/>
              </w:rPr>
            </w:pPr>
            <w:r w:rsidRPr="004E1F56">
              <w:t>organisation policies and procedures</w:t>
            </w: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4E1F56" w:rsidP="004E1F56">
            <w:pPr>
              <w:pStyle w:val="ListBullet"/>
            </w:pPr>
            <w:r w:rsidRPr="004E1F56">
              <w:t>Observation of performance</w:t>
            </w:r>
          </w:p>
          <w:p w:rsidR="00000000" w:rsidRPr="004E1F56" w:rsidP="004E1F56">
            <w:pPr>
              <w:pStyle w:val="ListBullet"/>
            </w:pPr>
            <w:r w:rsidRPr="004E1F56">
              <w:t>Written tasks</w:t>
            </w:r>
          </w:p>
          <w:p w:rsidR="00000000" w:rsidRPr="004E1F56" w:rsidP="004E1F56">
            <w:pPr>
              <w:pStyle w:val="ListBullet"/>
            </w:pPr>
            <w:r w:rsidRPr="004E1F56">
              <w:t>Interviewing and questioning</w:t>
            </w:r>
          </w:p>
          <w:p w:rsidR="00000000" w:rsidRPr="004E1F56" w:rsidP="004E1F56">
            <w:pPr>
              <w:pStyle w:val="ListBullet"/>
            </w:pPr>
            <w:r w:rsidRPr="004E1F56">
              <w:t>Formal appraisal systems</w:t>
            </w:r>
          </w:p>
          <w:p w:rsidR="00000000" w:rsidRPr="004E1F56" w:rsidP="004E1F56">
            <w:pPr>
              <w:pStyle w:val="ListBullet"/>
            </w:pPr>
            <w:r w:rsidRPr="004E1F56">
              <w:t>Staff client feedback</w:t>
            </w:r>
          </w:p>
          <w:p w:rsidR="00000000" w:rsidRPr="004E1F56" w:rsidP="004E1F56">
            <w:pPr>
              <w:pStyle w:val="ListBullet"/>
            </w:pPr>
            <w:r w:rsidRPr="004E1F56">
              <w:t>Portfolio/CV</w:t>
            </w:r>
          </w:p>
          <w:p w:rsidR="00000000" w:rsidRPr="004E1F56" w:rsidP="004E1F56">
            <w:pPr>
              <w:pStyle w:val="ListBullet"/>
            </w:pPr>
            <w:r w:rsidRPr="004E1F56">
              <w:t>Supporting statement of supervisors</w:t>
            </w:r>
          </w:p>
          <w:p w:rsidR="00000000" w:rsidRPr="004E1F56" w:rsidP="004E1F56">
            <w:pPr>
              <w:pStyle w:val="ListBullet"/>
            </w:pPr>
            <w:r w:rsidRPr="004E1F56">
              <w:t>Evidence of relevant work experience/formal or informal learning</w:t>
            </w:r>
          </w:p>
          <w:p w:rsidR="00000000" w:rsidRPr="004E1F56" w:rsidP="004E1F56">
            <w:pPr>
              <w:pStyle w:val="ListBullet"/>
            </w:pPr>
            <w:r w:rsidRPr="004E1F56">
              <w:t>C</w:t>
            </w:r>
            <w:r w:rsidRPr="004E1F56">
              <w:t>ase studies and scenarios as a basis for the discussion of issues in population health project planning</w:t>
            </w:r>
          </w:p>
          <w:p w:rsidR="00000000" w:rsidP="004E1F56">
            <w:pPr>
              <w:pStyle w:val="ListBullet"/>
              <w:rPr>
                <w:lang w:val="en-NZ"/>
              </w:rPr>
            </w:pPr>
            <w:r w:rsidRPr="004E1F56">
              <w:t>Project, exercise or investigation with relaxed time restraints requiring a significant part of the work to be carried out without close supervision and</w:t>
            </w:r>
            <w:r w:rsidRPr="004E1F56">
              <w:t xml:space="preserve"> requiring the completion of a project report</w:t>
            </w: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E1F56" w:rsidP="004E1F56">
            <w:pPr>
              <w:pStyle w:val="BodyText"/>
            </w:pPr>
          </w:p>
        </w:tc>
      </w:tr>
    </w:tbl>
    <w:p w:rsidR="00D7338E" w:rsidP="004E1F56">
      <w:pPr>
        <w:pStyle w:val="BodyText"/>
      </w:pPr>
    </w:p>
    <w:p w:rsidR="00D7338E" w:rsidP="004E1F56">
      <w:pPr>
        <w:pStyle w:val="BodyText"/>
      </w:pPr>
    </w:p>
    <w:p w:rsidR="00000000" w:rsidRPr="004E1F56" w:rsidP="004E1F56">
      <w:pPr>
        <w:pStyle w:val="Heading1"/>
      </w:pPr>
      <w:bookmarkStart w:id="11" w:name="O_252093"/>
      <w:bookmarkEnd w:id="11"/>
      <w:r w:rsidRPr="004E1F56">
        <w:t>Range Statement</w:t>
      </w:r>
    </w:p>
    <w:tbl>
      <w:tblPr>
        <w:tblW w:w="0" w:type="auto"/>
        <w:tblLayout w:type="fixed"/>
        <w:tblCellMar>
          <w:left w:w="62" w:type="dxa"/>
          <w:right w:w="62" w:type="dxa"/>
        </w:tblCellMar>
        <w:tblLook w:val="0000"/>
      </w:tblPr>
      <w:tblGrid>
        <w:gridCol w:w="3402"/>
        <w:gridCol w:w="5670"/>
      </w:tblGrid>
      <w:tr w:rsidTr="00D7338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rPr>
                <w:rStyle w:val="SpecialBold"/>
              </w:rPr>
              <w:t>RANGE STATEMENT</w:t>
            </w:r>
          </w:p>
        </w:tc>
      </w:tr>
      <w:tr w:rsidTr="00D733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1F56">
            <w:pPr>
              <w:pStyle w:val="BodyText"/>
              <w:rPr>
                <w:lang w:val="en-NZ"/>
              </w:rPr>
            </w:pPr>
          </w:p>
        </w:tc>
      </w:tr>
      <w:tr w:rsidTr="00D733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t xml:space="preserve">The Range Statement relates to the unit of competency as a whole.  It allows for different work environments and situations that may affect </w:t>
            </w:r>
            <w:r w:rsidRPr="004E1F56">
              <w:t>performance.  Add any essential operating conditions that may be present with training and assessment depending on the work situation, needs of the candidate, accessibility of the item, and local industry and regional contexts.</w:t>
            </w: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rPr>
                <w:rStyle w:val="Emphasis"/>
              </w:rPr>
              <w:t>The term population may</w:t>
            </w:r>
            <w:r w:rsidRPr="004E1F56">
              <w:rPr>
                <w:rStyle w:val="Emphasis"/>
              </w:rPr>
              <w:t xml:space="preserve"> refer to</w:t>
            </w:r>
            <w:r w:rsidRPr="004E1F56">
              <w:t>:</w:t>
            </w:r>
          </w:p>
        </w:tc>
        <w:tc>
          <w:tcPr>
            <w:tcW w:w="5670" w:type="dxa"/>
            <w:tcBorders>
              <w:top w:val="nil"/>
              <w:left w:val="nil"/>
              <w:bottom w:val="nil"/>
              <w:right w:val="nil"/>
            </w:tcBorders>
            <w:tcMar>
              <w:top w:w="0" w:type="dxa"/>
              <w:left w:w="62" w:type="dxa"/>
              <w:bottom w:w="0" w:type="dxa"/>
              <w:right w:w="62" w:type="dxa"/>
            </w:tcMar>
          </w:tcPr>
          <w:p w:rsidR="00000000" w:rsidRPr="004E1F56" w:rsidP="004E1F56">
            <w:pPr>
              <w:pStyle w:val="ListBullet"/>
            </w:pPr>
            <w:r w:rsidRPr="004E1F56">
              <w:t>General Australian population</w:t>
            </w:r>
          </w:p>
          <w:p w:rsidR="00000000" w:rsidRPr="004E1F56" w:rsidP="004E1F56">
            <w:pPr>
              <w:pStyle w:val="ListBullet"/>
            </w:pPr>
            <w:r w:rsidRPr="004E1F56">
              <w:t>Any sub-group within that population identified by age, sex, ethnicity, sexual identity, geographical location, physical environment, lifestyle choices, socio economic status, disability, health status, etc.</w:t>
            </w:r>
          </w:p>
          <w:p w:rsidR="00000000" w:rsidP="004E1F56">
            <w:pPr>
              <w:pStyle w:val="ListBullet"/>
              <w:rPr>
                <w:lang w:val="en-NZ"/>
              </w:rPr>
            </w:pPr>
            <w:r w:rsidRPr="004E1F56">
              <w:t>Any community defined as collective group of people identified by common values and mutual concern for the development and well-being of their group or geographical area</w:t>
            </w: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rPr>
                <w:rStyle w:val="Emphasis"/>
              </w:rPr>
              <w:t>Relevant work implies</w:t>
            </w:r>
            <w:r w:rsidRPr="004E1F56">
              <w:t>:</w:t>
            </w:r>
          </w:p>
        </w:tc>
        <w:tc>
          <w:tcPr>
            <w:tcW w:w="5670" w:type="dxa"/>
            <w:tcBorders>
              <w:top w:val="nil"/>
              <w:left w:val="nil"/>
              <w:bottom w:val="nil"/>
              <w:right w:val="nil"/>
            </w:tcBorders>
            <w:tcMar>
              <w:top w:w="0" w:type="dxa"/>
              <w:left w:w="62" w:type="dxa"/>
              <w:bottom w:w="0" w:type="dxa"/>
              <w:right w:w="62" w:type="dxa"/>
            </w:tcMar>
          </w:tcPr>
          <w:p w:rsidR="00000000" w:rsidRPr="004E1F56" w:rsidP="004E1F56">
            <w:pPr>
              <w:pStyle w:val="ListBullet"/>
            </w:pPr>
            <w:r w:rsidRPr="004E1F56">
              <w:t>That not all of a particular worker's (paid) role may be c</w:t>
            </w:r>
            <w:r w:rsidRPr="004E1F56">
              <w:t>lassified as 'population health'</w:t>
            </w:r>
          </w:p>
          <w:p w:rsidR="00000000" w:rsidRPr="004E1F56" w:rsidP="004E1F56">
            <w:pPr>
              <w:pStyle w:val="ListBullet"/>
            </w:pPr>
            <w:r w:rsidRPr="004E1F56">
              <w:t>Indeed for most workers, population health work will be a component only (sometimes small) of their total work role.</w:t>
            </w:r>
          </w:p>
          <w:p w:rsidR="00000000" w:rsidP="004E1F56">
            <w:pPr>
              <w:pStyle w:val="ListBullet"/>
              <w:rPr>
                <w:lang w:val="en-NZ"/>
              </w:rPr>
            </w:pPr>
            <w:r w:rsidRPr="004E1F56">
              <w:t>This unit applies only to that part of the role that adopts the population health principles and change ac</w:t>
            </w:r>
            <w:r w:rsidRPr="004E1F56">
              <w:t>tion frameworks listed below</w:t>
            </w: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rPr>
                <w:rStyle w:val="Emphasis"/>
              </w:rPr>
              <w:t>Concepts</w:t>
            </w:r>
            <w:r w:rsidRPr="004E1F56">
              <w:t>/</w:t>
            </w:r>
            <w:r w:rsidRPr="004E1F56">
              <w:rPr>
                <w:rStyle w:val="Emphasis"/>
              </w:rPr>
              <w:t>models of health include</w:t>
            </w:r>
            <w:r w:rsidRPr="004E1F56">
              <w:t>:</w:t>
            </w:r>
          </w:p>
        </w:tc>
        <w:tc>
          <w:tcPr>
            <w:tcW w:w="5670" w:type="dxa"/>
            <w:tcBorders>
              <w:top w:val="nil"/>
              <w:left w:val="nil"/>
              <w:bottom w:val="nil"/>
              <w:right w:val="nil"/>
            </w:tcBorders>
            <w:tcMar>
              <w:top w:w="0" w:type="dxa"/>
              <w:left w:w="62" w:type="dxa"/>
              <w:bottom w:w="0" w:type="dxa"/>
              <w:right w:w="62" w:type="dxa"/>
            </w:tcMar>
          </w:tcPr>
          <w:p w:rsidR="00000000" w:rsidRPr="004E1F56" w:rsidP="004E1F56">
            <w:pPr>
              <w:pStyle w:val="ListBullet"/>
            </w:pPr>
            <w:r w:rsidRPr="004E1F56">
              <w:t>Medical model</w:t>
            </w:r>
          </w:p>
          <w:p w:rsidR="00000000" w:rsidRPr="004E1F56" w:rsidP="004E1F56">
            <w:pPr>
              <w:pStyle w:val="ListBullet"/>
            </w:pPr>
            <w:r w:rsidRPr="004E1F56">
              <w:t>Salutogenic model</w:t>
            </w:r>
          </w:p>
          <w:p w:rsidR="00000000" w:rsidRPr="004E1F56" w:rsidP="004E1F56">
            <w:pPr>
              <w:pStyle w:val="ListBullet"/>
            </w:pPr>
            <w:r w:rsidRPr="004E1F56">
              <w:t>Social view of health</w:t>
            </w:r>
          </w:p>
          <w:p w:rsidR="00000000" w:rsidP="004E1F56">
            <w:pPr>
              <w:pStyle w:val="ListBullet"/>
              <w:rPr>
                <w:lang w:val="en-NZ"/>
              </w:rPr>
            </w:pPr>
            <w:r w:rsidRPr="004E1F56">
              <w:t>Academic/professional models of health</w:t>
            </w: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rPr>
                <w:rStyle w:val="Emphasis"/>
              </w:rPr>
              <w:t>Health determinants may include</w:t>
            </w:r>
            <w:r w:rsidRPr="004E1F56">
              <w:t>:</w:t>
            </w:r>
          </w:p>
        </w:tc>
        <w:tc>
          <w:tcPr>
            <w:tcW w:w="5670" w:type="dxa"/>
            <w:tcBorders>
              <w:top w:val="nil"/>
              <w:left w:val="nil"/>
              <w:bottom w:val="nil"/>
              <w:right w:val="nil"/>
            </w:tcBorders>
            <w:tcMar>
              <w:top w:w="0" w:type="dxa"/>
              <w:left w:w="62" w:type="dxa"/>
              <w:bottom w:w="0" w:type="dxa"/>
              <w:right w:w="62" w:type="dxa"/>
            </w:tcMar>
          </w:tcPr>
          <w:p w:rsidR="00000000" w:rsidRPr="004E1F56" w:rsidP="004E1F56">
            <w:pPr>
              <w:pStyle w:val="ListBullet"/>
            </w:pPr>
            <w:r w:rsidRPr="004E1F56">
              <w:t>Political</w:t>
            </w:r>
          </w:p>
          <w:p w:rsidR="00000000" w:rsidRPr="004E1F56" w:rsidP="004E1F56">
            <w:pPr>
              <w:pStyle w:val="ListBullet"/>
            </w:pPr>
            <w:r w:rsidRPr="004E1F56">
              <w:t>Biological and genetic factors</w:t>
            </w:r>
          </w:p>
          <w:p w:rsidR="00000000" w:rsidRPr="004E1F56" w:rsidP="004E1F56">
            <w:pPr>
              <w:pStyle w:val="ListBullet"/>
            </w:pPr>
            <w:r w:rsidRPr="004E1F56">
              <w:t>Physical environment</w:t>
            </w:r>
          </w:p>
          <w:p w:rsidR="00000000" w:rsidRPr="004E1F56" w:rsidP="004E1F56">
            <w:pPr>
              <w:pStyle w:val="ListBullet"/>
            </w:pPr>
            <w:r w:rsidRPr="004E1F56">
              <w:t>Social factors (e.g. social gradient, stress, early life, social exclusion, work, unemployment, social support, addiction, food, transport, housing, etc.)</w:t>
            </w:r>
          </w:p>
          <w:p w:rsidR="00000000" w:rsidRPr="004E1F56" w:rsidP="004E1F56">
            <w:pPr>
              <w:pStyle w:val="ListBullet"/>
            </w:pPr>
            <w:r w:rsidRPr="004E1F56">
              <w:t>Behavioural</w:t>
            </w:r>
          </w:p>
          <w:p w:rsidR="00000000" w:rsidRPr="004E1F56" w:rsidP="004E1F56">
            <w:pPr>
              <w:pStyle w:val="ListBullet"/>
            </w:pPr>
            <w:r w:rsidRPr="004E1F56">
              <w:t>Cultural</w:t>
            </w:r>
          </w:p>
          <w:p w:rsidR="00000000" w:rsidP="004E1F56">
            <w:pPr>
              <w:pStyle w:val="ListBullet"/>
              <w:rPr>
                <w:lang w:val="en-NZ"/>
              </w:rPr>
            </w:pPr>
            <w:r w:rsidRPr="004E1F56">
              <w:t>Quality of and access to health services</w:t>
            </w: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rPr>
                <w:rStyle w:val="Emphasis"/>
              </w:rPr>
              <w:t>Key principles to a population health approach may include</w:t>
            </w:r>
          </w:p>
        </w:tc>
        <w:tc>
          <w:tcPr>
            <w:tcW w:w="5670" w:type="dxa"/>
            <w:tcBorders>
              <w:top w:val="nil"/>
              <w:left w:val="nil"/>
              <w:bottom w:val="nil"/>
              <w:right w:val="nil"/>
            </w:tcBorders>
            <w:tcMar>
              <w:top w:w="0" w:type="dxa"/>
              <w:left w:w="62" w:type="dxa"/>
              <w:bottom w:w="0" w:type="dxa"/>
              <w:right w:w="62" w:type="dxa"/>
            </w:tcMar>
          </w:tcPr>
          <w:p w:rsidR="00000000" w:rsidRPr="004E1F56" w:rsidP="004E1F56">
            <w:pPr>
              <w:pStyle w:val="ListBullet"/>
            </w:pPr>
            <w:r w:rsidRPr="004E1F56">
              <w:t>Population focus</w:t>
            </w:r>
          </w:p>
          <w:p w:rsidR="00000000" w:rsidRPr="004E1F56" w:rsidP="004E1F56">
            <w:pPr>
              <w:pStyle w:val="ListBullet"/>
            </w:pPr>
            <w:r w:rsidRPr="004E1F56">
              <w:t xml:space="preserve">Preventive focus with stress on building individual/community's capacity to control health determinants for a better quality of life </w:t>
            </w:r>
          </w:p>
          <w:p w:rsidR="00000000" w:rsidRPr="004E1F56" w:rsidP="004E1F56">
            <w:pPr>
              <w:pStyle w:val="ListBullet"/>
            </w:pPr>
            <w:r w:rsidRPr="004E1F56">
              <w:t>Sensitivity to access and equity issues/healt</w:t>
            </w:r>
            <w:r w:rsidRPr="004E1F56">
              <w:t>h inequalities</w:t>
            </w:r>
          </w:p>
          <w:p w:rsidR="00000000" w:rsidRPr="004E1F56" w:rsidP="004E1F56">
            <w:pPr>
              <w:pStyle w:val="ListBullet"/>
            </w:pPr>
            <w:r w:rsidRPr="004E1F56">
              <w:t>Sensitivity to cultural differences</w:t>
            </w:r>
          </w:p>
          <w:p w:rsidR="00000000" w:rsidRPr="004E1F56" w:rsidP="004E1F56">
            <w:pPr>
              <w:pStyle w:val="ListBullet"/>
            </w:pPr>
            <w:r w:rsidRPr="004E1F56">
              <w:t>Health as a resource for everyday living and not as end in itself</w:t>
            </w:r>
          </w:p>
          <w:p w:rsidR="00000000" w:rsidRPr="004E1F56" w:rsidP="004E1F56">
            <w:pPr>
              <w:pStyle w:val="ListBullet"/>
            </w:pPr>
            <w:r w:rsidRPr="004E1F56">
              <w:t>Health as a result of complex interaction among determinants</w:t>
            </w:r>
          </w:p>
          <w:p w:rsidR="00000000" w:rsidRPr="004E1F56" w:rsidP="004E1F56">
            <w:pPr>
              <w:pStyle w:val="ListBullet"/>
            </w:pPr>
            <w:r w:rsidRPr="004E1F56">
              <w:t>Health as a context for power relations with society</w:t>
            </w:r>
          </w:p>
          <w:p w:rsidR="00000000" w:rsidRPr="004E1F56" w:rsidP="004E1F56">
            <w:pPr>
              <w:pStyle w:val="ListBullet"/>
            </w:pPr>
            <w:r w:rsidRPr="004E1F56">
              <w:t xml:space="preserve">Shared responsibility of </w:t>
            </w:r>
            <w:r w:rsidRPr="004E1F56">
              <w:t xml:space="preserve">health </w:t>
            </w:r>
          </w:p>
          <w:p w:rsidR="00000000" w:rsidRPr="004E1F56" w:rsidP="004E1F56">
            <w:pPr>
              <w:pStyle w:val="ListBullet"/>
            </w:pPr>
            <w:r w:rsidRPr="004E1F56">
              <w:t>Educational-Ecological approach</w:t>
            </w:r>
          </w:p>
          <w:p w:rsidR="00000000" w:rsidRPr="004E1F56" w:rsidP="004E1F56">
            <w:pPr>
              <w:pStyle w:val="ListBullet"/>
            </w:pPr>
            <w:r w:rsidRPr="004E1F56">
              <w:t>Evidence-based approach</w:t>
            </w:r>
          </w:p>
          <w:p w:rsidR="00000000" w:rsidP="004E1F56">
            <w:pPr>
              <w:pStyle w:val="ListBullet"/>
              <w:rPr>
                <w:lang w:val="en-NZ"/>
              </w:rPr>
            </w:pPr>
            <w:r w:rsidRPr="004E1F56">
              <w:t>Principles of equity and non-discriminatory practice</w:t>
            </w: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rPr>
                <w:rStyle w:val="Emphasis"/>
              </w:rPr>
              <w:t>Change action frameworks of population health may include</w:t>
            </w:r>
            <w:r w:rsidRPr="004E1F56">
              <w:t>:</w:t>
            </w:r>
          </w:p>
        </w:tc>
        <w:tc>
          <w:tcPr>
            <w:tcW w:w="5670" w:type="dxa"/>
            <w:tcBorders>
              <w:top w:val="nil"/>
              <w:left w:val="nil"/>
              <w:bottom w:val="nil"/>
              <w:right w:val="nil"/>
            </w:tcBorders>
            <w:tcMar>
              <w:top w:w="0" w:type="dxa"/>
              <w:left w:w="62" w:type="dxa"/>
              <w:bottom w:w="0" w:type="dxa"/>
              <w:right w:w="62" w:type="dxa"/>
            </w:tcMar>
          </w:tcPr>
          <w:p w:rsidR="00000000" w:rsidRPr="004E1F56" w:rsidP="004E1F56">
            <w:pPr>
              <w:pStyle w:val="ListBullet"/>
            </w:pPr>
            <w:r w:rsidRPr="004E1F56">
              <w:t>Upstream investment (investment directed at root causes to maximise potential benefits)</w:t>
            </w:r>
          </w:p>
          <w:p w:rsidR="00000000" w:rsidRPr="004E1F56" w:rsidP="004E1F56">
            <w:pPr>
              <w:pStyle w:val="ListBullet"/>
            </w:pPr>
            <w:r w:rsidRPr="004E1F56">
              <w:t>Increased accountability for health outcomes</w:t>
            </w:r>
          </w:p>
          <w:p w:rsidR="00000000" w:rsidRPr="004E1F56" w:rsidP="004E1F56">
            <w:pPr>
              <w:pStyle w:val="ListBullet"/>
            </w:pPr>
            <w:r w:rsidRPr="004E1F56">
              <w:t>Re-orienting health sector</w:t>
            </w:r>
          </w:p>
          <w:p w:rsidR="00000000" w:rsidRPr="004E1F56" w:rsidP="004E1F56">
            <w:pPr>
              <w:pStyle w:val="ListBullet"/>
            </w:pPr>
            <w:r w:rsidRPr="004E1F56">
              <w:t>Capacity building</w:t>
            </w:r>
          </w:p>
          <w:p w:rsidR="00000000" w:rsidRPr="004E1F56" w:rsidP="004E1F56">
            <w:pPr>
              <w:pStyle w:val="ListBullet"/>
            </w:pPr>
            <w:r w:rsidRPr="004E1F56">
              <w:t>Working in partnerships (e.g. joint ventures, collaboration, alliances, coalit</w:t>
            </w:r>
            <w:r w:rsidRPr="004E1F56">
              <w:t>ions, partnerships)</w:t>
            </w:r>
          </w:p>
          <w:p w:rsidR="00000000" w:rsidRPr="004E1F56" w:rsidP="004E1F56">
            <w:pPr>
              <w:pStyle w:val="ListBullet"/>
            </w:pPr>
            <w:r w:rsidRPr="004E1F56">
              <w:t>Employment of mechanisms to promote community participation</w:t>
            </w:r>
          </w:p>
          <w:p w:rsidR="00000000" w:rsidRPr="004E1F56" w:rsidP="004E1F56">
            <w:pPr>
              <w:pStyle w:val="ListBullet"/>
            </w:pPr>
            <w:r w:rsidRPr="004E1F56">
              <w:t>Public policy development (legislation and regulation, resource allocation and incentives)</w:t>
            </w:r>
          </w:p>
          <w:p w:rsidR="00000000" w:rsidRPr="004E1F56" w:rsidP="004E1F56">
            <w:pPr>
              <w:pStyle w:val="ListBullet"/>
            </w:pPr>
            <w:r w:rsidRPr="004E1F56">
              <w:t>Creation of supportive natural and built environments</w:t>
            </w:r>
          </w:p>
          <w:p w:rsidR="00000000" w:rsidRPr="004E1F56" w:rsidP="004E1F56">
            <w:pPr>
              <w:pStyle w:val="ListBullet"/>
            </w:pPr>
            <w:r w:rsidRPr="004E1F56">
              <w:t>Addressing health inequalities/</w:t>
            </w:r>
            <w:r w:rsidRPr="004E1F56">
              <w:t>health inequalities approach</w:t>
            </w:r>
          </w:p>
          <w:p w:rsidR="00000000" w:rsidP="004E1F56">
            <w:pPr>
              <w:pStyle w:val="ListBullet"/>
              <w:rPr>
                <w:lang w:val="en-NZ"/>
              </w:rPr>
            </w:pPr>
            <w:r w:rsidRPr="004E1F56">
              <w:t>Personal and social development through provision of information and education for health and enhancement of life skills</w:t>
            </w: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rPr>
                <w:rStyle w:val="Emphasis"/>
              </w:rPr>
              <w:t>Different settings for population health action may include</w:t>
            </w:r>
            <w:r w:rsidRPr="004E1F56">
              <w:t xml:space="preserve"> </w:t>
            </w:r>
          </w:p>
        </w:tc>
        <w:tc>
          <w:tcPr>
            <w:tcW w:w="5670" w:type="dxa"/>
            <w:tcBorders>
              <w:top w:val="nil"/>
              <w:left w:val="nil"/>
              <w:bottom w:val="nil"/>
              <w:right w:val="nil"/>
            </w:tcBorders>
            <w:tcMar>
              <w:top w:w="0" w:type="dxa"/>
              <w:left w:w="62" w:type="dxa"/>
              <w:bottom w:w="0" w:type="dxa"/>
              <w:right w:w="62" w:type="dxa"/>
            </w:tcMar>
          </w:tcPr>
          <w:p w:rsidR="00000000" w:rsidRPr="004E1F56" w:rsidP="004E1F56">
            <w:pPr>
              <w:pStyle w:val="ListBullet"/>
            </w:pPr>
            <w:r w:rsidRPr="004E1F56">
              <w:t>Home</w:t>
            </w:r>
          </w:p>
          <w:p w:rsidR="00000000" w:rsidRPr="004E1F56" w:rsidP="004E1F56">
            <w:pPr>
              <w:pStyle w:val="ListBullet"/>
            </w:pPr>
            <w:r w:rsidRPr="004E1F56">
              <w:t>School</w:t>
            </w:r>
          </w:p>
          <w:p w:rsidR="00000000" w:rsidRPr="004E1F56" w:rsidP="004E1F56">
            <w:pPr>
              <w:pStyle w:val="ListBullet"/>
            </w:pPr>
            <w:r w:rsidRPr="004E1F56">
              <w:t>Hospital</w:t>
            </w:r>
          </w:p>
          <w:p w:rsidR="00000000" w:rsidRPr="004E1F56" w:rsidP="004E1F56">
            <w:pPr>
              <w:pStyle w:val="ListBullet"/>
            </w:pPr>
            <w:r w:rsidRPr="004E1F56">
              <w:t>Health services</w:t>
            </w:r>
          </w:p>
          <w:p w:rsidR="00000000" w:rsidRPr="004E1F56" w:rsidP="004E1F56">
            <w:pPr>
              <w:pStyle w:val="ListBullet"/>
            </w:pPr>
            <w:r w:rsidRPr="004E1F56">
              <w:t>Community</w:t>
            </w:r>
          </w:p>
          <w:p w:rsidR="00000000" w:rsidRPr="004E1F56" w:rsidP="004E1F56">
            <w:pPr>
              <w:pStyle w:val="ListBullet"/>
            </w:pPr>
            <w:r w:rsidRPr="004E1F56">
              <w:t>Work</w:t>
            </w:r>
          </w:p>
          <w:p w:rsidR="00000000" w:rsidRPr="004E1F56" w:rsidP="004E1F56">
            <w:pPr>
              <w:pStyle w:val="ListBullet"/>
            </w:pPr>
            <w:r w:rsidRPr="004E1F56">
              <w:t>Transport</w:t>
            </w:r>
          </w:p>
          <w:p w:rsidR="00000000" w:rsidP="004E1F56">
            <w:pPr>
              <w:pStyle w:val="ListBullet"/>
              <w:rPr>
                <w:lang w:val="en-NZ"/>
              </w:rPr>
            </w:pPr>
            <w:r w:rsidRPr="004E1F56">
              <w:t>Sports, arts and recreation facilities</w:t>
            </w: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rPr>
                <w:rStyle w:val="Emphasis"/>
              </w:rPr>
              <w:t>Examples of local</w:t>
            </w:r>
            <w:r w:rsidRPr="004E1F56">
              <w:t xml:space="preserve">, </w:t>
            </w:r>
            <w:r w:rsidRPr="004E1F56">
              <w:rPr>
                <w:rStyle w:val="Emphasis"/>
              </w:rPr>
              <w:t>national and international organisations</w:t>
            </w:r>
            <w:r w:rsidRPr="004E1F56">
              <w:t xml:space="preserve">, </w:t>
            </w:r>
            <w:r w:rsidRPr="004E1F56">
              <w:rPr>
                <w:rStyle w:val="Emphasis"/>
              </w:rPr>
              <w:t>networks and initiatives supporting Population Health work include</w:t>
            </w:r>
            <w:r w:rsidRPr="004E1F56">
              <w:t>:</w:t>
            </w:r>
          </w:p>
        </w:tc>
        <w:tc>
          <w:tcPr>
            <w:tcW w:w="5670" w:type="dxa"/>
            <w:tcBorders>
              <w:top w:val="nil"/>
              <w:left w:val="nil"/>
              <w:bottom w:val="nil"/>
              <w:right w:val="nil"/>
            </w:tcBorders>
            <w:tcMar>
              <w:top w:w="0" w:type="dxa"/>
              <w:left w:w="62" w:type="dxa"/>
              <w:bottom w:w="0" w:type="dxa"/>
              <w:right w:w="62" w:type="dxa"/>
            </w:tcMar>
          </w:tcPr>
          <w:p w:rsidR="00000000" w:rsidRPr="004E1F56" w:rsidP="004E1F56">
            <w:pPr>
              <w:pStyle w:val="ListBullet"/>
            </w:pPr>
            <w:r w:rsidRPr="004E1F56">
              <w:t>Establishments that provide primary health care</w:t>
            </w:r>
          </w:p>
          <w:p w:rsidR="00000000" w:rsidRPr="004E1F56" w:rsidP="004E1F56">
            <w:pPr>
              <w:pStyle w:val="ListBullet"/>
            </w:pPr>
            <w:r w:rsidRPr="004E1F56">
              <w:t>Community clinics</w:t>
            </w:r>
          </w:p>
          <w:p w:rsidR="00000000" w:rsidRPr="004E1F56" w:rsidP="004E1F56">
            <w:pPr>
              <w:pStyle w:val="ListBullet"/>
            </w:pPr>
            <w:r w:rsidRPr="004E1F56">
              <w:t>Local public health units</w:t>
            </w:r>
          </w:p>
          <w:p w:rsidR="00000000" w:rsidRPr="004E1F56" w:rsidP="004E1F56">
            <w:pPr>
              <w:pStyle w:val="ListBullet"/>
            </w:pPr>
            <w:r w:rsidRPr="004E1F56">
              <w:t>State and national Health departments</w:t>
            </w:r>
          </w:p>
          <w:p w:rsidR="00000000" w:rsidRPr="004E1F56" w:rsidP="004E1F56">
            <w:pPr>
              <w:pStyle w:val="ListBullet"/>
            </w:pPr>
            <w:r w:rsidRPr="004E1F56">
              <w:t xml:space="preserve">Professional and industry associations </w:t>
            </w:r>
          </w:p>
          <w:p w:rsidR="00000000" w:rsidRPr="004E1F56" w:rsidP="004E1F56">
            <w:pPr>
              <w:pStyle w:val="ListBullet"/>
            </w:pPr>
            <w:r w:rsidRPr="004E1F56">
              <w:t>Non-government organisations</w:t>
            </w:r>
          </w:p>
          <w:p w:rsidR="00000000" w:rsidP="004E1F56">
            <w:pPr>
              <w:pStyle w:val="ListBullet"/>
              <w:rPr>
                <w:lang w:val="en-NZ"/>
              </w:rPr>
            </w:pPr>
            <w:r w:rsidRPr="004E1F56">
              <w:t>International health organisations</w:t>
            </w: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F56">
            <w:pPr>
              <w:pStyle w:val="BodyText"/>
              <w:rPr>
                <w:lang w:val="en-NZ"/>
              </w:rPr>
            </w:pPr>
            <w:r w:rsidRPr="004E1F56">
              <w:rPr>
                <w:rStyle w:val="Emphasis"/>
              </w:rPr>
              <w:t>Relevant international charters</w:t>
            </w:r>
            <w:r w:rsidRPr="004E1F56">
              <w:t>/</w:t>
            </w:r>
            <w:r w:rsidRPr="004E1F56">
              <w:rPr>
                <w:rStyle w:val="Emphasis"/>
              </w:rPr>
              <w:t>declarations include</w:t>
            </w:r>
            <w:r w:rsidRPr="004E1F56">
              <w:t>:</w:t>
            </w:r>
          </w:p>
        </w:tc>
        <w:tc>
          <w:tcPr>
            <w:tcW w:w="5670" w:type="dxa"/>
            <w:tcBorders>
              <w:top w:val="nil"/>
              <w:left w:val="nil"/>
              <w:bottom w:val="nil"/>
              <w:right w:val="nil"/>
            </w:tcBorders>
            <w:tcMar>
              <w:top w:w="0" w:type="dxa"/>
              <w:left w:w="62" w:type="dxa"/>
              <w:bottom w:w="0" w:type="dxa"/>
              <w:right w:w="62" w:type="dxa"/>
            </w:tcMar>
          </w:tcPr>
          <w:p w:rsidR="00000000" w:rsidRPr="004E1F56" w:rsidP="004E1F56">
            <w:pPr>
              <w:pStyle w:val="ListBullet"/>
            </w:pPr>
            <w:r w:rsidRPr="004E1F56">
              <w:t>Lalonde Report</w:t>
            </w:r>
          </w:p>
          <w:p w:rsidR="00000000" w:rsidRPr="004E1F56" w:rsidP="004E1F56">
            <w:pPr>
              <w:pStyle w:val="ListBullet"/>
            </w:pPr>
            <w:r w:rsidRPr="004E1F56">
              <w:t>The Solid Facts by WHO</w:t>
            </w:r>
          </w:p>
          <w:p w:rsidR="00000000" w:rsidRPr="004E1F56" w:rsidP="004E1F56">
            <w:pPr>
              <w:pStyle w:val="ListBullet"/>
            </w:pPr>
            <w:r w:rsidRPr="004E1F56">
              <w:t>Health for All by the Year 2000</w:t>
            </w:r>
          </w:p>
          <w:p w:rsidR="00000000" w:rsidRPr="004E1F56" w:rsidP="004E1F56">
            <w:pPr>
              <w:pStyle w:val="ListBullet"/>
            </w:pPr>
            <w:r w:rsidRPr="004E1F56">
              <w:t>Declaration of Alma Ata</w:t>
            </w:r>
          </w:p>
          <w:p w:rsidR="00000000" w:rsidRPr="004E1F56" w:rsidP="004E1F56">
            <w:pPr>
              <w:pStyle w:val="ListBullet"/>
            </w:pPr>
            <w:r w:rsidRPr="004E1F56">
              <w:t>Healthy Toronto 2000</w:t>
            </w:r>
          </w:p>
          <w:p w:rsidR="00000000" w:rsidRPr="004E1F56" w:rsidP="004E1F56">
            <w:pPr>
              <w:pStyle w:val="ListBullet"/>
            </w:pPr>
            <w:r w:rsidRPr="004E1F56">
              <w:t>38 Targets for Health in the European region</w:t>
            </w:r>
          </w:p>
          <w:p w:rsidR="00000000" w:rsidRPr="004E1F56" w:rsidP="004E1F56">
            <w:pPr>
              <w:pStyle w:val="ListBullet"/>
            </w:pPr>
            <w:r w:rsidRPr="004E1F56">
              <w:t>Ottawa Charter for Health Promotion</w:t>
            </w:r>
          </w:p>
          <w:p w:rsidR="00000000" w:rsidRPr="004E1F56" w:rsidP="004E1F56">
            <w:pPr>
              <w:pStyle w:val="ListBullet"/>
            </w:pPr>
            <w:r w:rsidRPr="004E1F56">
              <w:t>Jakarta Declaration on Health Promotion into the 21st Centur</w:t>
            </w:r>
            <w:r w:rsidRPr="004E1F56">
              <w:t>y</w:t>
            </w:r>
          </w:p>
          <w:p w:rsidR="00000000" w:rsidP="004E1F56">
            <w:pPr>
              <w:pStyle w:val="ListBullet"/>
              <w:rPr>
                <w:lang w:val="en-NZ"/>
              </w:rPr>
            </w:pPr>
            <w:r w:rsidRPr="004E1F56">
              <w:t>Health Promotion: Bridging the Equity Gap</w:t>
            </w:r>
          </w:p>
        </w:tc>
      </w:tr>
      <w:tr w:rsidTr="00D733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E1F56" w:rsidP="004E1F56">
            <w:pPr>
              <w:pStyle w:val="BodyText"/>
            </w:pPr>
          </w:p>
        </w:tc>
      </w:tr>
    </w:tbl>
    <w:p w:rsidR="00D7338E" w:rsidP="004E1F56">
      <w:pPr>
        <w:pStyle w:val="BodyText"/>
      </w:pPr>
    </w:p>
    <w:p w:rsidR="00D7338E" w:rsidP="004E1F56">
      <w:pPr>
        <w:pStyle w:val="BodyText"/>
      </w:pPr>
    </w:p>
    <w:p w:rsidR="00000000" w:rsidRPr="004E1F56" w:rsidP="004E1F56">
      <w:pPr>
        <w:pStyle w:val="Heading1"/>
      </w:pPr>
      <w:bookmarkStart w:id="12" w:name="O_295319"/>
      <w:bookmarkEnd w:id="12"/>
      <w:r w:rsidRPr="004E1F56">
        <w:t>Unit Sector(s)</w:t>
      </w:r>
    </w:p>
    <w:p w:rsidR="00000000" w:rsidRPr="004E1F56" w:rsidP="004E1F56">
      <w:pPr>
        <w:pStyle w:val="BodyText"/>
      </w:pPr>
      <w:r w:rsidRPr="004E1F56">
        <w:t>Not Applicable</w:t>
      </w:r>
    </w:p>
    <w:p w:rsidR="00000000" w:rsidRPr="004E1F56" w:rsidP="004E1F56"/>
    <w:sectPr w:rsidSect="004E1F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F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38E" w:rsidP="00D733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F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8E" w:rsidP="004E1F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7338E" w:rsidP="004E1F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7338E" w:rsidP="004E1F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F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38E" w:rsidP="00D7338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F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8E" w:rsidP="004E1F56">
    <w:pPr>
      <w:pStyle w:val="Header"/>
      <w:framePr w:wrap="around"/>
    </w:pPr>
    <w:r>
      <w:fldChar w:fldCharType="begin"/>
    </w:r>
    <w:r>
      <w:instrText xml:space="preserve"> TITLE   \* MERGEFORMAT </w:instrText>
    </w:r>
    <w:r>
      <w:fldChar w:fldCharType="separate"/>
    </w:r>
    <w:r>
      <w:t>HLTPOP501C Apply a population health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338E" w:rsidP="004E1F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40E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8EBF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881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F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1F56"/>
    <w:pPr>
      <w:spacing w:before="360" w:after="60"/>
      <w:outlineLvl w:val="0"/>
    </w:pPr>
    <w:rPr>
      <w:sz w:val="32"/>
    </w:rPr>
  </w:style>
  <w:style w:type="paragraph" w:styleId="Heading2">
    <w:name w:val="heading 2"/>
    <w:basedOn w:val="HeadingBase"/>
    <w:next w:val="BodyText"/>
    <w:link w:val="Heading2Char"/>
    <w:qFormat/>
    <w:rsid w:val="004E1F56"/>
    <w:pPr>
      <w:keepLines/>
      <w:spacing w:before="240" w:after="120"/>
      <w:outlineLvl w:val="1"/>
    </w:pPr>
    <w:rPr>
      <w:sz w:val="28"/>
      <w:szCs w:val="40"/>
    </w:rPr>
  </w:style>
  <w:style w:type="paragraph" w:styleId="Heading3">
    <w:name w:val="heading 3"/>
    <w:basedOn w:val="HeadingBase"/>
    <w:next w:val="BodyText"/>
    <w:link w:val="Heading3Char"/>
    <w:qFormat/>
    <w:rsid w:val="004E1F56"/>
    <w:pPr>
      <w:spacing w:before="180" w:after="120"/>
      <w:outlineLvl w:val="2"/>
    </w:pPr>
    <w:rPr>
      <w:spacing w:val="-10"/>
      <w:kern w:val="32"/>
    </w:rPr>
  </w:style>
  <w:style w:type="paragraph" w:styleId="Heading4">
    <w:name w:val="heading 4"/>
    <w:basedOn w:val="HeadingBase"/>
    <w:next w:val="BodyText"/>
    <w:link w:val="Heading4Char"/>
    <w:qFormat/>
    <w:rsid w:val="004E1F56"/>
    <w:pPr>
      <w:spacing w:before="160" w:after="120"/>
      <w:outlineLvl w:val="3"/>
    </w:pPr>
    <w:rPr>
      <w:sz w:val="22"/>
    </w:rPr>
  </w:style>
  <w:style w:type="paragraph" w:styleId="Heading5">
    <w:name w:val="heading 5"/>
    <w:basedOn w:val="HeadingBase"/>
    <w:next w:val="Normal"/>
    <w:link w:val="Heading5Char"/>
    <w:qFormat/>
    <w:rsid w:val="004E1F56"/>
    <w:pPr>
      <w:spacing w:before="80"/>
      <w:outlineLvl w:val="4"/>
    </w:pPr>
    <w:rPr>
      <w:color w:val="918585"/>
      <w:sz w:val="20"/>
    </w:rPr>
  </w:style>
  <w:style w:type="paragraph" w:styleId="Heading6">
    <w:name w:val="heading 6"/>
    <w:basedOn w:val="HeadingBase"/>
    <w:next w:val="Normal"/>
    <w:link w:val="Heading6Char"/>
    <w:qFormat/>
    <w:rsid w:val="004E1F56"/>
    <w:pPr>
      <w:spacing w:before="60"/>
      <w:outlineLvl w:val="5"/>
    </w:pPr>
    <w:rPr>
      <w:color w:val="918585"/>
      <w:sz w:val="20"/>
    </w:rPr>
  </w:style>
  <w:style w:type="paragraph" w:styleId="Heading7">
    <w:name w:val="heading 7"/>
    <w:basedOn w:val="Normal"/>
    <w:next w:val="Normal"/>
    <w:link w:val="Heading7Char"/>
    <w:qFormat/>
    <w:rsid w:val="004E1F56"/>
    <w:pPr>
      <w:ind w:left="720"/>
      <w:outlineLvl w:val="6"/>
    </w:pPr>
    <w:rPr>
      <w:i/>
    </w:rPr>
  </w:style>
  <w:style w:type="paragraph" w:styleId="Heading8">
    <w:name w:val="heading 8"/>
    <w:basedOn w:val="Normal"/>
    <w:next w:val="Normal"/>
    <w:link w:val="Heading8Char"/>
    <w:qFormat/>
    <w:rsid w:val="004E1F56"/>
    <w:pPr>
      <w:ind w:left="720"/>
      <w:outlineLvl w:val="7"/>
    </w:pPr>
    <w:rPr>
      <w:i/>
    </w:rPr>
  </w:style>
  <w:style w:type="paragraph" w:styleId="Heading9">
    <w:name w:val="heading 9"/>
    <w:basedOn w:val="Normal"/>
    <w:next w:val="Normal"/>
    <w:link w:val="Heading9Char"/>
    <w:qFormat/>
    <w:rsid w:val="004E1F56"/>
    <w:pPr>
      <w:ind w:left="720"/>
      <w:outlineLvl w:val="8"/>
    </w:pPr>
    <w:rPr>
      <w:i/>
    </w:rPr>
  </w:style>
  <w:style w:type="character" w:default="1" w:styleId="DefaultParagraphFont">
    <w:name w:val="Default Paragraph Font"/>
    <w:uiPriority w:val="1"/>
    <w:unhideWhenUsed/>
    <w:rsid w:val="004E1F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1F56"/>
  </w:style>
  <w:style w:type="character" w:customStyle="1" w:styleId="Heading1Char">
    <w:name w:val="Heading 1 Char"/>
    <w:link w:val="Heading1"/>
    <w:rsid w:val="004E1F56"/>
    <w:rPr>
      <w:rFonts w:ascii="Times New Roman" w:eastAsia="Times New Roman" w:hAnsi="Times New Roman" w:cs="Times New Roman"/>
      <w:b/>
      <w:sz w:val="32"/>
      <w:szCs w:val="20"/>
      <w:lang w:eastAsia="en-US"/>
    </w:rPr>
  </w:style>
  <w:style w:type="paragraph" w:styleId="BodyText">
    <w:name w:val="Body Text"/>
    <w:basedOn w:val="Normal"/>
    <w:link w:val="BodyTextChar"/>
    <w:rsid w:val="004E1F56"/>
    <w:pPr>
      <w:spacing w:before="120" w:after="120"/>
      <w:contextualSpacing/>
    </w:pPr>
    <w:rPr>
      <w:rFonts w:ascii="Times New Roman" w:hAnsi="Times New Roman"/>
      <w:sz w:val="24"/>
      <w:szCs w:val="22"/>
    </w:rPr>
  </w:style>
  <w:style w:type="character" w:customStyle="1" w:styleId="BodyTextChar">
    <w:name w:val="Body Text Char"/>
    <w:link w:val="BodyText"/>
    <w:rsid w:val="004E1F56"/>
    <w:rPr>
      <w:rFonts w:ascii="Times New Roman" w:eastAsia="Times New Roman" w:hAnsi="Times New Roman" w:cs="Times New Roman"/>
      <w:sz w:val="24"/>
      <w:lang w:val="en-US" w:eastAsia="en-US"/>
    </w:rPr>
  </w:style>
  <w:style w:type="paragraph" w:styleId="Footer">
    <w:name w:val="footer"/>
    <w:basedOn w:val="Normal"/>
    <w:link w:val="FooterChar"/>
    <w:rsid w:val="004E1F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E1F56"/>
    <w:rPr>
      <w:rFonts w:ascii="Times New Roman" w:eastAsia="Times New Roman" w:hAnsi="Times New Roman" w:cs="Times New Roman"/>
      <w:sz w:val="16"/>
      <w:lang w:val="en-US" w:eastAsia="en-US"/>
    </w:rPr>
  </w:style>
  <w:style w:type="paragraph" w:styleId="List">
    <w:name w:val="List"/>
    <w:basedOn w:val="BodyText"/>
    <w:next w:val="BodyText"/>
    <w:rsid w:val="004E1F56"/>
    <w:pPr>
      <w:tabs>
        <w:tab w:val="left" w:pos="340"/>
      </w:tabs>
      <w:spacing w:before="60" w:after="60"/>
      <w:ind w:left="340" w:hanging="340"/>
    </w:pPr>
  </w:style>
  <w:style w:type="paragraph" w:styleId="ListBullet">
    <w:name w:val="List Bullet"/>
    <w:basedOn w:val="List"/>
    <w:rsid w:val="004E1F56"/>
    <w:pPr>
      <w:numPr>
        <w:numId w:val="13"/>
      </w:numPr>
      <w:tabs>
        <w:tab w:val="clear" w:pos="340"/>
      </w:tabs>
      <w:spacing w:before="40" w:after="40"/>
    </w:pPr>
  </w:style>
  <w:style w:type="character" w:customStyle="1" w:styleId="SpecialBold">
    <w:name w:val="Special Bold"/>
    <w:rsid w:val="004E1F56"/>
    <w:rPr>
      <w:b/>
      <w:spacing w:val="0"/>
    </w:rPr>
  </w:style>
  <w:style w:type="paragraph" w:styleId="ListBullet2">
    <w:name w:val="List Bullet 2"/>
    <w:basedOn w:val="List2"/>
    <w:rsid w:val="004E1F56"/>
    <w:pPr>
      <w:numPr>
        <w:numId w:val="14"/>
      </w:numPr>
      <w:tabs>
        <w:tab w:val="clear" w:pos="680"/>
      </w:tabs>
    </w:pPr>
  </w:style>
  <w:style w:type="paragraph" w:styleId="Header">
    <w:name w:val="header"/>
    <w:basedOn w:val="Normal"/>
    <w:link w:val="HeaderChar"/>
    <w:rsid w:val="004E1F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E1F56"/>
    <w:rPr>
      <w:rFonts w:ascii="Times New Roman" w:eastAsia="Times New Roman" w:hAnsi="Times New Roman" w:cs="Times New Roman"/>
      <w:sz w:val="16"/>
      <w:szCs w:val="20"/>
      <w:lang w:val="en-GB" w:eastAsia="en-US"/>
    </w:rPr>
  </w:style>
  <w:style w:type="character" w:styleId="Emphasis">
    <w:name w:val="Emphasis"/>
    <w:qFormat/>
    <w:rsid w:val="004E1F56"/>
    <w:rPr>
      <w:i/>
    </w:rPr>
  </w:style>
  <w:style w:type="paragraph" w:customStyle="1" w:styleId="SuperHeading">
    <w:name w:val="SuperHeading"/>
    <w:basedOn w:val="Normal"/>
    <w:rsid w:val="004E1F56"/>
    <w:pPr>
      <w:spacing w:before="240" w:after="120"/>
      <w:outlineLvl w:val="0"/>
    </w:pPr>
    <w:rPr>
      <w:rFonts w:ascii="Times New Roman" w:hAnsi="Times New Roman"/>
      <w:b/>
      <w:sz w:val="28"/>
    </w:rPr>
  </w:style>
  <w:style w:type="paragraph" w:customStyle="1" w:styleId="AllowPageBreak">
    <w:name w:val="AllowPageBreak"/>
    <w:rsid w:val="004E1F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E1F56"/>
    <w:rPr>
      <w:rFonts w:ascii="Times New Roman" w:eastAsia="Times New Roman" w:hAnsi="Times New Roman" w:cs="Times New Roman"/>
      <w:b/>
      <w:sz w:val="28"/>
      <w:szCs w:val="40"/>
      <w:lang w:eastAsia="en-US"/>
    </w:rPr>
  </w:style>
  <w:style w:type="character" w:customStyle="1" w:styleId="Heading3Char">
    <w:name w:val="Heading 3 Char"/>
    <w:link w:val="Heading3"/>
    <w:rsid w:val="004E1F5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E1F56"/>
    <w:rPr>
      <w:rFonts w:ascii="Times New Roman" w:eastAsia="Times New Roman" w:hAnsi="Times New Roman" w:cs="Times New Roman"/>
      <w:b/>
      <w:szCs w:val="20"/>
      <w:lang w:eastAsia="en-US"/>
    </w:rPr>
  </w:style>
  <w:style w:type="character" w:customStyle="1" w:styleId="Heading5Char">
    <w:name w:val="Heading 5 Char"/>
    <w:link w:val="Heading5"/>
    <w:rsid w:val="004E1F5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E1F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1F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1F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1F56"/>
    <w:rPr>
      <w:rFonts w:ascii="Courier New" w:eastAsia="Times New Roman" w:hAnsi="Courier New" w:cs="Times New Roman"/>
      <w:i/>
      <w:szCs w:val="20"/>
      <w:lang w:val="en-US" w:eastAsia="en-US"/>
    </w:rPr>
  </w:style>
  <w:style w:type="paragraph" w:customStyle="1" w:styleId="HeadingBase">
    <w:name w:val="Heading Base"/>
    <w:rsid w:val="004E1F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1F56"/>
    <w:pPr>
      <w:tabs>
        <w:tab w:val="right" w:leader="dot" w:pos="9072"/>
      </w:tabs>
      <w:ind w:left="567"/>
    </w:pPr>
    <w:rPr>
      <w:szCs w:val="22"/>
    </w:rPr>
  </w:style>
  <w:style w:type="paragraph" w:customStyle="1" w:styleId="TOCBase">
    <w:name w:val="TOC Base"/>
    <w:rsid w:val="004E1F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1F56"/>
    <w:pPr>
      <w:tabs>
        <w:tab w:val="right" w:leader="dot" w:pos="9072"/>
      </w:tabs>
      <w:spacing w:before="40" w:after="40"/>
      <w:ind w:left="284"/>
    </w:pPr>
    <w:rPr>
      <w:rFonts w:ascii="Times New Roman" w:hAnsi="Times New Roman"/>
    </w:rPr>
  </w:style>
  <w:style w:type="paragraph" w:styleId="TOC1">
    <w:name w:val="toc 1"/>
    <w:basedOn w:val="TOCBase"/>
    <w:next w:val="Normal"/>
    <w:rsid w:val="004E1F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1F56"/>
    <w:pPr>
      <w:spacing w:before="5040"/>
      <w:jc w:val="center"/>
    </w:pPr>
    <w:rPr>
      <w:sz w:val="48"/>
      <w:szCs w:val="72"/>
      <w:lang w:val="en-US"/>
    </w:rPr>
  </w:style>
  <w:style w:type="character" w:customStyle="1" w:styleId="TitleChar">
    <w:name w:val="Title Char"/>
    <w:link w:val="Title"/>
    <w:rsid w:val="004E1F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1F56"/>
    <w:pPr>
      <w:tabs>
        <w:tab w:val="left" w:pos="3600"/>
        <w:tab w:val="left" w:pos="3958"/>
      </w:tabs>
    </w:pPr>
  </w:style>
  <w:style w:type="paragraph" w:customStyle="1" w:styleId="Note">
    <w:name w:val="Note"/>
    <w:basedOn w:val="BodyText"/>
    <w:rsid w:val="004E1F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1F56"/>
    <w:pPr>
      <w:framePr w:wrap="auto" w:hAnchor="text" w:y="6049"/>
    </w:pPr>
    <w:rPr>
      <w:color w:val="000000"/>
      <w:sz w:val="40"/>
    </w:rPr>
  </w:style>
  <w:style w:type="paragraph" w:customStyle="1" w:styleId="TOCTitle">
    <w:name w:val="TOCTitle"/>
    <w:basedOn w:val="Heading1"/>
    <w:rsid w:val="004E1F56"/>
    <w:pPr>
      <w:spacing w:after="240"/>
      <w:jc w:val="center"/>
      <w:outlineLvl w:val="9"/>
    </w:pPr>
    <w:rPr>
      <w:caps/>
    </w:rPr>
  </w:style>
  <w:style w:type="paragraph" w:customStyle="1" w:styleId="Version">
    <w:name w:val="Version"/>
    <w:rsid w:val="004E1F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1F56"/>
    <w:pPr>
      <w:keepNext w:val="0"/>
      <w:tabs>
        <w:tab w:val="right" w:pos="4176"/>
      </w:tabs>
      <w:ind w:left="198" w:hanging="198"/>
    </w:pPr>
    <w:rPr>
      <w:rFonts w:ascii="Garamond" w:hAnsi="Garamond"/>
    </w:rPr>
  </w:style>
  <w:style w:type="paragraph" w:styleId="IndexHeading">
    <w:name w:val="index heading"/>
    <w:basedOn w:val="Normal"/>
    <w:next w:val="Index1"/>
    <w:semiHidden/>
    <w:rsid w:val="004E1F56"/>
    <w:pPr>
      <w:spacing w:before="120" w:after="120"/>
    </w:pPr>
    <w:rPr>
      <w:rFonts w:ascii="Arial" w:hAnsi="Arial"/>
      <w:b/>
      <w:color w:val="918585"/>
      <w:sz w:val="24"/>
    </w:rPr>
  </w:style>
  <w:style w:type="paragraph" w:customStyle="1" w:styleId="Chapter">
    <w:name w:val="Chapter"/>
    <w:basedOn w:val="Normal"/>
    <w:rsid w:val="004E1F56"/>
    <w:pPr>
      <w:spacing w:before="240"/>
    </w:pPr>
    <w:rPr>
      <w:rFonts w:ascii="Times New Roman" w:hAnsi="Times New Roman"/>
      <w:smallCaps/>
      <w:spacing w:val="80"/>
      <w:sz w:val="28"/>
    </w:rPr>
  </w:style>
  <w:style w:type="paragraph" w:customStyle="1" w:styleId="InChapter">
    <w:name w:val="InChapter"/>
    <w:basedOn w:val="Heading3"/>
    <w:rsid w:val="004E1F56"/>
    <w:pPr>
      <w:spacing w:after="240"/>
      <w:outlineLvl w:val="9"/>
    </w:pPr>
    <w:rPr>
      <w:noProof/>
    </w:rPr>
  </w:style>
  <w:style w:type="paragraph" w:styleId="Index2">
    <w:name w:val="index 2"/>
    <w:basedOn w:val="Normal"/>
    <w:next w:val="Normal"/>
    <w:semiHidden/>
    <w:rsid w:val="004E1F56"/>
    <w:pPr>
      <w:tabs>
        <w:tab w:val="right" w:pos="4176"/>
      </w:tabs>
      <w:ind w:left="568" w:hanging="284"/>
    </w:pPr>
    <w:rPr>
      <w:rFonts w:ascii="Garamond" w:hAnsi="Garamond"/>
    </w:rPr>
  </w:style>
  <w:style w:type="paragraph" w:customStyle="1" w:styleId="Byline">
    <w:name w:val="Byline"/>
    <w:rsid w:val="004E1F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1F56"/>
    <w:pPr>
      <w:tabs>
        <w:tab w:val="clear" w:pos="3600"/>
        <w:tab w:val="clear" w:pos="3958"/>
      </w:tabs>
      <w:jc w:val="right"/>
    </w:pPr>
  </w:style>
  <w:style w:type="paragraph" w:styleId="Caption">
    <w:name w:val="caption"/>
    <w:basedOn w:val="BodyText"/>
    <w:next w:val="Normal"/>
    <w:qFormat/>
    <w:rsid w:val="004E1F56"/>
    <w:pPr>
      <w:framePr w:w="2268" w:hSpace="181" w:vSpace="181" w:wrap="around" w:vAnchor="text" w:hAnchor="page" w:x="1135" w:y="285" w:anchorLock="1"/>
    </w:pPr>
    <w:rPr>
      <w:i/>
    </w:rPr>
  </w:style>
  <w:style w:type="paragraph" w:customStyle="1" w:styleId="MiniTOCTitle">
    <w:name w:val="MiniTOCTitle"/>
    <w:basedOn w:val="Heading4"/>
    <w:rsid w:val="004E1F56"/>
    <w:pPr>
      <w:spacing w:before="240"/>
      <w:outlineLvl w:val="9"/>
    </w:pPr>
    <w:rPr>
      <w:noProof/>
      <w:sz w:val="24"/>
    </w:rPr>
  </w:style>
  <w:style w:type="paragraph" w:customStyle="1" w:styleId="MiniTOCItem">
    <w:name w:val="MiniTOCItem"/>
    <w:basedOn w:val="ListBullet"/>
    <w:rsid w:val="004E1F56"/>
    <w:pPr>
      <w:numPr>
        <w:numId w:val="0"/>
      </w:numPr>
      <w:tabs>
        <w:tab w:val="right" w:leader="dot" w:pos="6521"/>
      </w:tabs>
      <w:spacing w:before="0" w:after="0"/>
    </w:pPr>
  </w:style>
  <w:style w:type="paragraph" w:customStyle="1" w:styleId="TOFTitle">
    <w:name w:val="TOFTitle"/>
    <w:basedOn w:val="TOCTitle"/>
    <w:rsid w:val="004E1F56"/>
  </w:style>
  <w:style w:type="paragraph" w:styleId="TableofFigures">
    <w:name w:val="table of figures"/>
    <w:basedOn w:val="Normal"/>
    <w:next w:val="Normal"/>
    <w:semiHidden/>
    <w:rsid w:val="004E1F56"/>
    <w:pPr>
      <w:tabs>
        <w:tab w:val="right" w:leader="dot" w:pos="9072"/>
      </w:tabs>
      <w:ind w:left="970" w:hanging="403"/>
    </w:pPr>
    <w:rPr>
      <w:rFonts w:ascii="Times New Roman" w:hAnsi="Times New Roman"/>
      <w:b/>
    </w:rPr>
  </w:style>
  <w:style w:type="paragraph" w:styleId="ListNumber">
    <w:name w:val="List Number"/>
    <w:basedOn w:val="List"/>
    <w:rsid w:val="004E1F56"/>
    <w:pPr>
      <w:numPr>
        <w:numId w:val="11"/>
      </w:numPr>
    </w:pPr>
  </w:style>
  <w:style w:type="character" w:customStyle="1" w:styleId="WingdingSymbols">
    <w:name w:val="Wingding Symbols"/>
    <w:rsid w:val="004E1F56"/>
    <w:rPr>
      <w:rFonts w:ascii="Wingdings" w:hAnsi="Wingdings"/>
    </w:rPr>
  </w:style>
  <w:style w:type="paragraph" w:customStyle="1" w:styleId="TableHeading">
    <w:name w:val="Table Heading"/>
    <w:basedOn w:val="HeadingBase"/>
    <w:rsid w:val="004E1F56"/>
    <w:pPr>
      <w:keepLines/>
      <w:pBdr>
        <w:bottom w:val="single" w:sz="6" w:space="1" w:color="918585"/>
      </w:pBdr>
      <w:spacing w:before="240"/>
    </w:pPr>
  </w:style>
  <w:style w:type="character" w:customStyle="1" w:styleId="HotSpot">
    <w:name w:val="HotSpot"/>
    <w:rsid w:val="004E1F56"/>
    <w:rPr>
      <w:color w:val="0033CC"/>
      <w:u w:val="none"/>
    </w:rPr>
  </w:style>
  <w:style w:type="paragraph" w:customStyle="1" w:styleId="BodyTextRight">
    <w:name w:val="Body Text Right"/>
    <w:basedOn w:val="BodyText"/>
    <w:rsid w:val="004E1F56"/>
    <w:pPr>
      <w:spacing w:before="0" w:after="0"/>
      <w:jc w:val="right"/>
    </w:pPr>
  </w:style>
  <w:style w:type="paragraph" w:styleId="Index3">
    <w:name w:val="index 3"/>
    <w:basedOn w:val="ListNumber2"/>
    <w:next w:val="Normal"/>
    <w:semiHidden/>
    <w:rsid w:val="004E1F56"/>
    <w:pPr>
      <w:numPr>
        <w:numId w:val="0"/>
      </w:numPr>
      <w:tabs>
        <w:tab w:val="right" w:leader="dot" w:pos="4176"/>
      </w:tabs>
    </w:pPr>
  </w:style>
  <w:style w:type="paragraph" w:styleId="ListNumber2">
    <w:name w:val="List Number 2"/>
    <w:basedOn w:val="List2"/>
    <w:rsid w:val="004E1F56"/>
    <w:pPr>
      <w:numPr>
        <w:numId w:val="10"/>
      </w:numPr>
      <w:tabs>
        <w:tab w:val="clear" w:pos="1060"/>
      </w:tabs>
    </w:pPr>
  </w:style>
  <w:style w:type="paragraph" w:customStyle="1" w:styleId="MarginNote">
    <w:name w:val="Margin Note"/>
    <w:basedOn w:val="BodyText"/>
    <w:rsid w:val="004E1F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1F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E1F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1F56"/>
    <w:rPr>
      <w:sz w:val="32"/>
    </w:rPr>
  </w:style>
  <w:style w:type="paragraph" w:customStyle="1" w:styleId="HeadingProcedure">
    <w:name w:val="Heading Procedure"/>
    <w:basedOn w:val="HeadingBase"/>
    <w:next w:val="Normal"/>
    <w:rsid w:val="004E1F56"/>
    <w:pPr>
      <w:tabs>
        <w:tab w:val="left" w:pos="0"/>
      </w:tabs>
      <w:spacing w:before="120" w:after="60"/>
    </w:pPr>
    <w:rPr>
      <w:i/>
      <w:color w:val="918585"/>
      <w:sz w:val="22"/>
    </w:rPr>
  </w:style>
  <w:style w:type="paragraph" w:customStyle="1" w:styleId="TableBodyText">
    <w:name w:val="Table Body Text"/>
    <w:basedOn w:val="BodyText"/>
    <w:rsid w:val="004E1F56"/>
    <w:pPr>
      <w:spacing w:before="60" w:after="60"/>
    </w:pPr>
  </w:style>
  <w:style w:type="paragraph" w:styleId="ListContinue">
    <w:name w:val="List Continue"/>
    <w:basedOn w:val="List"/>
    <w:rsid w:val="004E1F56"/>
    <w:pPr>
      <w:ind w:firstLine="0"/>
    </w:pPr>
  </w:style>
  <w:style w:type="paragraph" w:customStyle="1" w:styleId="ListNote">
    <w:name w:val="List Note"/>
    <w:basedOn w:val="List"/>
    <w:rsid w:val="004E1F56"/>
    <w:pPr>
      <w:pBdr>
        <w:top w:val="single" w:sz="6" w:space="2" w:color="918585"/>
        <w:bottom w:val="single" w:sz="6" w:space="2" w:color="918585"/>
      </w:pBdr>
      <w:tabs>
        <w:tab w:val="left" w:pos="1021"/>
      </w:tabs>
      <w:ind w:firstLine="0"/>
    </w:pPr>
  </w:style>
  <w:style w:type="paragraph" w:customStyle="1" w:styleId="Warning">
    <w:name w:val="Warning"/>
    <w:basedOn w:val="BodyText"/>
    <w:rsid w:val="004E1F56"/>
    <w:pPr>
      <w:shd w:val="clear" w:color="auto" w:fill="D9D9D9"/>
      <w:tabs>
        <w:tab w:val="left" w:pos="992"/>
      </w:tabs>
      <w:ind w:left="119" w:right="119"/>
    </w:pPr>
    <w:rPr>
      <w:sz w:val="20"/>
    </w:rPr>
  </w:style>
  <w:style w:type="paragraph" w:customStyle="1" w:styleId="MarginIcons">
    <w:name w:val="Margin Icons"/>
    <w:basedOn w:val="BodyText"/>
    <w:rsid w:val="004E1F5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E1F56"/>
    <w:rPr>
      <w:rFonts w:ascii="Courier New" w:hAnsi="Courier New"/>
    </w:rPr>
  </w:style>
  <w:style w:type="paragraph" w:customStyle="1" w:styleId="NoteBullet">
    <w:name w:val="Note Bullet"/>
    <w:basedOn w:val="Note"/>
    <w:rsid w:val="004E1F56"/>
    <w:pPr>
      <w:tabs>
        <w:tab w:val="clear" w:pos="680"/>
      </w:tabs>
      <w:spacing w:before="60" w:after="60"/>
    </w:pPr>
  </w:style>
  <w:style w:type="paragraph" w:customStyle="1" w:styleId="SubHeading2">
    <w:name w:val="SubHeading2"/>
    <w:basedOn w:val="HeadingBase"/>
    <w:rsid w:val="004E1F56"/>
    <w:pPr>
      <w:spacing w:before="240" w:after="60"/>
    </w:pPr>
    <w:rPr>
      <w:sz w:val="20"/>
    </w:rPr>
  </w:style>
  <w:style w:type="paragraph" w:customStyle="1" w:styleId="SubHeading1">
    <w:name w:val="SubHeading1"/>
    <w:basedOn w:val="HeadingBase"/>
    <w:rsid w:val="004E1F56"/>
    <w:pPr>
      <w:spacing w:before="240" w:after="60"/>
    </w:pPr>
    <w:rPr>
      <w:color w:val="918585"/>
      <w:sz w:val="22"/>
    </w:rPr>
  </w:style>
  <w:style w:type="paragraph" w:customStyle="1" w:styleId="SideHeading">
    <w:name w:val="Side Heading"/>
    <w:basedOn w:val="HeadingBase"/>
    <w:rsid w:val="004E1F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1F56"/>
    <w:pPr>
      <w:numPr>
        <w:numId w:val="12"/>
      </w:numPr>
    </w:pPr>
  </w:style>
  <w:style w:type="paragraph" w:styleId="PlainText">
    <w:name w:val="Plain Text"/>
    <w:basedOn w:val="Normal"/>
    <w:link w:val="PlainTextChar"/>
    <w:rsid w:val="004E1F56"/>
    <w:rPr>
      <w:sz w:val="20"/>
    </w:rPr>
  </w:style>
  <w:style w:type="character" w:customStyle="1" w:styleId="PlainTextChar">
    <w:name w:val="Plain Text Char"/>
    <w:basedOn w:val="DefaultParagraphFont"/>
    <w:link w:val="PlainText"/>
    <w:rsid w:val="004E1F56"/>
    <w:rPr>
      <w:rFonts w:ascii="Courier New" w:eastAsia="Times New Roman" w:hAnsi="Courier New" w:cs="Times New Roman"/>
      <w:sz w:val="20"/>
      <w:szCs w:val="20"/>
      <w:lang w:val="en-US" w:eastAsia="en-US"/>
    </w:rPr>
  </w:style>
  <w:style w:type="character" w:customStyle="1" w:styleId="MenuOption">
    <w:name w:val="Menu Option"/>
    <w:rsid w:val="004E1F56"/>
    <w:rPr>
      <w:b/>
      <w:smallCaps/>
    </w:rPr>
  </w:style>
  <w:style w:type="paragraph" w:customStyle="1" w:styleId="TableListNumber">
    <w:name w:val="Table List Number"/>
    <w:basedOn w:val="ListNumber"/>
    <w:rsid w:val="004E1F56"/>
    <w:pPr>
      <w:numPr>
        <w:numId w:val="0"/>
      </w:numPr>
    </w:pPr>
  </w:style>
  <w:style w:type="paragraph" w:styleId="TOC4">
    <w:name w:val="toc 4"/>
    <w:basedOn w:val="TOCBase"/>
    <w:next w:val="Normal"/>
    <w:semiHidden/>
    <w:rsid w:val="004E1F56"/>
    <w:pPr>
      <w:tabs>
        <w:tab w:val="right" w:leader="dot" w:pos="9071"/>
      </w:tabs>
      <w:ind w:left="1701"/>
    </w:pPr>
  </w:style>
  <w:style w:type="paragraph" w:customStyle="1" w:styleId="ListAlpha">
    <w:name w:val="List Alpha"/>
    <w:basedOn w:val="List"/>
    <w:rsid w:val="004E1F56"/>
    <w:pPr>
      <w:numPr>
        <w:numId w:val="9"/>
      </w:numPr>
    </w:pPr>
  </w:style>
  <w:style w:type="paragraph" w:customStyle="1" w:styleId="ListAlpha2">
    <w:name w:val="List Alpha 2"/>
    <w:basedOn w:val="List2"/>
    <w:rsid w:val="004E1F56"/>
    <w:pPr>
      <w:numPr>
        <w:numId w:val="8"/>
      </w:numPr>
    </w:pPr>
  </w:style>
  <w:style w:type="paragraph" w:styleId="List2">
    <w:name w:val="List 2"/>
    <w:basedOn w:val="BodyText"/>
    <w:rsid w:val="004E1F56"/>
    <w:pPr>
      <w:tabs>
        <w:tab w:val="left" w:pos="680"/>
      </w:tabs>
      <w:spacing w:before="60" w:after="60"/>
      <w:ind w:left="680" w:hanging="340"/>
    </w:pPr>
  </w:style>
  <w:style w:type="paragraph" w:styleId="List3">
    <w:name w:val="List 3"/>
    <w:basedOn w:val="BodyText"/>
    <w:rsid w:val="004E1F56"/>
    <w:pPr>
      <w:tabs>
        <w:tab w:val="left" w:pos="1021"/>
      </w:tabs>
      <w:spacing w:before="60" w:after="60"/>
      <w:ind w:left="1020" w:hanging="340"/>
    </w:pPr>
  </w:style>
  <w:style w:type="paragraph" w:styleId="List4">
    <w:name w:val="List 4"/>
    <w:basedOn w:val="BodyText"/>
    <w:rsid w:val="004E1F56"/>
    <w:pPr>
      <w:tabs>
        <w:tab w:val="left" w:pos="1361"/>
      </w:tabs>
      <w:spacing w:before="60" w:after="60"/>
      <w:ind w:left="1361" w:hanging="340"/>
    </w:pPr>
  </w:style>
  <w:style w:type="paragraph" w:styleId="List5">
    <w:name w:val="List 5"/>
    <w:basedOn w:val="BodyText"/>
    <w:rsid w:val="004E1F56"/>
    <w:pPr>
      <w:tabs>
        <w:tab w:val="left" w:pos="1701"/>
      </w:tabs>
      <w:spacing w:before="60" w:after="60"/>
      <w:ind w:left="1701" w:hanging="340"/>
    </w:pPr>
  </w:style>
  <w:style w:type="paragraph" w:styleId="ListBullet3">
    <w:name w:val="List Bullet 3"/>
    <w:basedOn w:val="List3"/>
    <w:rsid w:val="004E1F56"/>
    <w:pPr>
      <w:numPr>
        <w:numId w:val="15"/>
      </w:numPr>
      <w:tabs>
        <w:tab w:val="clear" w:pos="1021"/>
      </w:tabs>
      <w:ind w:left="1037" w:hanging="357"/>
    </w:pPr>
  </w:style>
  <w:style w:type="paragraph" w:styleId="ListBullet4">
    <w:name w:val="List Bullet 4"/>
    <w:basedOn w:val="List4"/>
    <w:rsid w:val="004E1F56"/>
    <w:pPr>
      <w:numPr>
        <w:numId w:val="3"/>
      </w:numPr>
    </w:pPr>
  </w:style>
  <w:style w:type="paragraph" w:styleId="ListBullet5">
    <w:name w:val="List Bullet 5"/>
    <w:basedOn w:val="List5"/>
    <w:rsid w:val="004E1F56"/>
    <w:pPr>
      <w:numPr>
        <w:numId w:val="4"/>
      </w:numPr>
    </w:pPr>
  </w:style>
  <w:style w:type="paragraph" w:styleId="ListContinue2">
    <w:name w:val="List Continue 2"/>
    <w:basedOn w:val="List2"/>
    <w:rsid w:val="004E1F56"/>
    <w:pPr>
      <w:ind w:firstLine="0"/>
    </w:pPr>
  </w:style>
  <w:style w:type="paragraph" w:styleId="ListContinue3">
    <w:name w:val="List Continue 3"/>
    <w:basedOn w:val="List3"/>
    <w:rsid w:val="004E1F56"/>
    <w:pPr>
      <w:ind w:left="1021" w:firstLine="0"/>
    </w:pPr>
  </w:style>
  <w:style w:type="paragraph" w:styleId="ListContinue4">
    <w:name w:val="List Continue 4"/>
    <w:basedOn w:val="List4"/>
    <w:rsid w:val="004E1F56"/>
    <w:pPr>
      <w:ind w:firstLine="0"/>
    </w:pPr>
  </w:style>
  <w:style w:type="paragraph" w:styleId="ListContinue5">
    <w:name w:val="List Continue 5"/>
    <w:basedOn w:val="List5"/>
    <w:rsid w:val="004E1F56"/>
    <w:pPr>
      <w:ind w:firstLine="0"/>
    </w:pPr>
  </w:style>
  <w:style w:type="paragraph" w:styleId="ListNumber3">
    <w:name w:val="List Number 3"/>
    <w:basedOn w:val="List3"/>
    <w:rsid w:val="004E1F56"/>
    <w:pPr>
      <w:numPr>
        <w:numId w:val="5"/>
      </w:numPr>
    </w:pPr>
  </w:style>
  <w:style w:type="paragraph" w:styleId="ListNumber4">
    <w:name w:val="List Number 4"/>
    <w:basedOn w:val="List4"/>
    <w:rsid w:val="004E1F56"/>
    <w:pPr>
      <w:numPr>
        <w:numId w:val="6"/>
      </w:numPr>
    </w:pPr>
  </w:style>
  <w:style w:type="paragraph" w:styleId="ListNumber5">
    <w:name w:val="List Number 5"/>
    <w:basedOn w:val="List5"/>
    <w:rsid w:val="004E1F56"/>
    <w:pPr>
      <w:numPr>
        <w:numId w:val="7"/>
      </w:numPr>
    </w:pPr>
  </w:style>
  <w:style w:type="paragraph" w:styleId="BlockText">
    <w:name w:val="Block Text"/>
    <w:basedOn w:val="Normal"/>
    <w:rsid w:val="004E1F56"/>
    <w:pPr>
      <w:spacing w:after="120"/>
      <w:ind w:left="1440" w:right="1440"/>
    </w:pPr>
  </w:style>
  <w:style w:type="character" w:customStyle="1" w:styleId="Subscript">
    <w:name w:val="Subscript"/>
    <w:rsid w:val="004E1F56"/>
    <w:rPr>
      <w:sz w:val="16"/>
      <w:vertAlign w:val="subscript"/>
    </w:rPr>
  </w:style>
  <w:style w:type="character" w:customStyle="1" w:styleId="Superscript">
    <w:name w:val="Superscript"/>
    <w:rsid w:val="004E1F56"/>
    <w:rPr>
      <w:sz w:val="16"/>
      <w:vertAlign w:val="superscript"/>
    </w:rPr>
  </w:style>
  <w:style w:type="character" w:customStyle="1" w:styleId="Symbols">
    <w:name w:val="Symbols"/>
    <w:rsid w:val="004E1F56"/>
    <w:rPr>
      <w:rFonts w:ascii="Symbol" w:hAnsi="Symbol"/>
    </w:rPr>
  </w:style>
  <w:style w:type="character" w:customStyle="1" w:styleId="MenuOptions">
    <w:name w:val="Menu Options"/>
    <w:rsid w:val="004E1F56"/>
    <w:rPr>
      <w:rFonts w:ascii="Arial Narrow" w:hAnsi="Arial Narrow"/>
      <w:smallCaps/>
    </w:rPr>
  </w:style>
  <w:style w:type="character" w:customStyle="1" w:styleId="Buttons">
    <w:name w:val="Buttons"/>
    <w:rsid w:val="004E1F56"/>
    <w:rPr>
      <w:b/>
    </w:rPr>
  </w:style>
  <w:style w:type="character" w:customStyle="1" w:styleId="Underlined">
    <w:name w:val="Underlined"/>
    <w:rsid w:val="004E1F56"/>
    <w:rPr>
      <w:u w:val="single"/>
    </w:rPr>
  </w:style>
  <w:style w:type="paragraph" w:customStyle="1" w:styleId="TableBodyTextRight">
    <w:name w:val="Table Body Text Right"/>
    <w:basedOn w:val="TableBodyText"/>
    <w:rsid w:val="004E1F56"/>
    <w:pPr>
      <w:widowControl w:val="0"/>
      <w:autoSpaceDE w:val="0"/>
      <w:autoSpaceDN w:val="0"/>
      <w:adjustRightInd w:val="0"/>
      <w:jc w:val="right"/>
    </w:pPr>
    <w:rPr>
      <w:rFonts w:cs="Arial"/>
      <w:szCs w:val="18"/>
    </w:rPr>
  </w:style>
  <w:style w:type="paragraph" w:customStyle="1" w:styleId="CopyrightText">
    <w:name w:val="Copyright Text"/>
    <w:basedOn w:val="BodyText"/>
    <w:rsid w:val="004E1F56"/>
    <w:rPr>
      <w:sz w:val="18"/>
    </w:rPr>
  </w:style>
  <w:style w:type="paragraph" w:customStyle="1" w:styleId="BodySmallRight">
    <w:name w:val="Body Small Right"/>
    <w:basedOn w:val="BodyTextRight"/>
    <w:rsid w:val="004E1F56"/>
    <w:rPr>
      <w:sz w:val="18"/>
      <w:szCs w:val="18"/>
    </w:rPr>
  </w:style>
  <w:style w:type="paragraph" w:customStyle="1" w:styleId="MarginEdition">
    <w:name w:val="Margin Edition"/>
    <w:basedOn w:val="MarginNote"/>
    <w:rsid w:val="004E1F56"/>
    <w:pPr>
      <w:spacing w:before="0" w:after="0"/>
    </w:pPr>
    <w:rPr>
      <w:rFonts w:ascii="Times New Roman" w:hAnsi="Times New Roman"/>
      <w:color w:val="999999"/>
    </w:rPr>
  </w:style>
  <w:style w:type="paragraph" w:customStyle="1" w:styleId="Spacer">
    <w:name w:val="Spacer"/>
    <w:basedOn w:val="Normal"/>
    <w:rsid w:val="004E1F56"/>
    <w:rPr>
      <w:sz w:val="2"/>
      <w:szCs w:val="2"/>
    </w:rPr>
  </w:style>
  <w:style w:type="character" w:customStyle="1" w:styleId="Small">
    <w:name w:val="Small"/>
    <w:rsid w:val="004E1F56"/>
    <w:rPr>
      <w:sz w:val="16"/>
    </w:rPr>
  </w:style>
  <w:style w:type="paragraph" w:customStyle="1" w:styleId="WideTable">
    <w:name w:val="Wide Table"/>
    <w:basedOn w:val="Normal"/>
    <w:rsid w:val="004E1F56"/>
    <w:pPr>
      <w:ind w:left="-1418"/>
    </w:pPr>
    <w:rPr>
      <w:sz w:val="2"/>
      <w:szCs w:val="2"/>
    </w:rPr>
  </w:style>
  <w:style w:type="character" w:styleId="PageNumber">
    <w:name w:val="page number"/>
    <w:rsid w:val="004E1F56"/>
  </w:style>
  <w:style w:type="paragraph" w:styleId="Quote">
    <w:name w:val="Quote"/>
    <w:basedOn w:val="Heading1"/>
    <w:link w:val="QuoteChar"/>
    <w:qFormat/>
    <w:rsid w:val="004E1F56"/>
    <w:rPr>
      <w:b w:val="0"/>
      <w:sz w:val="72"/>
      <w:szCs w:val="72"/>
      <w:lang w:val="en-NZ"/>
    </w:rPr>
  </w:style>
  <w:style w:type="character" w:customStyle="1" w:styleId="QuoteChar">
    <w:name w:val="Quote Char"/>
    <w:link w:val="Quote"/>
    <w:rsid w:val="004E1F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1F56"/>
    <w:pPr>
      <w:pageBreakBefore/>
    </w:pPr>
  </w:style>
  <w:style w:type="paragraph" w:customStyle="1" w:styleId="Border">
    <w:name w:val="Border"/>
    <w:basedOn w:val="Normal"/>
    <w:qFormat/>
    <w:rsid w:val="004E1F56"/>
    <w:pPr>
      <w:pBdr>
        <w:top w:val="single" w:sz="18" w:space="1" w:color="auto"/>
      </w:pBdr>
    </w:pPr>
    <w:rPr>
      <w:rFonts w:ascii="Times New Roman" w:hAnsi="Times New Roman"/>
      <w:color w:val="FFFFFF"/>
      <w:sz w:val="2"/>
    </w:rPr>
  </w:style>
  <w:style w:type="character" w:styleId="IntenseEmphasis">
    <w:name w:val="Intense Emphasis"/>
    <w:uiPriority w:val="21"/>
    <w:qFormat/>
    <w:rsid w:val="004E1F56"/>
    <w:rPr>
      <w:b/>
      <w:bCs/>
      <w:i/>
      <w:iCs/>
      <w:color w:val="auto"/>
    </w:rPr>
  </w:style>
  <w:style w:type="paragraph" w:styleId="IntenseQuote">
    <w:name w:val="Intense Quote"/>
    <w:basedOn w:val="Normal"/>
    <w:next w:val="Normal"/>
    <w:link w:val="IntenseQuoteChar"/>
    <w:uiPriority w:val="30"/>
    <w:qFormat/>
    <w:rsid w:val="004E1F5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E1F56"/>
    <w:rPr>
      <w:rFonts w:ascii="Courier New" w:eastAsia="Times New Roman" w:hAnsi="Courier New" w:cs="Times New Roman"/>
      <w:b/>
      <w:bCs/>
      <w:i/>
      <w:iCs/>
      <w:szCs w:val="20"/>
      <w:lang w:val="en-US" w:eastAsia="en-US"/>
    </w:rPr>
  </w:style>
  <w:style w:type="character" w:styleId="SubtleReference">
    <w:name w:val="Subtle Reference"/>
    <w:uiPriority w:val="31"/>
    <w:qFormat/>
    <w:rsid w:val="004E1F56"/>
    <w:rPr>
      <w:smallCaps/>
      <w:color w:val="auto"/>
      <w:u w:val="single"/>
    </w:rPr>
  </w:style>
  <w:style w:type="character" w:styleId="IntenseReference">
    <w:name w:val="Intense Reference"/>
    <w:uiPriority w:val="32"/>
    <w:qFormat/>
    <w:rsid w:val="004E1F56"/>
    <w:rPr>
      <w:b/>
      <w:bCs/>
      <w:smallCaps/>
      <w:color w:val="auto"/>
      <w:spacing w:val="5"/>
      <w:u w:val="single"/>
    </w:rPr>
  </w:style>
  <w:style w:type="paragraph" w:customStyle="1" w:styleId="2ColumnHeading">
    <w:name w:val="2Column Heading"/>
    <w:basedOn w:val="BodyText"/>
    <w:qFormat/>
    <w:rsid w:val="004E1F56"/>
    <w:pPr>
      <w:spacing w:after="60"/>
      <w:ind w:left="-2268"/>
    </w:pPr>
    <w:rPr>
      <w:b/>
    </w:rPr>
  </w:style>
  <w:style w:type="paragraph" w:customStyle="1" w:styleId="Heading1TOC">
    <w:name w:val="Heading1 TOC"/>
    <w:basedOn w:val="Normal"/>
    <w:qFormat/>
    <w:rsid w:val="004E1F56"/>
    <w:pPr>
      <w:spacing w:before="240" w:after="120"/>
    </w:pPr>
    <w:rPr>
      <w:rFonts w:ascii="Times New Roman" w:hAnsi="Times New Roman"/>
      <w:b/>
      <w:sz w:val="32"/>
    </w:rPr>
  </w:style>
  <w:style w:type="paragraph" w:customStyle="1" w:styleId="Heading2TOC">
    <w:name w:val="Heading2 TOC"/>
    <w:basedOn w:val="Normal"/>
    <w:qFormat/>
    <w:rsid w:val="004E1F56"/>
    <w:pPr>
      <w:spacing w:before="240" w:after="60"/>
    </w:pPr>
    <w:rPr>
      <w:rFonts w:ascii="Times New Roman" w:hAnsi="Times New Roman"/>
      <w:b/>
      <w:sz w:val="28"/>
    </w:rPr>
  </w:style>
  <w:style w:type="character" w:customStyle="1" w:styleId="Underline">
    <w:name w:val="Underline"/>
    <w:qFormat/>
    <w:rsid w:val="004E1F56"/>
    <w:rPr>
      <w:u w:val="single"/>
    </w:rPr>
  </w:style>
  <w:style w:type="character" w:customStyle="1" w:styleId="BoldandItalics">
    <w:name w:val="Bold and Italics"/>
    <w:qFormat/>
    <w:rsid w:val="004E1F56"/>
    <w:rPr>
      <w:b/>
      <w:i/>
      <w:u w:val="none"/>
    </w:rPr>
  </w:style>
  <w:style w:type="paragraph" w:styleId="BalloonText">
    <w:name w:val="Balloon Text"/>
    <w:basedOn w:val="Normal"/>
    <w:link w:val="BalloonTextChar"/>
    <w:rsid w:val="004E1F56"/>
    <w:rPr>
      <w:rFonts w:ascii="Tahoma" w:hAnsi="Tahoma" w:cs="Tahoma"/>
      <w:sz w:val="16"/>
      <w:szCs w:val="16"/>
    </w:rPr>
  </w:style>
  <w:style w:type="character" w:customStyle="1" w:styleId="BalloonTextChar">
    <w:name w:val="Balloon Text Char"/>
    <w:link w:val="BalloonText"/>
    <w:rsid w:val="004E1F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1F5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E1F5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1459</Words>
  <Characters>9191</Characters>
  <Application>Microsoft Office Word</Application>
  <DocSecurity>0</DocSecurity>
  <Lines>345</Lines>
  <Paragraphs>173</Paragraphs>
  <ScaleCrop>false</ScaleCrop>
  <Company>Author-it Software Corporation Ltd.</Company>
  <LinksUpToDate>false</LinksUpToDate>
  <CharactersWithSpaces>10603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HLTPOP501C Apply a population health framework</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2012-05-26T17:06:00Z</dcterms:created>
  <dcterms:modified xsi:type="dcterms:W3CDTF">2012-05-26T17:06:00Z</dcterms:modified>
</cp:coreProperties>
</file>