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00F" w:rsidP="009B500F">
      <w:pPr>
        <w:pStyle w:val="Title"/>
      </w:pPr>
      <w:bookmarkStart w:id="0" w:name="_GoBack"/>
      <w:bookmarkEnd w:id="0"/>
      <w:r>
        <w:fldChar w:fldCharType="begin"/>
      </w:r>
      <w:r>
        <w:instrText xml:space="preserve"> TITLE   \* MERGEFORMAT </w:instrText>
      </w:r>
      <w:r>
        <w:fldChar w:fldCharType="separate"/>
      </w:r>
      <w:r>
        <w:t>HLTPH418A Support pharmacists by collecting information for clients and other health professionals</w:t>
      </w:r>
      <w:r>
        <w:fldChar w:fldCharType="end"/>
      </w:r>
    </w:p>
    <w:p w:rsidR="009B500F" w:rsidP="009B500F">
      <w:pPr>
        <w:pStyle w:val="Version"/>
        <w:sectPr w:rsidSect="00A732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3219" w:rsidP="00A73219">
      <w:pPr>
        <w:pStyle w:val="SuperHeading"/>
      </w:pPr>
      <w:r w:rsidRPr="00A73219">
        <w:t>HLTPH418A Support pharmacists by collecting information for clients and other health professionals</w:t>
      </w:r>
    </w:p>
    <w:p w:rsidR="00000000" w:rsidRPr="00A73219" w:rsidP="00A73219">
      <w:pPr>
        <w:pStyle w:val="Heading1"/>
      </w:pPr>
      <w:bookmarkStart w:id="1" w:name="O_438755"/>
      <w:bookmarkEnd w:id="1"/>
      <w:r w:rsidRPr="00A73219">
        <w:t>Modification History</w:t>
      </w:r>
    </w:p>
    <w:tbl>
      <w:tblPr>
        <w:tblW w:w="0" w:type="auto"/>
        <w:tblCellMar>
          <w:left w:w="62" w:type="dxa"/>
          <w:right w:w="62" w:type="dxa"/>
        </w:tblCellMar>
        <w:tblLook w:val="0000"/>
      </w:tblPr>
      <w:tblGrid>
        <w:gridCol w:w="2857"/>
        <w:gridCol w:w="3541"/>
        <w:gridCol w:w="2798"/>
      </w:tblGrid>
      <w:tr w:rsidTr="009B500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219" w:rsidP="00A73219">
            <w:pPr>
              <w:pStyle w:val="BodyText"/>
            </w:pPr>
            <w:r w:rsidRPr="00A73219">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219" w:rsidP="00A73219">
            <w:pPr>
              <w:pStyle w:val="BodyText"/>
            </w:pPr>
            <w:r w:rsidRPr="00A73219">
              <w:rPr>
                <w:rStyle w:val="SpecialBold"/>
              </w:rPr>
              <w:t xml:space="preserve">HLT07 Version </w:t>
            </w:r>
            <w:r w:rsidRPr="00A73219">
              <w:rPr>
                <w:rStyle w:val="SpecialBold"/>
              </w:rPr>
              <w:t>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219">
            <w:pPr>
              <w:pStyle w:val="BodyText"/>
              <w:rPr>
                <w:lang w:val="en-NZ"/>
              </w:rPr>
            </w:pPr>
            <w:r w:rsidRPr="00A73219">
              <w:rPr>
                <w:rStyle w:val="SpecialBold"/>
              </w:rPr>
              <w:t>Comments</w:t>
            </w:r>
          </w:p>
        </w:tc>
      </w:tr>
      <w:tr w:rsidTr="009B50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219">
            <w:pPr>
              <w:pStyle w:val="BodyText"/>
              <w:rPr>
                <w:lang w:val="en-NZ"/>
              </w:rPr>
            </w:pPr>
            <w:r w:rsidRPr="00A73219">
              <w:t>HLTPH416B Support pharmacists by collecting and providing specific information to/for clients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73219">
            <w:pPr>
              <w:pStyle w:val="BodyText"/>
              <w:rPr>
                <w:lang w:val="en-NZ"/>
              </w:rPr>
            </w:pPr>
            <w:r w:rsidRPr="00A73219">
              <w:t>HLTPH418A Support pharmacists by collecting information for clients and other health professionals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73219" w:rsidP="00A73219">
            <w:pPr>
              <w:pStyle w:val="BodyText"/>
            </w:pPr>
            <w:r w:rsidRPr="00A73219">
              <w:t>Unit updated in V5</w:t>
            </w:r>
          </w:p>
          <w:p w:rsidR="00000000" w:rsidRPr="00A73219" w:rsidP="00A73219">
            <w:pPr>
              <w:pStyle w:val="BodyText"/>
            </w:pPr>
            <w:r w:rsidRPr="00A73219">
              <w:t>Competency outcome changed</w:t>
            </w:r>
          </w:p>
        </w:tc>
      </w:tr>
    </w:tbl>
    <w:p w:rsidR="00000000" w:rsidRPr="00A73219" w:rsidP="00A73219">
      <w:pPr>
        <w:pStyle w:val="BodyText"/>
      </w:pPr>
    </w:p>
    <w:p w:rsidR="00000000" w:rsidRPr="00A73219" w:rsidP="00A73219">
      <w:pPr>
        <w:pStyle w:val="AllowPageBreak"/>
      </w:pPr>
    </w:p>
    <w:p w:rsidR="00000000" w:rsidRPr="00A73219" w:rsidP="00A73219">
      <w:pPr>
        <w:pStyle w:val="Heading1"/>
      </w:pPr>
      <w:bookmarkStart w:id="2" w:name="O_438756"/>
      <w:bookmarkEnd w:id="2"/>
      <w:r w:rsidRPr="00A73219">
        <w:t>Unit Descriptor</w:t>
      </w:r>
    </w:p>
    <w:tbl>
      <w:tblPr>
        <w:tblW w:w="0" w:type="auto"/>
        <w:tblLayout w:type="fixed"/>
        <w:tblCellMar>
          <w:left w:w="62" w:type="dxa"/>
          <w:right w:w="62" w:type="dxa"/>
        </w:tblCellMar>
        <w:tblLook w:val="0000"/>
      </w:tblPr>
      <w:tblGrid>
        <w:gridCol w:w="3261"/>
        <w:gridCol w:w="5670"/>
      </w:tblGrid>
      <w:tr w:rsidTr="00A7321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r w:rsidRPr="00A73219">
              <w:rPr>
                <w:rStyle w:val="SpecialBold"/>
              </w:rPr>
              <w:t>Descriptor</w:t>
            </w:r>
          </w:p>
        </w:tc>
        <w:tc>
          <w:tcPr>
            <w:tcW w:w="5670" w:type="dxa"/>
            <w:tcBorders>
              <w:top w:val="nil"/>
              <w:left w:val="nil"/>
              <w:bottom w:val="nil"/>
              <w:right w:val="nil"/>
            </w:tcBorders>
            <w:tcMar>
              <w:top w:w="0" w:type="dxa"/>
              <w:left w:w="62" w:type="dxa"/>
              <w:bottom w:w="0" w:type="dxa"/>
              <w:right w:w="62" w:type="dxa"/>
            </w:tcMar>
          </w:tcPr>
          <w:p w:rsidR="00000000" w:rsidRPr="00A73219" w:rsidP="00A73219">
            <w:pPr>
              <w:pStyle w:val="BodyText"/>
            </w:pPr>
            <w:r w:rsidRPr="00A73219">
              <w:t>This unit of competency describes the skills and knowledge required to provide appropriate information to meet client education needs and to support the pharmacist’s care delivery</w:t>
            </w:r>
          </w:p>
        </w:tc>
      </w:tr>
    </w:tbl>
    <w:p w:rsidR="00000000" w:rsidRPr="00A73219" w:rsidP="00A73219">
      <w:pPr>
        <w:pStyle w:val="BodyText"/>
      </w:pPr>
    </w:p>
    <w:p w:rsidR="00000000" w:rsidRPr="00A73219" w:rsidP="00A73219">
      <w:pPr>
        <w:pStyle w:val="AllowPageBreak"/>
      </w:pPr>
    </w:p>
    <w:p w:rsidR="00000000" w:rsidRPr="00A73219" w:rsidP="00A73219">
      <w:pPr>
        <w:pStyle w:val="Heading1"/>
      </w:pPr>
      <w:bookmarkStart w:id="3" w:name="O_438757"/>
      <w:bookmarkEnd w:id="3"/>
      <w:r w:rsidRPr="00A73219">
        <w:t>Application of</w:t>
      </w:r>
      <w:r w:rsidRPr="00A73219">
        <w:t xml:space="preserve"> the Unit</w:t>
      </w:r>
    </w:p>
    <w:tbl>
      <w:tblPr>
        <w:tblW w:w="0" w:type="auto"/>
        <w:tblLayout w:type="fixed"/>
        <w:tblCellMar>
          <w:left w:w="62" w:type="dxa"/>
          <w:right w:w="62" w:type="dxa"/>
        </w:tblCellMar>
        <w:tblLook w:val="0000"/>
      </w:tblPr>
      <w:tblGrid>
        <w:gridCol w:w="3261"/>
        <w:gridCol w:w="5670"/>
      </w:tblGrid>
      <w:tr w:rsidTr="00A7321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r w:rsidRPr="00A73219">
              <w:rPr>
                <w:rStyle w:val="SpecialBold"/>
              </w:rPr>
              <w:t>Application</w:t>
            </w:r>
          </w:p>
        </w:tc>
        <w:tc>
          <w:tcPr>
            <w:tcW w:w="5670" w:type="dxa"/>
            <w:tcBorders>
              <w:top w:val="nil"/>
              <w:left w:val="nil"/>
              <w:bottom w:val="nil"/>
              <w:right w:val="nil"/>
            </w:tcBorders>
            <w:tcMar>
              <w:top w:w="0" w:type="dxa"/>
              <w:left w:w="62" w:type="dxa"/>
              <w:bottom w:w="0" w:type="dxa"/>
              <w:right w:w="62" w:type="dxa"/>
            </w:tcMar>
          </w:tcPr>
          <w:p w:rsidR="00000000" w:rsidRPr="00A73219" w:rsidP="00A73219">
            <w:pPr>
              <w:pStyle w:val="BodyText"/>
            </w:pPr>
            <w:r w:rsidRPr="00A73219">
              <w:t>The application of knowledge and skills take place around standards guidelines, policies and procedures and under the supervision of a qualified pharmacist</w:t>
            </w:r>
          </w:p>
          <w:p w:rsidR="00000000" w:rsidRPr="00A73219" w:rsidP="00A73219">
            <w:pPr>
              <w:pStyle w:val="BodyText"/>
            </w:pPr>
            <w:r w:rsidRPr="00A73219">
              <w:t>Work performed requires a range of well developed skills where some discretion</w:t>
            </w:r>
            <w:r w:rsidRPr="00A73219">
              <w:t xml:space="preserve"> and judgement is required and individuals may take responsibility for their own outputs</w:t>
            </w:r>
          </w:p>
          <w:p w:rsidR="00000000" w:rsidRPr="00A73219" w:rsidP="00A73219">
            <w:pPr>
              <w:pStyle w:val="BodyText"/>
            </w:pPr>
            <w:r w:rsidRPr="00A73219">
              <w:t>Application of this unit should be contextualised to reflect specific legal and ethical requirements and issues relevant to the workplace, role and function</w:t>
            </w:r>
          </w:p>
        </w:tc>
      </w:tr>
    </w:tbl>
    <w:p w:rsidR="00000000" w:rsidRPr="00A73219" w:rsidP="00A73219">
      <w:pPr>
        <w:pStyle w:val="BodyText"/>
      </w:pPr>
    </w:p>
    <w:p w:rsidR="00000000" w:rsidRPr="00A73219" w:rsidP="00A73219">
      <w:pPr>
        <w:pStyle w:val="AllowPageBreak"/>
      </w:pPr>
    </w:p>
    <w:p w:rsidR="00000000" w:rsidRPr="00A73219" w:rsidP="00A73219">
      <w:pPr>
        <w:pStyle w:val="Heading1"/>
      </w:pPr>
      <w:bookmarkStart w:id="4" w:name="O_438758"/>
      <w:bookmarkEnd w:id="4"/>
      <w:r w:rsidRPr="00A73219">
        <w:t>Licensing/Regulatory Information</w:t>
      </w:r>
    </w:p>
    <w:p w:rsidR="00000000" w:rsidRPr="00A73219" w:rsidP="00A73219">
      <w:pPr>
        <w:pStyle w:val="BodyText"/>
      </w:pPr>
      <w:r w:rsidRPr="00A73219">
        <w:t>Not applicable.</w:t>
      </w:r>
    </w:p>
    <w:p w:rsidR="00000000" w:rsidRPr="00A73219" w:rsidP="00A73219">
      <w:pPr>
        <w:pStyle w:val="AllowPageBreak"/>
      </w:pPr>
    </w:p>
    <w:p w:rsidR="00000000" w:rsidRPr="00A73219" w:rsidP="00A73219">
      <w:pPr>
        <w:pStyle w:val="Heading1"/>
      </w:pPr>
      <w:bookmarkStart w:id="5" w:name="O_438759"/>
      <w:bookmarkEnd w:id="5"/>
      <w:r w:rsidRPr="00A73219">
        <w:t>Pre-Requisites</w:t>
      </w:r>
    </w:p>
    <w:p w:rsidR="00000000" w:rsidRPr="00A73219" w:rsidP="00A73219">
      <w:pPr>
        <w:pStyle w:val="BodyText"/>
      </w:pPr>
      <w:r w:rsidRPr="00A73219">
        <w:t>Not applicable.</w:t>
      </w:r>
    </w:p>
    <w:p w:rsidR="00000000" w:rsidRPr="00A73219" w:rsidP="00A73219">
      <w:pPr>
        <w:pStyle w:val="AllowPageBreak"/>
      </w:pPr>
    </w:p>
    <w:p w:rsidR="00000000" w:rsidRPr="00A73219" w:rsidP="00A73219">
      <w:pPr>
        <w:pStyle w:val="Heading1"/>
      </w:pPr>
      <w:bookmarkStart w:id="6" w:name="O_438760"/>
      <w:bookmarkEnd w:id="6"/>
      <w:r w:rsidRPr="00A73219">
        <w:t>Employability Skills Information</w:t>
      </w:r>
    </w:p>
    <w:tbl>
      <w:tblPr>
        <w:tblW w:w="0" w:type="auto"/>
        <w:tblLayout w:type="fixed"/>
        <w:tblCellMar>
          <w:left w:w="62" w:type="dxa"/>
          <w:right w:w="62" w:type="dxa"/>
        </w:tblCellMar>
        <w:tblLook w:val="0000"/>
      </w:tblPr>
      <w:tblGrid>
        <w:gridCol w:w="3261"/>
        <w:gridCol w:w="5670"/>
      </w:tblGrid>
      <w:tr w:rsidTr="00A7321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r w:rsidRPr="00A73219">
              <w:rPr>
                <w:rStyle w:val="SpecialBold"/>
              </w:rPr>
              <w:t>Employability Skills</w:t>
            </w:r>
          </w:p>
        </w:tc>
        <w:tc>
          <w:tcPr>
            <w:tcW w:w="5670" w:type="dxa"/>
            <w:tcBorders>
              <w:top w:val="nil"/>
              <w:left w:val="nil"/>
              <w:bottom w:val="nil"/>
              <w:right w:val="nil"/>
            </w:tcBorders>
            <w:tcMar>
              <w:top w:w="0" w:type="dxa"/>
              <w:left w:w="62" w:type="dxa"/>
              <w:bottom w:w="0" w:type="dxa"/>
              <w:right w:w="62" w:type="dxa"/>
            </w:tcMar>
          </w:tcPr>
          <w:p w:rsidR="00000000" w:rsidRPr="00A73219" w:rsidP="00A73219">
            <w:pPr>
              <w:pStyle w:val="BodyText"/>
            </w:pPr>
            <w:r w:rsidRPr="00A73219">
              <w:t>This unit contains Employability Skills</w:t>
            </w:r>
          </w:p>
        </w:tc>
      </w:tr>
    </w:tbl>
    <w:p w:rsidR="00000000" w:rsidRPr="00A73219" w:rsidP="00A73219">
      <w:pPr>
        <w:pStyle w:val="BodyText"/>
      </w:pPr>
    </w:p>
    <w:p w:rsidR="00000000" w:rsidRPr="00A73219" w:rsidP="00A73219">
      <w:pPr>
        <w:pStyle w:val="AllowPageBreak"/>
      </w:pPr>
    </w:p>
    <w:p w:rsidR="00000000" w:rsidRPr="00A73219" w:rsidP="00A73219">
      <w:pPr>
        <w:pStyle w:val="Heading1"/>
      </w:pPr>
      <w:bookmarkStart w:id="7" w:name="O_438761"/>
      <w:bookmarkEnd w:id="7"/>
      <w:r w:rsidRPr="00A73219">
        <w:t>Elements and Performance Criteria Pre-Content</w:t>
      </w:r>
    </w:p>
    <w:tbl>
      <w:tblPr>
        <w:tblW w:w="0" w:type="auto"/>
        <w:tblLayout w:type="fixed"/>
        <w:tblCellMar>
          <w:left w:w="62" w:type="dxa"/>
          <w:right w:w="62" w:type="dxa"/>
        </w:tblCellMar>
        <w:tblLook w:val="0000"/>
      </w:tblPr>
      <w:tblGrid>
        <w:gridCol w:w="3261"/>
        <w:gridCol w:w="5702"/>
      </w:tblGrid>
      <w:tr w:rsidTr="009B500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73219" w:rsidP="00A73219">
            <w:pPr>
              <w:pStyle w:val="BodyText"/>
            </w:pPr>
            <w:r w:rsidRPr="00A7321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r w:rsidRPr="00A73219">
              <w:rPr>
                <w:rStyle w:val="SpecialBold"/>
              </w:rPr>
              <w:t>PERFORMANCE CRITERIA</w:t>
            </w:r>
          </w:p>
        </w:tc>
      </w:tr>
      <w:tr w:rsidTr="009B500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r w:rsidRPr="00A7321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73219" w:rsidP="00A73219">
            <w:pPr>
              <w:pStyle w:val="BodyText"/>
            </w:pPr>
            <w:r w:rsidRPr="00A73219">
              <w:t xml:space="preserve">The Performance Criteria specify the level of performance required to demonstrate achievement of the Element. Terms in italics are elaborated in the Range Statement. </w:t>
            </w:r>
          </w:p>
        </w:tc>
      </w:tr>
    </w:tbl>
    <w:p w:rsidR="00000000" w:rsidRPr="00A73219" w:rsidP="00A73219">
      <w:pPr>
        <w:pStyle w:val="BodyText"/>
      </w:pPr>
    </w:p>
    <w:p w:rsidR="00000000" w:rsidRPr="00A73219" w:rsidP="00A73219">
      <w:pPr>
        <w:pStyle w:val="AllowPageBreak"/>
      </w:pPr>
    </w:p>
    <w:p w:rsidR="00000000" w:rsidRPr="00A73219" w:rsidP="00A73219">
      <w:pPr>
        <w:pStyle w:val="Heading1"/>
      </w:pPr>
      <w:bookmarkStart w:id="8" w:name="O_438762"/>
      <w:bookmarkEnd w:id="8"/>
      <w:r w:rsidRPr="00A73219">
        <w:t>Elements and Performance Criteria</w:t>
      </w:r>
    </w:p>
    <w:tbl>
      <w:tblPr>
        <w:tblW w:w="0" w:type="auto"/>
        <w:tblLayout w:type="fixed"/>
        <w:tblCellMar>
          <w:left w:w="62" w:type="dxa"/>
          <w:right w:w="62" w:type="dxa"/>
        </w:tblCellMar>
        <w:tblLook w:val="0000"/>
      </w:tblPr>
      <w:tblGrid>
        <w:gridCol w:w="3261"/>
        <w:gridCol w:w="5702"/>
      </w:tblGrid>
      <w:tr w:rsidTr="009B500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73219">
            <w:pPr>
              <w:pStyle w:val="ListNumber"/>
              <w:rPr>
                <w:lang w:val="en-NZ"/>
              </w:rPr>
            </w:pPr>
            <w:r w:rsidRPr="00A73219">
              <w:t>Identify client information needs</w:t>
            </w:r>
          </w:p>
        </w:tc>
        <w:tc>
          <w:tcPr>
            <w:tcW w:w="5702" w:type="dxa"/>
            <w:tcBorders>
              <w:top w:val="nil"/>
              <w:left w:val="nil"/>
              <w:bottom w:val="nil"/>
              <w:right w:val="nil"/>
            </w:tcBorders>
            <w:tcMar>
              <w:top w:w="0" w:type="dxa"/>
              <w:left w:w="62" w:type="dxa"/>
              <w:bottom w:w="0" w:type="dxa"/>
              <w:right w:w="62" w:type="dxa"/>
            </w:tcMar>
          </w:tcPr>
          <w:p w:rsidR="00000000" w:rsidRPr="00A73219" w:rsidP="00A73219">
            <w:pPr>
              <w:pStyle w:val="BodyText"/>
            </w:pPr>
            <w:r w:rsidRPr="00A73219">
              <w:t>1</w:t>
            </w:r>
            <w:r w:rsidRPr="00A73219">
              <w:t>.1</w:t>
            </w:r>
            <w:r w:rsidRPr="00A73219">
              <w:tab/>
              <w:t>Review client documentation to identify the medicines the client is taking</w:t>
            </w:r>
          </w:p>
          <w:p w:rsidR="00000000" w:rsidRPr="00A73219" w:rsidP="00A73219">
            <w:pPr>
              <w:pStyle w:val="BodyText"/>
            </w:pPr>
            <w:r w:rsidRPr="00A73219">
              <w:t>1.2</w:t>
            </w:r>
            <w:r w:rsidRPr="00A73219">
              <w:tab/>
              <w:t>Clarify the information needs of the client with the pharmacist</w:t>
            </w:r>
          </w:p>
          <w:p w:rsidR="00000000" w:rsidRPr="00A73219" w:rsidP="00A73219">
            <w:pPr>
              <w:pStyle w:val="BodyText"/>
            </w:pPr>
            <w:r w:rsidRPr="00A73219">
              <w:t>1.3</w:t>
            </w:r>
            <w:r w:rsidRPr="00A73219">
              <w:rPr>
                <w:rStyle w:val="Emphasis"/>
              </w:rPr>
              <w:tab/>
            </w:r>
            <w:r w:rsidRPr="00A73219">
              <w:t>Identify and plan to meet any</w:t>
            </w:r>
            <w:r w:rsidRPr="00A73219">
              <w:rPr>
                <w:rStyle w:val="Emphasis"/>
              </w:rPr>
              <w:t xml:space="preserve"> special needs</w:t>
            </w:r>
            <w:r w:rsidRPr="00A73219">
              <w:t xml:space="preserve"> of clients which may impact on the effectiveness of communicat</w:t>
            </w:r>
            <w:r w:rsidRPr="00A73219">
              <w:t>ion</w:t>
            </w:r>
          </w:p>
          <w:p w:rsidR="00000000" w:rsidRPr="00A73219" w:rsidP="00A73219">
            <w:pPr>
              <w:pStyle w:val="BodyText"/>
            </w:pPr>
            <w:r w:rsidRPr="00A73219">
              <w:t>1.4</w:t>
            </w:r>
            <w:r w:rsidRPr="00A73219">
              <w:tab/>
              <w:t>Discuss information needs with the client and /or carer and refer needs outside of scope of role to the pharmacist</w:t>
            </w:r>
          </w:p>
          <w:p w:rsidR="00000000" w:rsidRPr="00A73219" w:rsidP="00A73219">
            <w:pPr>
              <w:pStyle w:val="BodyText"/>
            </w:pPr>
            <w:r w:rsidRPr="00A73219">
              <w:t>1.5</w:t>
            </w:r>
            <w:r w:rsidRPr="00A73219">
              <w:tab/>
              <w:t xml:space="preserve">Use </w:t>
            </w:r>
            <w:r w:rsidRPr="00A73219">
              <w:rPr>
                <w:rStyle w:val="Emphasis"/>
              </w:rPr>
              <w:t xml:space="preserve">standard assessment tools </w:t>
            </w:r>
            <w:r w:rsidRPr="00A73219">
              <w:t>to identify a client’s ability to</w:t>
            </w:r>
            <w:r w:rsidRPr="00A73219">
              <w:rPr>
                <w:rStyle w:val="Emphasis"/>
              </w:rPr>
              <w:t xml:space="preserve"> manage their medications</w:t>
            </w:r>
          </w:p>
          <w:p w:rsidR="00000000" w:rsidP="00A73219">
            <w:pPr>
              <w:pStyle w:val="BodyText"/>
              <w:rPr>
                <w:lang w:val="en-NZ"/>
              </w:rPr>
            </w:pPr>
          </w:p>
        </w:tc>
      </w:tr>
      <w:tr w:rsidTr="009B500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73219">
            <w:pPr>
              <w:pStyle w:val="ListNumber"/>
              <w:rPr>
                <w:lang w:val="en-NZ"/>
              </w:rPr>
            </w:pPr>
            <w:r w:rsidRPr="00A73219">
              <w:t>Gather and prepare information for the client to meet their needs</w:t>
            </w:r>
          </w:p>
        </w:tc>
        <w:tc>
          <w:tcPr>
            <w:tcW w:w="5702" w:type="dxa"/>
            <w:tcBorders>
              <w:top w:val="nil"/>
              <w:left w:val="nil"/>
              <w:bottom w:val="nil"/>
              <w:right w:val="nil"/>
            </w:tcBorders>
            <w:tcMar>
              <w:top w:w="0" w:type="dxa"/>
              <w:left w:w="62" w:type="dxa"/>
              <w:bottom w:w="0" w:type="dxa"/>
              <w:right w:w="62" w:type="dxa"/>
            </w:tcMar>
          </w:tcPr>
          <w:p w:rsidR="00000000" w:rsidRPr="00A73219" w:rsidP="00A73219">
            <w:pPr>
              <w:pStyle w:val="BodyText"/>
            </w:pPr>
            <w:r w:rsidRPr="00A73219">
              <w:t>2.1</w:t>
            </w:r>
            <w:r w:rsidRPr="00A73219">
              <w:tab/>
              <w:t>Access reference material to gather information</w:t>
            </w:r>
          </w:p>
          <w:p w:rsidR="00000000" w:rsidRPr="00A73219" w:rsidP="00A73219">
            <w:pPr>
              <w:pStyle w:val="BodyText"/>
            </w:pPr>
            <w:r w:rsidRPr="00A73219">
              <w:t>2.2</w:t>
            </w:r>
            <w:r w:rsidRPr="00A73219">
              <w:tab/>
              <w:t>Ensure information is in a suitable format for the client to understand</w:t>
            </w:r>
          </w:p>
          <w:p w:rsidR="00000000" w:rsidRPr="00A73219" w:rsidP="00A73219">
            <w:pPr>
              <w:pStyle w:val="BodyText"/>
            </w:pPr>
            <w:r w:rsidRPr="00A73219">
              <w:t>2.3</w:t>
            </w:r>
            <w:r w:rsidRPr="00A73219">
              <w:tab/>
              <w:t>Select appropriate</w:t>
            </w:r>
            <w:r w:rsidRPr="00A73219">
              <w:rPr>
                <w:rStyle w:val="Emphasis"/>
              </w:rPr>
              <w:t xml:space="preserve"> modes of communication </w:t>
            </w:r>
            <w:r w:rsidRPr="00A73219">
              <w:t>to suit the purp</w:t>
            </w:r>
            <w:r w:rsidRPr="00A73219">
              <w:t>ose and context of the information being provided</w:t>
            </w:r>
          </w:p>
          <w:p w:rsidR="00000000" w:rsidP="00A73219">
            <w:pPr>
              <w:pStyle w:val="BodyText"/>
              <w:rPr>
                <w:lang w:val="en-NZ"/>
              </w:rPr>
            </w:pPr>
          </w:p>
        </w:tc>
      </w:tr>
      <w:tr w:rsidTr="009B500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73219">
            <w:pPr>
              <w:pStyle w:val="ListNumber"/>
              <w:rPr>
                <w:lang w:val="en-NZ"/>
              </w:rPr>
            </w:pPr>
            <w:r w:rsidRPr="00A73219">
              <w:t>Provide specific or prepared information to the client to meet their needs</w:t>
            </w:r>
          </w:p>
        </w:tc>
        <w:tc>
          <w:tcPr>
            <w:tcW w:w="5702" w:type="dxa"/>
            <w:tcBorders>
              <w:top w:val="nil"/>
              <w:left w:val="nil"/>
              <w:bottom w:val="nil"/>
              <w:right w:val="nil"/>
            </w:tcBorders>
            <w:tcMar>
              <w:top w:w="0" w:type="dxa"/>
              <w:left w:w="62" w:type="dxa"/>
              <w:bottom w:w="0" w:type="dxa"/>
              <w:right w:w="62" w:type="dxa"/>
            </w:tcMar>
          </w:tcPr>
          <w:p w:rsidR="00000000" w:rsidRPr="00A73219" w:rsidP="00A73219">
            <w:pPr>
              <w:pStyle w:val="BodyText"/>
            </w:pPr>
            <w:r w:rsidRPr="00A73219">
              <w:t>3.1</w:t>
            </w:r>
            <w:r w:rsidRPr="00A73219">
              <w:tab/>
              <w:t>Provide prepared information to clients when requested by the pharmacist</w:t>
            </w:r>
          </w:p>
          <w:p w:rsidR="00000000" w:rsidRPr="00A73219" w:rsidP="00A73219">
            <w:pPr>
              <w:pStyle w:val="BodyText"/>
            </w:pPr>
            <w:r w:rsidRPr="00A73219">
              <w:t>3.2</w:t>
            </w:r>
            <w:r w:rsidRPr="00A73219">
              <w:tab/>
              <w:t xml:space="preserve">Present </w:t>
            </w:r>
            <w:r w:rsidRPr="00A73219">
              <w:rPr>
                <w:rStyle w:val="Emphasis"/>
              </w:rPr>
              <w:t>relevant information</w:t>
            </w:r>
            <w:r w:rsidRPr="00A73219">
              <w:t xml:space="preserve"> to the client clea</w:t>
            </w:r>
            <w:r w:rsidRPr="00A73219">
              <w:t xml:space="preserve">rly and comprehensively and in sufficient detail to meet the needs of the client </w:t>
            </w:r>
          </w:p>
          <w:p w:rsidR="00000000" w:rsidRPr="00A73219" w:rsidP="00A73219">
            <w:pPr>
              <w:pStyle w:val="BodyText"/>
            </w:pPr>
            <w:r w:rsidRPr="00A73219">
              <w:t>3.3</w:t>
            </w:r>
            <w:r w:rsidRPr="00A73219">
              <w:tab/>
              <w:t>Reinforce the key messages provided to clients by the pharmacist or through consumer medicine information (CMI) and refer needs outside of scope of role to the pharmacist</w:t>
            </w:r>
          </w:p>
          <w:p w:rsidR="00000000" w:rsidRPr="00A73219" w:rsidP="00A73219">
            <w:pPr>
              <w:pStyle w:val="BodyText"/>
            </w:pPr>
            <w:r w:rsidRPr="00A73219">
              <w:t>3.4</w:t>
            </w:r>
            <w:r w:rsidRPr="00A73219">
              <w:tab/>
              <w:t>Exercise appropriate discretion and confidentiality and explain boundaries of confidentiality to client</w:t>
            </w:r>
          </w:p>
          <w:p w:rsidR="00000000" w:rsidRPr="00A73219" w:rsidP="00A73219">
            <w:pPr>
              <w:pStyle w:val="BodyText"/>
            </w:pPr>
            <w:r w:rsidRPr="00A73219">
              <w:t>3.5</w:t>
            </w:r>
            <w:r w:rsidRPr="00A73219">
              <w:tab/>
              <w:t>Seek advice and assistance from the pharmacist for unresolved concerns or issues</w:t>
            </w:r>
          </w:p>
          <w:p w:rsidR="00000000" w:rsidRPr="00A73219" w:rsidP="00A73219">
            <w:pPr>
              <w:pStyle w:val="BodyText"/>
            </w:pPr>
            <w:r w:rsidRPr="00A73219">
              <w:t>3.6</w:t>
            </w:r>
            <w:r w:rsidRPr="00A73219">
              <w:tab/>
            </w:r>
            <w:r w:rsidRPr="00A73219">
              <w:t>Negotiate appointments with client and staff for the provision of information to the client</w:t>
            </w:r>
          </w:p>
          <w:p w:rsidR="00000000" w:rsidP="00A73219">
            <w:pPr>
              <w:pStyle w:val="BodyText"/>
              <w:rPr>
                <w:lang w:val="en-NZ"/>
              </w:rPr>
            </w:pPr>
          </w:p>
        </w:tc>
      </w:tr>
      <w:tr w:rsidTr="009B500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73219">
            <w:pPr>
              <w:pStyle w:val="ListNumber"/>
              <w:rPr>
                <w:lang w:val="en-NZ"/>
              </w:rPr>
            </w:pPr>
            <w:r w:rsidRPr="00A73219">
              <w:t>Collect information and provide to other health professionals to meet the clients needs</w:t>
            </w:r>
          </w:p>
        </w:tc>
        <w:tc>
          <w:tcPr>
            <w:tcW w:w="5702" w:type="dxa"/>
            <w:tcBorders>
              <w:top w:val="nil"/>
              <w:left w:val="nil"/>
              <w:bottom w:val="nil"/>
              <w:right w:val="nil"/>
            </w:tcBorders>
            <w:tcMar>
              <w:top w:w="0" w:type="dxa"/>
              <w:left w:w="62" w:type="dxa"/>
              <w:bottom w:w="0" w:type="dxa"/>
              <w:right w:w="62" w:type="dxa"/>
            </w:tcMar>
          </w:tcPr>
          <w:p w:rsidR="00000000" w:rsidRPr="00A73219" w:rsidP="00A73219">
            <w:pPr>
              <w:pStyle w:val="BodyText"/>
            </w:pPr>
            <w:r w:rsidRPr="00A73219">
              <w:t>4.1</w:t>
            </w:r>
            <w:r w:rsidRPr="00A73219">
              <w:tab/>
              <w:t>Detect new client admission and notify pharmacist</w:t>
            </w:r>
          </w:p>
          <w:p w:rsidR="00000000" w:rsidRPr="00A73219" w:rsidP="00A73219">
            <w:pPr>
              <w:pStyle w:val="BodyText"/>
            </w:pPr>
            <w:r w:rsidRPr="00A73219">
              <w:t>4.2</w:t>
            </w:r>
            <w:r w:rsidRPr="00A73219">
              <w:tab/>
              <w:t>Record client’s</w:t>
            </w:r>
            <w:r w:rsidRPr="00A73219">
              <w:t xml:space="preserve"> medication brought into hospital</w:t>
            </w:r>
          </w:p>
          <w:p w:rsidR="00000000" w:rsidRPr="00A73219" w:rsidP="00A73219">
            <w:pPr>
              <w:pStyle w:val="BodyText"/>
            </w:pPr>
            <w:r w:rsidRPr="00A73219">
              <w:t>4.3</w:t>
            </w:r>
            <w:r w:rsidRPr="00A73219">
              <w:tab/>
              <w:t>Communicate medicines supply information to internal medical, nursing staff and community providers</w:t>
            </w:r>
          </w:p>
          <w:p w:rsidR="00000000" w:rsidRPr="00A73219" w:rsidP="00A73219">
            <w:pPr>
              <w:pStyle w:val="BodyText"/>
            </w:pPr>
            <w:r w:rsidRPr="00A73219">
              <w:t>4.4</w:t>
            </w:r>
            <w:r w:rsidRPr="00A73219">
              <w:tab/>
              <w:t>Obtain discharge planning information</w:t>
            </w:r>
          </w:p>
          <w:p w:rsidR="00000000" w:rsidRPr="00A73219" w:rsidP="00A73219">
            <w:pPr>
              <w:pStyle w:val="BodyText"/>
            </w:pPr>
            <w:r w:rsidRPr="00A73219">
              <w:t>4.5</w:t>
            </w:r>
            <w:r w:rsidRPr="00A73219">
              <w:tab/>
              <w:t>Prepare information for community practitioners</w:t>
            </w:r>
          </w:p>
          <w:p w:rsidR="00000000" w:rsidRPr="00A73219" w:rsidP="00A73219">
            <w:pPr>
              <w:pStyle w:val="BodyText"/>
            </w:pPr>
            <w:r w:rsidRPr="00A73219">
              <w:t>4.6</w:t>
            </w:r>
            <w:r w:rsidRPr="00A73219">
              <w:tab/>
              <w:t>Transfer information</w:t>
            </w:r>
            <w:r w:rsidRPr="00A73219">
              <w:t xml:space="preserve"> to community practitioners after final check by pharmacist</w:t>
            </w:r>
          </w:p>
          <w:p w:rsidR="00000000" w:rsidP="00A73219">
            <w:pPr>
              <w:pStyle w:val="BodyText"/>
              <w:rPr>
                <w:lang w:val="en-NZ"/>
              </w:rPr>
            </w:pPr>
          </w:p>
        </w:tc>
      </w:tr>
      <w:tr w:rsidTr="009B500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73219">
            <w:pPr>
              <w:pStyle w:val="ListNumber"/>
              <w:rPr>
                <w:lang w:val="en-NZ"/>
              </w:rPr>
            </w:pPr>
            <w:r w:rsidRPr="00A73219">
              <w:t>Confirm that the information needs of the client have been met</w:t>
            </w:r>
          </w:p>
        </w:tc>
        <w:tc>
          <w:tcPr>
            <w:tcW w:w="5702" w:type="dxa"/>
            <w:tcBorders>
              <w:top w:val="nil"/>
              <w:left w:val="nil"/>
              <w:bottom w:val="nil"/>
              <w:right w:val="nil"/>
            </w:tcBorders>
            <w:tcMar>
              <w:top w:w="0" w:type="dxa"/>
              <w:left w:w="62" w:type="dxa"/>
              <w:bottom w:w="0" w:type="dxa"/>
              <w:right w:w="62" w:type="dxa"/>
            </w:tcMar>
          </w:tcPr>
          <w:p w:rsidR="00000000" w:rsidRPr="00A73219" w:rsidP="00A73219">
            <w:pPr>
              <w:pStyle w:val="BodyText"/>
            </w:pPr>
            <w:r w:rsidRPr="00A73219">
              <w:t>5.1</w:t>
            </w:r>
            <w:r w:rsidRPr="00A73219">
              <w:tab/>
              <w:t>Clarify with client that they understand the information provided</w:t>
            </w:r>
          </w:p>
          <w:p w:rsidR="00000000" w:rsidRPr="00A73219" w:rsidP="00A73219">
            <w:pPr>
              <w:pStyle w:val="BodyText"/>
            </w:pPr>
            <w:r w:rsidRPr="00A73219">
              <w:t>5.2</w:t>
            </w:r>
            <w:r w:rsidRPr="00A73219">
              <w:tab/>
            </w:r>
            <w:r w:rsidRPr="00A73219">
              <w:t>Confirm with the pharmacist that client information needs have been met</w:t>
            </w:r>
          </w:p>
          <w:p w:rsidR="00000000" w:rsidRPr="00A73219" w:rsidP="00A73219">
            <w:pPr>
              <w:pStyle w:val="BodyText"/>
            </w:pPr>
            <w:r w:rsidRPr="00A73219">
              <w:t>5.3</w:t>
            </w:r>
            <w:r w:rsidRPr="00A73219">
              <w:tab/>
              <w:t xml:space="preserve">Record details of information provided to the client </w:t>
            </w:r>
          </w:p>
        </w:tc>
      </w:tr>
    </w:tbl>
    <w:p w:rsidR="00000000" w:rsidRPr="00A73219" w:rsidP="00A73219">
      <w:pPr>
        <w:pStyle w:val="BodyText"/>
      </w:pPr>
    </w:p>
    <w:p w:rsidR="00000000" w:rsidRPr="00A73219" w:rsidP="00A73219">
      <w:pPr>
        <w:pStyle w:val="AllowPageBreak"/>
      </w:pPr>
    </w:p>
    <w:p w:rsidR="00000000" w:rsidRPr="00A73219" w:rsidP="00A73219">
      <w:pPr>
        <w:pStyle w:val="Heading1"/>
      </w:pPr>
      <w:bookmarkStart w:id="9" w:name="O_438763"/>
      <w:bookmarkEnd w:id="9"/>
      <w:r w:rsidRPr="00A73219">
        <w:t>Required Skills and Knowledge</w:t>
      </w:r>
    </w:p>
    <w:tbl>
      <w:tblPr>
        <w:tblW w:w="0" w:type="auto"/>
        <w:tblLayout w:type="fixed"/>
        <w:tblCellMar>
          <w:left w:w="62" w:type="dxa"/>
          <w:right w:w="62" w:type="dxa"/>
        </w:tblCellMar>
        <w:tblLook w:val="0000"/>
      </w:tblPr>
      <w:tblGrid>
        <w:gridCol w:w="8964"/>
      </w:tblGrid>
      <w:tr w:rsidTr="009B500F">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A73219">
            <w:pPr>
              <w:pStyle w:val="Heading3"/>
              <w:rPr>
                <w:lang w:val="en-NZ"/>
              </w:rPr>
            </w:pPr>
            <w:r w:rsidRPr="00A73219">
              <w:t>REQUIRED SKILLS AND KNOWLEDGE</w:t>
            </w:r>
          </w:p>
        </w:tc>
      </w:tr>
      <w:tr w:rsidTr="009B500F">
        <w:tblPrEx>
          <w:tblW w:w="0" w:type="auto"/>
          <w:tblLayout w:type="fixed"/>
          <w:tblCellMar>
            <w:left w:w="62" w:type="dxa"/>
            <w:right w:w="62" w:type="dxa"/>
          </w:tblCellMar>
          <w:tblLook w:val="0000"/>
        </w:tblPrEx>
        <w:trPr>
          <w:tblHeader/>
        </w:trPr>
        <w:tc>
          <w:tcPr>
            <w:tcW w:w="8964"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p>
        </w:tc>
      </w:tr>
      <w:tr w:rsidTr="009B500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r w:rsidRPr="00A73219">
              <w:t>This describes the essential skills and know</w:t>
            </w:r>
            <w:r w:rsidRPr="00A73219">
              <w:t>ledge and their level required for this unit.</w:t>
            </w:r>
          </w:p>
        </w:tc>
      </w:tr>
      <w:tr w:rsidTr="009B500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p>
        </w:tc>
      </w:tr>
      <w:tr w:rsidTr="009B500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73219" w:rsidP="00A73219">
            <w:pPr>
              <w:pStyle w:val="BodyText"/>
            </w:pPr>
            <w:r w:rsidRPr="00A73219">
              <w:rPr>
                <w:rStyle w:val="Emphasis"/>
              </w:rPr>
              <w:t>Essential knowledge:</w:t>
            </w:r>
          </w:p>
          <w:p w:rsidR="00000000" w:rsidRPr="00A73219" w:rsidP="00A73219">
            <w:pPr>
              <w:pStyle w:val="BodyText"/>
            </w:pPr>
            <w:r w:rsidRPr="00A7321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73219" w:rsidP="00A73219">
            <w:pPr>
              <w:pStyle w:val="BodyText"/>
            </w:pPr>
            <w:r w:rsidRPr="00A73219">
              <w:t xml:space="preserve">This includes </w:t>
            </w:r>
            <w:r w:rsidRPr="00A73219">
              <w:t>knowledge of:</w:t>
            </w:r>
          </w:p>
          <w:p w:rsidR="00000000" w:rsidRPr="00A73219" w:rsidP="00A73219">
            <w:pPr>
              <w:pStyle w:val="ListBullet"/>
            </w:pPr>
            <w:r w:rsidRPr="00A73219">
              <w:t>Client identification and confirmation of identification</w:t>
            </w:r>
          </w:p>
          <w:p w:rsidR="00000000" w:rsidRPr="00A73219" w:rsidP="00A73219">
            <w:pPr>
              <w:pStyle w:val="ListBullet"/>
            </w:pPr>
            <w:r w:rsidRPr="00A73219">
              <w:t>Client rights and responsibilities</w:t>
            </w:r>
          </w:p>
          <w:p w:rsidR="00000000" w:rsidRPr="00A73219" w:rsidP="00A73219">
            <w:pPr>
              <w:pStyle w:val="ListBullet"/>
            </w:pPr>
            <w:r w:rsidRPr="00A73219">
              <w:t>CMI:</w:t>
            </w:r>
          </w:p>
          <w:p w:rsidR="00000000" w:rsidRPr="00A73219" w:rsidP="00A73219">
            <w:pPr>
              <w:pStyle w:val="ListBullet2"/>
            </w:pPr>
            <w:r w:rsidRPr="00A73219">
              <w:t xml:space="preserve">purpose and layout </w:t>
            </w:r>
          </w:p>
          <w:p w:rsidR="00000000" w:rsidRPr="00A73219" w:rsidP="00A73219">
            <w:pPr>
              <w:pStyle w:val="ListBullet2"/>
            </w:pPr>
            <w:r w:rsidRPr="00A73219">
              <w:t>sources of i.e. pharmacy computer system, National Prescribing Services online CMI search</w:t>
            </w:r>
          </w:p>
          <w:p w:rsidR="00000000" w:rsidRPr="00A73219" w:rsidP="00A73219">
            <w:pPr>
              <w:pStyle w:val="ListBullet"/>
            </w:pPr>
            <w:r w:rsidRPr="00A73219">
              <w:t>Documentation:</w:t>
            </w:r>
          </w:p>
          <w:p w:rsidR="00000000" w:rsidRPr="00A73219" w:rsidP="00A73219">
            <w:pPr>
              <w:pStyle w:val="ListBullet2"/>
            </w:pPr>
            <w:r w:rsidRPr="00A73219">
              <w:t>assessment of client’s ability to manage medications (e.g. on a Medication Management Plan)</w:t>
            </w:r>
          </w:p>
          <w:p w:rsidR="00000000" w:rsidRPr="00A73219" w:rsidP="00A73219">
            <w:pPr>
              <w:pStyle w:val="ListBullet2"/>
            </w:pPr>
            <w:r w:rsidRPr="00A73219">
              <w:t>medications brought into hospital</w:t>
            </w:r>
          </w:p>
          <w:p w:rsidR="00000000" w:rsidRPr="00A73219" w:rsidP="00A73219">
            <w:pPr>
              <w:pStyle w:val="ListBullet2"/>
            </w:pPr>
            <w:r w:rsidRPr="00A73219">
              <w:t>that CMI or other medication-related information has been issued to client/carer</w:t>
            </w:r>
          </w:p>
          <w:p w:rsidR="00000000" w:rsidRPr="00A73219" w:rsidP="00A73219">
            <w:pPr>
              <w:pStyle w:val="ListBullet"/>
            </w:pPr>
            <w:r w:rsidRPr="00A73219">
              <w:t>Knowledge and purpose of dose administration aids</w:t>
            </w:r>
            <w:r w:rsidRPr="00A73219">
              <w:t xml:space="preserve"> (DAAs) i.e. dosettes, WebsterPaks and limitations and problems with these devices</w:t>
            </w:r>
          </w:p>
          <w:p w:rsidR="00000000" w:rsidRPr="00A73219" w:rsidP="00A73219">
            <w:pPr>
              <w:pStyle w:val="ListBullet"/>
            </w:pPr>
            <w:r w:rsidRPr="00A73219">
              <w:t>Law of consent to medical treatment</w:t>
            </w:r>
          </w:p>
          <w:p w:rsidR="00000000" w:rsidRPr="00A73219" w:rsidP="00A73219">
            <w:pPr>
              <w:pStyle w:val="ListBullet"/>
            </w:pPr>
            <w:r w:rsidRPr="00A73219">
              <w:t>Legal and ethical requirements and responsibilities related to the collection and provision of information to clients and other health pr</w:t>
            </w:r>
            <w:r w:rsidRPr="00A73219">
              <w:t>ofessionals</w:t>
            </w:r>
          </w:p>
          <w:p w:rsidR="00000000" w:rsidRPr="00A73219" w:rsidP="00A73219">
            <w:pPr>
              <w:pStyle w:val="ListBullet"/>
            </w:pPr>
            <w:r w:rsidRPr="00A73219">
              <w:t>Limitations of own work role including:</w:t>
            </w:r>
          </w:p>
          <w:p w:rsidR="00000000" w:rsidRPr="00A73219" w:rsidP="00A73219">
            <w:pPr>
              <w:pStyle w:val="ListBullet2"/>
            </w:pPr>
            <w:r w:rsidRPr="00A73219">
              <w:t>identification and referring of issues outside scope of practice to the appropriate person</w:t>
            </w:r>
          </w:p>
          <w:p w:rsidR="00000000" w:rsidRPr="00A73219" w:rsidP="00A73219">
            <w:pPr>
              <w:pStyle w:val="ListBullet2"/>
            </w:pPr>
            <w:r w:rsidRPr="00A73219">
              <w:t>awareness of circumstances/situations where referral to a pharmacist is necessary</w:t>
            </w:r>
          </w:p>
          <w:p w:rsidR="00000000" w:rsidRPr="00A73219" w:rsidP="00A73219">
            <w:pPr>
              <w:pStyle w:val="ListBullet"/>
            </w:pPr>
            <w:r w:rsidRPr="00A73219">
              <w:t>Organisation policies, procedu</w:t>
            </w:r>
            <w:r w:rsidRPr="00A73219">
              <w:t>res and guidelines</w:t>
            </w:r>
          </w:p>
          <w:p w:rsidR="00000000" w:rsidRPr="00A73219" w:rsidP="00A73219">
            <w:pPr>
              <w:pStyle w:val="ListBullet"/>
            </w:pPr>
            <w:r w:rsidRPr="00A73219">
              <w:t>Patient medication lists (e.g. MediList)</w:t>
            </w:r>
          </w:p>
          <w:p w:rsidR="00000000" w:rsidRPr="00A73219" w:rsidP="00A73219">
            <w:pPr>
              <w:pStyle w:val="ListBullet2"/>
            </w:pPr>
            <w:r w:rsidRPr="00A73219">
              <w:t>purpose and layout</w:t>
            </w:r>
          </w:p>
          <w:p w:rsidR="00000000" w:rsidRPr="00A73219" w:rsidP="00A73219">
            <w:pPr>
              <w:pStyle w:val="ListBullet2"/>
            </w:pPr>
            <w:r w:rsidRPr="00A73219">
              <w:t>sources and method of preparation of, i.e. pharmacy computer system, National Prescribing Service</w:t>
            </w:r>
          </w:p>
          <w:p w:rsidR="00000000" w:rsidRPr="00A73219" w:rsidP="00A73219">
            <w:pPr>
              <w:pStyle w:val="ListBullet"/>
            </w:pPr>
            <w:r w:rsidRPr="00A73219">
              <w:t>Pharmacy or health facility pharmacy storage systems to be able to elicit info</w:t>
            </w:r>
            <w:r w:rsidRPr="00A73219">
              <w:t>rmation from client’s own medicines (with need for pharmacist’s review before any medicines are returned to client)</w:t>
            </w:r>
          </w:p>
          <w:p w:rsidR="00000000" w:rsidRPr="00A73219" w:rsidP="00A73219">
            <w:pPr>
              <w:pStyle w:val="ListBullet"/>
            </w:pPr>
            <w:r w:rsidRPr="00A73219">
              <w:t>Principles of effective communication strategies, including recognition of communication and language difficulties and how to overcome these</w:t>
            </w:r>
          </w:p>
          <w:p w:rsidR="00000000" w:rsidRPr="00A73219" w:rsidP="00A73219">
            <w:pPr>
              <w:pStyle w:val="ListBullet"/>
            </w:pPr>
            <w:r w:rsidRPr="00A73219">
              <w:t>Principles and practices of ethical and professional codes of conduct</w:t>
            </w:r>
          </w:p>
          <w:p w:rsidR="00000000" w:rsidRPr="00A73219" w:rsidP="00A73219">
            <w:pPr>
              <w:pStyle w:val="ListBullet"/>
            </w:pPr>
            <w:r w:rsidRPr="00A73219">
              <w:t>Principles of privacy and confidentiality in relation to collecting and providing information</w:t>
            </w:r>
          </w:p>
          <w:p w:rsidR="00000000" w:rsidRPr="00A73219" w:rsidP="00A73219">
            <w:pPr>
              <w:pStyle w:val="ListBullet"/>
            </w:pPr>
            <w:r w:rsidRPr="00A73219">
              <w:t>Purpose and methods for standardised assessment of client’s ability to manage medications (</w:t>
            </w:r>
            <w:r w:rsidRPr="00A73219">
              <w:t>e.g. ability to read labels, open containers etc which is part of medication management assessment detailed on the National Medication Management Plan)</w:t>
            </w:r>
          </w:p>
          <w:p w:rsidR="00000000" w:rsidRPr="00A73219" w:rsidP="00A73219">
            <w:pPr>
              <w:pStyle w:val="BodyText"/>
            </w:pPr>
            <w:r w:rsidRPr="00A7321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73219" w:rsidP="00A73219">
            <w:pPr>
              <w:pStyle w:val="BodyText"/>
            </w:pPr>
            <w:r w:rsidRPr="00A73219">
              <w:t xml:space="preserve">This includes </w:t>
            </w:r>
            <w:r w:rsidRPr="00A73219">
              <w:t>knowledge of:</w:t>
            </w:r>
          </w:p>
          <w:p w:rsidR="00000000" w:rsidRPr="00A73219" w:rsidP="00A73219">
            <w:pPr>
              <w:pStyle w:val="ListBullet"/>
            </w:pPr>
            <w:r w:rsidRPr="00A73219">
              <w:t xml:space="preserve">Purpose of client education to aid compliance with administration of medicines </w:t>
            </w:r>
          </w:p>
          <w:p w:rsidR="00000000" w:rsidRPr="00A73219" w:rsidP="00A73219">
            <w:pPr>
              <w:pStyle w:val="ListBullet"/>
            </w:pPr>
            <w:r w:rsidRPr="00A73219">
              <w:t>Respiratory devices:</w:t>
            </w:r>
          </w:p>
          <w:p w:rsidR="00000000" w:rsidRPr="00A73219" w:rsidP="00A73219">
            <w:pPr>
              <w:pStyle w:val="ListBullet2"/>
            </w:pPr>
            <w:r w:rsidRPr="00A73219">
              <w:t>care of respiratory devices</w:t>
            </w:r>
          </w:p>
          <w:p w:rsidR="00000000" w:rsidRPr="00A73219" w:rsidP="00A73219">
            <w:pPr>
              <w:pStyle w:val="ListBullet2"/>
            </w:pPr>
            <w:r w:rsidRPr="00A73219">
              <w:t>demonstration of respiratory devices</w:t>
            </w:r>
          </w:p>
          <w:p w:rsidR="00000000" w:rsidRPr="00A73219" w:rsidP="00A73219">
            <w:pPr>
              <w:pStyle w:val="ListBullet2"/>
            </w:pPr>
            <w:r w:rsidRPr="00A73219">
              <w:t>knowledge, purpose and selection criteria for respiratory devices including</w:t>
            </w:r>
            <w:r w:rsidRPr="00A73219">
              <w:t>:</w:t>
            </w:r>
          </w:p>
          <w:p w:rsidR="00000000" w:rsidRPr="00A73219" w:rsidP="00A73219">
            <w:pPr>
              <w:pStyle w:val="ListBullet3"/>
            </w:pPr>
            <w:r w:rsidRPr="00A73219">
              <w:t>dry powder inhalers (e.g. Accuhaler, Turbuhaler, Handihaler)</w:t>
            </w:r>
          </w:p>
          <w:p w:rsidR="00000000" w:rsidRPr="00A73219" w:rsidP="00A73219">
            <w:pPr>
              <w:pStyle w:val="ListBullet3"/>
            </w:pPr>
            <w:r w:rsidRPr="00A73219">
              <w:t>metered dose inhaler</w:t>
            </w:r>
          </w:p>
          <w:p w:rsidR="00000000" w:rsidRPr="00A73219" w:rsidP="00A73219">
            <w:pPr>
              <w:pStyle w:val="ListBullet3"/>
            </w:pPr>
            <w:r w:rsidRPr="00A73219">
              <w:t>spacers (e.g. Volumatic, Breath-a-tech)</w:t>
            </w:r>
          </w:p>
          <w:p w:rsidR="00000000" w:rsidRPr="00A73219" w:rsidP="00A73219">
            <w:pPr>
              <w:pStyle w:val="ListBullet"/>
            </w:pPr>
            <w:r w:rsidRPr="00A73219">
              <w:t>Standard pharmaceutical references including Australian Pharmaceutical Formulary (APF), MIMs, AMH and Micromedex</w:t>
            </w:r>
          </w:p>
          <w:p w:rsidR="00000000" w:rsidRPr="00A73219" w:rsidP="00A73219">
            <w:pPr>
              <w:pStyle w:val="ListBullet"/>
            </w:pPr>
            <w:r w:rsidRPr="00A73219">
              <w:t>Structure and functions of the body systems and associated components, including:</w:t>
            </w:r>
          </w:p>
          <w:p w:rsidR="00000000" w:rsidRPr="00A73219" w:rsidP="00A73219">
            <w:pPr>
              <w:pStyle w:val="ListBullet2"/>
            </w:pPr>
            <w:r w:rsidRPr="00A73219">
              <w:t>cardiovascular system</w:t>
            </w:r>
          </w:p>
          <w:p w:rsidR="00000000" w:rsidRPr="00A73219" w:rsidP="00A73219">
            <w:pPr>
              <w:pStyle w:val="ListBullet2"/>
            </w:pPr>
            <w:r w:rsidRPr="00A73219">
              <w:t>cells, tissues and organs</w:t>
            </w:r>
          </w:p>
          <w:p w:rsidR="00000000" w:rsidRPr="00A73219" w:rsidP="00A73219">
            <w:pPr>
              <w:pStyle w:val="ListBullet2"/>
            </w:pPr>
            <w:r w:rsidRPr="00A73219">
              <w:t>digestive system</w:t>
            </w:r>
          </w:p>
          <w:p w:rsidR="00000000" w:rsidRPr="00A73219" w:rsidP="00A73219">
            <w:pPr>
              <w:pStyle w:val="ListBullet2"/>
            </w:pPr>
            <w:r w:rsidRPr="00A73219">
              <w:t>endocrine system</w:t>
            </w:r>
          </w:p>
          <w:p w:rsidR="00000000" w:rsidRPr="00A73219" w:rsidP="00A73219">
            <w:pPr>
              <w:pStyle w:val="ListBullet2"/>
            </w:pPr>
            <w:r w:rsidRPr="00A73219">
              <w:t>integumentary system</w:t>
            </w:r>
          </w:p>
          <w:p w:rsidR="00000000" w:rsidRPr="00A73219" w:rsidP="00A73219">
            <w:pPr>
              <w:pStyle w:val="ListBullet2"/>
            </w:pPr>
            <w:r w:rsidRPr="00A73219">
              <w:t>lymphatic system</w:t>
            </w:r>
          </w:p>
          <w:p w:rsidR="00000000" w:rsidRPr="00A73219" w:rsidP="00A73219">
            <w:pPr>
              <w:pStyle w:val="ListBullet2"/>
            </w:pPr>
            <w:r w:rsidRPr="00A73219">
              <w:t>musculo-skeletal system</w:t>
            </w:r>
          </w:p>
          <w:p w:rsidR="00000000" w:rsidRPr="00A73219" w:rsidP="00A73219">
            <w:pPr>
              <w:pStyle w:val="ListBullet2"/>
            </w:pPr>
            <w:r w:rsidRPr="00A73219">
              <w:t>nervous system</w:t>
            </w:r>
          </w:p>
          <w:p w:rsidR="00000000" w:rsidRPr="00A73219" w:rsidP="00A73219">
            <w:pPr>
              <w:pStyle w:val="ListBullet2"/>
            </w:pPr>
            <w:r w:rsidRPr="00A73219">
              <w:t>reproductive system</w:t>
            </w:r>
          </w:p>
          <w:p w:rsidR="00000000" w:rsidRPr="00A73219" w:rsidP="00A73219">
            <w:pPr>
              <w:pStyle w:val="ListBullet2"/>
            </w:pPr>
            <w:r w:rsidRPr="00A73219">
              <w:t>respiratory system</w:t>
            </w:r>
          </w:p>
          <w:p w:rsidR="00000000" w:rsidRPr="00A73219" w:rsidP="00A73219">
            <w:pPr>
              <w:pStyle w:val="ListBullet2"/>
            </w:pPr>
            <w:r w:rsidRPr="00A73219">
              <w:t>the special senses – smell, taste, vision, equilibrium and hearing</w:t>
            </w:r>
          </w:p>
          <w:p w:rsidR="00000000" w:rsidRPr="00A73219" w:rsidP="00A73219">
            <w:pPr>
              <w:pStyle w:val="ListBullet2"/>
            </w:pPr>
            <w:r w:rsidRPr="00A73219">
              <w:t>urinary system</w:t>
            </w:r>
          </w:p>
          <w:p w:rsidR="00000000" w:rsidRPr="00A73219" w:rsidP="00A73219">
            <w:pPr>
              <w:pStyle w:val="BodyText"/>
            </w:pPr>
            <w:r w:rsidRPr="00A73219">
              <w:t xml:space="preserve">The candidate must be able to demonstrate essential knowledge required to effectively do the task outlined in elements and performance </w:t>
            </w:r>
            <w:r w:rsidRPr="00A73219">
              <w:t>criteria of this unit, manage the task and manage contingencies in the context of the identified work role</w:t>
            </w:r>
          </w:p>
          <w:p w:rsidR="00000000" w:rsidRPr="00A73219" w:rsidP="00A73219">
            <w:pPr>
              <w:pStyle w:val="BodyText"/>
            </w:pPr>
            <w:r w:rsidRPr="00A73219">
              <w:t>This includes knowledge of:</w:t>
            </w:r>
          </w:p>
          <w:p w:rsidR="00000000" w:rsidRPr="00A73219" w:rsidP="00A73219">
            <w:pPr>
              <w:pStyle w:val="ListBullet"/>
            </w:pPr>
            <w:r w:rsidRPr="00A73219">
              <w:t>Understanding of different medicine groups, including:</w:t>
            </w:r>
          </w:p>
          <w:p w:rsidR="00000000" w:rsidRPr="00A73219" w:rsidP="00A73219">
            <w:pPr>
              <w:pStyle w:val="ListBullet2"/>
            </w:pPr>
            <w:r w:rsidRPr="00A73219">
              <w:t>analgesics and anti-inflammatory agents</w:t>
            </w:r>
          </w:p>
          <w:p w:rsidR="00000000" w:rsidRPr="00A73219" w:rsidP="00A73219">
            <w:pPr>
              <w:pStyle w:val="ListBullet2"/>
            </w:pPr>
            <w:r w:rsidRPr="00A73219">
              <w:t>anti-coagulants</w:t>
            </w:r>
          </w:p>
          <w:p w:rsidR="00000000" w:rsidRPr="00A73219" w:rsidP="00A73219">
            <w:pPr>
              <w:pStyle w:val="ListBullet2"/>
            </w:pPr>
            <w:r w:rsidRPr="00A73219">
              <w:t>anti-depr</w:t>
            </w:r>
            <w:r w:rsidRPr="00A73219">
              <w:t>essants</w:t>
            </w:r>
          </w:p>
          <w:p w:rsidR="00000000" w:rsidRPr="00A73219" w:rsidP="00A73219">
            <w:pPr>
              <w:pStyle w:val="ListBullet2"/>
            </w:pPr>
            <w:r w:rsidRPr="00A73219">
              <w:t>anti-diabetic agents</w:t>
            </w:r>
          </w:p>
          <w:p w:rsidR="00000000" w:rsidRPr="00A73219" w:rsidP="00A73219">
            <w:pPr>
              <w:pStyle w:val="ListBullet2"/>
            </w:pPr>
            <w:r w:rsidRPr="00A73219">
              <w:t>anti-epileptics</w:t>
            </w:r>
          </w:p>
          <w:p w:rsidR="00000000" w:rsidRPr="00A73219" w:rsidP="00A73219">
            <w:pPr>
              <w:pStyle w:val="ListBullet2"/>
            </w:pPr>
            <w:r w:rsidRPr="00A73219">
              <w:t>anti-gout agents</w:t>
            </w:r>
          </w:p>
          <w:p w:rsidR="00000000" w:rsidRPr="00A73219" w:rsidP="00A73219">
            <w:pPr>
              <w:pStyle w:val="ListBullet2"/>
            </w:pPr>
            <w:r w:rsidRPr="00A73219">
              <w:t>anti-histamines</w:t>
            </w:r>
          </w:p>
          <w:p w:rsidR="00000000" w:rsidRPr="00A73219" w:rsidP="00A73219">
            <w:pPr>
              <w:pStyle w:val="ListBullet2"/>
            </w:pPr>
            <w:r w:rsidRPr="00A73219">
              <w:t>analgesics and anti-inflammatory agents</w:t>
            </w:r>
          </w:p>
          <w:p w:rsidR="00000000" w:rsidRPr="00A73219" w:rsidP="00A73219">
            <w:pPr>
              <w:pStyle w:val="ListBullet2"/>
            </w:pPr>
            <w:r w:rsidRPr="00A73219">
              <w:t>anti-hypertensives</w:t>
            </w:r>
          </w:p>
          <w:p w:rsidR="00000000" w:rsidRPr="00A73219" w:rsidP="00A73219">
            <w:pPr>
              <w:pStyle w:val="ListBullet2"/>
            </w:pPr>
            <w:r w:rsidRPr="00A73219">
              <w:t>anxiolytics and hypnotics</w:t>
            </w:r>
          </w:p>
          <w:p w:rsidR="00000000" w:rsidRPr="00A73219" w:rsidP="00A73219">
            <w:pPr>
              <w:pStyle w:val="ListBullet2"/>
            </w:pPr>
            <w:r w:rsidRPr="00A73219">
              <w:t>asthma treating agents</w:t>
            </w:r>
          </w:p>
          <w:p w:rsidR="00000000" w:rsidRPr="00A73219" w:rsidP="00A73219">
            <w:pPr>
              <w:pStyle w:val="ListBullet2"/>
            </w:pPr>
            <w:r w:rsidRPr="00A73219">
              <w:t>cholesterol and lip lowering agents</w:t>
            </w:r>
          </w:p>
          <w:p w:rsidR="00000000" w:rsidRPr="00A73219" w:rsidP="00A73219">
            <w:pPr>
              <w:pStyle w:val="ListBullet2"/>
            </w:pPr>
            <w:r w:rsidRPr="00A73219">
              <w:t>corticosteroids</w:t>
            </w:r>
          </w:p>
          <w:p w:rsidR="00000000" w:rsidRPr="00A73219" w:rsidP="00A73219">
            <w:pPr>
              <w:pStyle w:val="ListBullet2"/>
            </w:pPr>
            <w:r w:rsidRPr="00A73219">
              <w:t>cytotoxics</w:t>
            </w:r>
          </w:p>
          <w:p w:rsidR="00000000" w:rsidRPr="00A73219" w:rsidP="00A73219">
            <w:pPr>
              <w:pStyle w:val="ListBullet2"/>
            </w:pPr>
            <w:r w:rsidRPr="00A73219">
              <w:t>diuretics</w:t>
            </w:r>
          </w:p>
          <w:p w:rsidR="00000000" w:rsidRPr="00A73219" w:rsidP="00A73219">
            <w:pPr>
              <w:pStyle w:val="ListBullet2"/>
            </w:pPr>
            <w:r w:rsidRPr="00A73219">
              <w:t>gastro-intestinal agents</w:t>
            </w:r>
          </w:p>
          <w:p w:rsidR="00000000" w:rsidRPr="00A73219" w:rsidP="00A73219">
            <w:pPr>
              <w:pStyle w:val="ListBullet2"/>
            </w:pPr>
            <w:r w:rsidRPr="00A73219">
              <w:t>heart medicines</w:t>
            </w:r>
          </w:p>
          <w:p w:rsidR="00000000" w:rsidRPr="00A73219" w:rsidP="00A73219">
            <w:pPr>
              <w:pStyle w:val="ListBullet2"/>
            </w:pPr>
            <w:r w:rsidRPr="00A73219">
              <w:t>hormonal medicines</w:t>
            </w:r>
          </w:p>
          <w:p w:rsidR="00000000" w:rsidRPr="00A73219" w:rsidP="00A73219">
            <w:pPr>
              <w:pStyle w:val="ListBullet"/>
            </w:pPr>
            <w:r w:rsidRPr="00A73219">
              <w:t>Understanding of different medicine groups, including:</w:t>
            </w:r>
          </w:p>
          <w:p w:rsidR="00000000" w:rsidRPr="00A73219" w:rsidP="00A73219">
            <w:pPr>
              <w:pStyle w:val="ListBullet2"/>
            </w:pPr>
            <w:r w:rsidRPr="00A73219">
              <w:t>osteoporosis medicines</w:t>
            </w:r>
          </w:p>
          <w:p w:rsidR="00000000" w:rsidRPr="00A73219" w:rsidP="00A73219">
            <w:pPr>
              <w:pStyle w:val="ListBullet2"/>
            </w:pPr>
            <w:r w:rsidRPr="00A73219">
              <w:t>viral and anti-bacterial agents, anti-fungals or antibiotics</w:t>
            </w:r>
          </w:p>
          <w:p w:rsidR="00000000" w:rsidRPr="00A73219" w:rsidP="00A73219">
            <w:pPr>
              <w:pStyle w:val="ListBullet"/>
            </w:pPr>
            <w:r w:rsidRPr="00A73219">
              <w:t>Understanding of the following factors affecti</w:t>
            </w:r>
            <w:r w:rsidRPr="00A73219">
              <w:t>ng medicine groups:</w:t>
            </w:r>
          </w:p>
          <w:p w:rsidR="00000000" w:rsidRPr="00A73219" w:rsidP="00A73219">
            <w:pPr>
              <w:pStyle w:val="ListBullet2"/>
            </w:pPr>
            <w:r w:rsidRPr="00A73219">
              <w:t>blood pressure</w:t>
            </w:r>
          </w:p>
          <w:p w:rsidR="00000000" w:rsidRPr="00A73219" w:rsidP="00A73219">
            <w:pPr>
              <w:pStyle w:val="ListBullet2"/>
            </w:pPr>
            <w:r w:rsidRPr="00A73219">
              <w:t>breast feeding</w:t>
            </w:r>
          </w:p>
          <w:p w:rsidR="00000000" w:rsidRPr="00A73219" w:rsidP="00A73219">
            <w:pPr>
              <w:pStyle w:val="ListBullet2"/>
            </w:pPr>
            <w:r w:rsidRPr="00A73219">
              <w:t>geriatric</w:t>
            </w:r>
          </w:p>
          <w:p w:rsidR="00000000" w:rsidRPr="00A73219" w:rsidP="00A73219">
            <w:pPr>
              <w:pStyle w:val="ListBullet2"/>
            </w:pPr>
            <w:r w:rsidRPr="00A73219">
              <w:t>paediatric</w:t>
            </w:r>
          </w:p>
          <w:p w:rsidR="00000000" w:rsidRPr="00A73219" w:rsidP="00A73219">
            <w:pPr>
              <w:pStyle w:val="ListBullet2"/>
            </w:pPr>
            <w:r w:rsidRPr="00A73219">
              <w:t>pregnancy</w:t>
            </w:r>
          </w:p>
          <w:p w:rsidR="00000000" w:rsidRPr="00A73219" w:rsidP="00A73219">
            <w:pPr>
              <w:pStyle w:val="ListBullet"/>
            </w:pPr>
            <w:r w:rsidRPr="00A73219">
              <w:t>Understanding of the following terms:</w:t>
            </w:r>
          </w:p>
          <w:p w:rsidR="00000000" w:rsidRPr="00A73219" w:rsidP="00A73219">
            <w:pPr>
              <w:pStyle w:val="ListBullet2"/>
            </w:pPr>
            <w:r w:rsidRPr="00A73219">
              <w:t>bioavailability</w:t>
            </w:r>
          </w:p>
          <w:p w:rsidR="00000000" w:rsidRPr="00A73219" w:rsidP="00A73219">
            <w:pPr>
              <w:pStyle w:val="ListBullet2"/>
            </w:pPr>
            <w:r w:rsidRPr="00A73219">
              <w:t>bioequivalence</w:t>
            </w:r>
          </w:p>
          <w:p w:rsidR="00000000" w:rsidRPr="00A73219" w:rsidP="00A73219">
            <w:pPr>
              <w:pStyle w:val="ListBullet2"/>
            </w:pPr>
            <w:r w:rsidRPr="00A73219">
              <w:t>drug absorption</w:t>
            </w:r>
          </w:p>
          <w:p w:rsidR="00000000" w:rsidRPr="00A73219" w:rsidP="00A73219">
            <w:pPr>
              <w:pStyle w:val="ListBullet2"/>
            </w:pPr>
            <w:r w:rsidRPr="00A73219">
              <w:t>drug distribution</w:t>
            </w:r>
          </w:p>
          <w:p w:rsidR="00000000" w:rsidRPr="00A73219" w:rsidP="00A73219">
            <w:pPr>
              <w:pStyle w:val="ListBullet2"/>
            </w:pPr>
            <w:r w:rsidRPr="00A73219">
              <w:t>drug elimination</w:t>
            </w:r>
          </w:p>
          <w:p w:rsidR="00000000" w:rsidRPr="00A73219" w:rsidP="00A73219">
            <w:pPr>
              <w:pStyle w:val="ListBullet2"/>
            </w:pPr>
            <w:r w:rsidRPr="00A73219">
              <w:t>drug half-life</w:t>
            </w:r>
          </w:p>
          <w:p w:rsidR="00000000" w:rsidRPr="00A73219" w:rsidP="00A73219">
            <w:pPr>
              <w:pStyle w:val="ListBullet2"/>
            </w:pPr>
            <w:r w:rsidRPr="00A73219">
              <w:t>drug metabolism</w:t>
            </w:r>
          </w:p>
          <w:p w:rsidR="00000000" w:rsidP="00A73219">
            <w:pPr>
              <w:pStyle w:val="ListBullet"/>
              <w:rPr>
                <w:lang w:val="en-NZ"/>
              </w:rPr>
            </w:pPr>
            <w:r w:rsidRPr="00A73219">
              <w:t>Understanding of the concept of drug-drug interactions, drug food interactions and incompatibilities</w:t>
            </w:r>
          </w:p>
        </w:tc>
      </w:tr>
      <w:tr w:rsidTr="009B500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p>
        </w:tc>
      </w:tr>
      <w:tr w:rsidTr="009B500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73219" w:rsidP="00A73219">
            <w:pPr>
              <w:pStyle w:val="BodyText"/>
            </w:pPr>
            <w:r w:rsidRPr="00A73219">
              <w:rPr>
                <w:rStyle w:val="Emphasis"/>
              </w:rPr>
              <w:t>Essential skills:</w:t>
            </w:r>
          </w:p>
          <w:p w:rsidR="00000000" w:rsidRPr="00A73219" w:rsidP="00A73219">
            <w:pPr>
              <w:pStyle w:val="BodyText"/>
            </w:pPr>
            <w:r w:rsidRPr="00A73219">
              <w:t>It is critical that the candidate demonstrate the ability to effectively do the task outlined in elements and performance criteria of this unit, manage the task and manage contingencies in the context of the identified work role</w:t>
            </w:r>
          </w:p>
          <w:p w:rsidR="00000000" w:rsidRPr="00A73219" w:rsidP="00A73219">
            <w:pPr>
              <w:pStyle w:val="BodyText"/>
            </w:pPr>
            <w:r w:rsidRPr="00A73219">
              <w:t>This includes the ability t</w:t>
            </w:r>
            <w:r w:rsidRPr="00A73219">
              <w:t>o:</w:t>
            </w:r>
          </w:p>
          <w:p w:rsidR="00000000" w:rsidRPr="00A73219" w:rsidP="00A73219">
            <w:pPr>
              <w:pStyle w:val="ListBullet"/>
            </w:pPr>
            <w:r w:rsidRPr="00A73219">
              <w:t>Prepare and present information related to administration of medicines in response to a range of enquiries</w:t>
            </w:r>
          </w:p>
          <w:p w:rsidR="00000000" w:rsidRPr="00A73219" w:rsidP="00A73219">
            <w:pPr>
              <w:pStyle w:val="ListBullet"/>
            </w:pPr>
            <w:r w:rsidRPr="00A73219">
              <w:t>Assess client understanding of information provided</w:t>
            </w:r>
          </w:p>
          <w:p w:rsidR="00000000" w:rsidRPr="00A73219" w:rsidP="00A73219">
            <w:pPr>
              <w:pStyle w:val="ListBullet"/>
            </w:pPr>
            <w:r w:rsidRPr="00A73219">
              <w:t>Demonstrate care for and use of:</w:t>
            </w:r>
          </w:p>
          <w:p w:rsidR="00000000" w:rsidRPr="00A73219" w:rsidP="00A73219">
            <w:pPr>
              <w:pStyle w:val="ListBullet2"/>
            </w:pPr>
            <w:r w:rsidRPr="00A73219">
              <w:t>DAAs i.e. dosettes, WebsterPaks</w:t>
            </w:r>
          </w:p>
          <w:p w:rsidR="00000000" w:rsidRPr="00A73219" w:rsidP="00A73219">
            <w:pPr>
              <w:pStyle w:val="ListBullet2"/>
            </w:pPr>
            <w:r w:rsidRPr="00A73219">
              <w:t>respiratory devices includin</w:t>
            </w:r>
            <w:r w:rsidRPr="00A73219">
              <w:t>g:</w:t>
            </w:r>
          </w:p>
          <w:p w:rsidR="00000000" w:rsidRPr="00A73219" w:rsidP="00A73219">
            <w:pPr>
              <w:pStyle w:val="ListBullet3"/>
            </w:pPr>
            <w:r w:rsidRPr="00A73219">
              <w:t>dry powder inhalers (e.g. Accuhaler, Turbuhaler, Handihaler)</w:t>
            </w:r>
          </w:p>
          <w:p w:rsidR="00000000" w:rsidRPr="00A73219" w:rsidP="00A73219">
            <w:pPr>
              <w:pStyle w:val="ListBullet3"/>
            </w:pPr>
            <w:r w:rsidRPr="00A73219">
              <w:t>metered dose inhaler</w:t>
            </w:r>
          </w:p>
          <w:p w:rsidR="00000000" w:rsidRPr="00A73219" w:rsidP="00A73219">
            <w:pPr>
              <w:pStyle w:val="ListBullet3"/>
            </w:pPr>
            <w:r w:rsidRPr="00A73219">
              <w:t>spacers (e.g. Volumatic, Breath-a-tech)</w:t>
            </w:r>
          </w:p>
          <w:p w:rsidR="00000000" w:rsidRPr="00A73219" w:rsidP="00A73219">
            <w:pPr>
              <w:pStyle w:val="ListBullet"/>
            </w:pPr>
            <w:r w:rsidRPr="00A73219">
              <w:t>Collate relevant CMI for client</w:t>
            </w:r>
          </w:p>
          <w:p w:rsidR="00000000" w:rsidRPr="00A73219" w:rsidP="00A73219">
            <w:pPr>
              <w:pStyle w:val="ListBullet"/>
            </w:pPr>
            <w:r w:rsidRPr="00A73219">
              <w:t>Communicate effectively including:</w:t>
            </w:r>
          </w:p>
          <w:p w:rsidR="00000000" w:rsidRPr="00A73219" w:rsidP="00A73219">
            <w:pPr>
              <w:pStyle w:val="ListBullet2"/>
            </w:pPr>
            <w:r w:rsidRPr="00A73219">
              <w:t>active listening</w:t>
            </w:r>
          </w:p>
          <w:p w:rsidR="00000000" w:rsidRPr="00A73219" w:rsidP="00A73219">
            <w:pPr>
              <w:pStyle w:val="ListBullet2"/>
            </w:pPr>
            <w:r w:rsidRPr="00A73219">
              <w:t>clarify and ascertain correct meanings from communication</w:t>
            </w:r>
          </w:p>
          <w:p w:rsidR="00000000" w:rsidRPr="00A73219" w:rsidP="00A73219">
            <w:pPr>
              <w:pStyle w:val="ListBullet2"/>
            </w:pPr>
            <w:r w:rsidRPr="00A73219">
              <w:t>clear, concise and correct written and verbal communication</w:t>
            </w:r>
          </w:p>
          <w:p w:rsidR="00000000" w:rsidRPr="00A73219" w:rsidP="00A73219">
            <w:pPr>
              <w:pStyle w:val="ListBullet2"/>
            </w:pPr>
            <w:r w:rsidRPr="00A73219">
              <w:t>communicate on a one-to-one basis</w:t>
            </w:r>
          </w:p>
          <w:p w:rsidR="00000000" w:rsidRPr="00A73219" w:rsidP="00A73219">
            <w:pPr>
              <w:pStyle w:val="ListBullet2"/>
            </w:pPr>
            <w:r w:rsidRPr="00A73219">
              <w:t>correct presentation of correspondence</w:t>
            </w:r>
          </w:p>
          <w:p w:rsidR="00000000" w:rsidRPr="00A73219" w:rsidP="00A73219">
            <w:pPr>
              <w:pStyle w:val="ListBullet2"/>
            </w:pPr>
            <w:r w:rsidRPr="00A73219">
              <w:t xml:space="preserve">documentation and record keeping </w:t>
            </w:r>
          </w:p>
          <w:p w:rsidR="00000000" w:rsidRPr="00A73219" w:rsidP="00A73219">
            <w:pPr>
              <w:pStyle w:val="ListBullet2"/>
            </w:pPr>
            <w:r w:rsidRPr="00A73219">
              <w:t>elicit information</w:t>
            </w:r>
          </w:p>
          <w:p w:rsidR="00000000" w:rsidRPr="00A73219" w:rsidP="00A73219">
            <w:pPr>
              <w:pStyle w:val="ListBullet2"/>
            </w:pPr>
            <w:r w:rsidRPr="00A73219">
              <w:t>establish rapport</w:t>
            </w:r>
          </w:p>
          <w:p w:rsidR="00000000" w:rsidRPr="00A73219" w:rsidP="00A73219">
            <w:pPr>
              <w:pStyle w:val="ListBullet2"/>
            </w:pPr>
            <w:r w:rsidRPr="00A73219">
              <w:t>passing on verbal and written messages</w:t>
            </w:r>
          </w:p>
          <w:p w:rsidR="00000000" w:rsidRPr="00A73219" w:rsidP="00A73219">
            <w:pPr>
              <w:pStyle w:val="ListBullet2"/>
            </w:pPr>
            <w:r w:rsidRPr="00A73219">
              <w:t>use correct grammar, spelling and punctuation</w:t>
            </w:r>
          </w:p>
          <w:p w:rsidR="00000000" w:rsidRPr="00A73219" w:rsidP="00A73219">
            <w:pPr>
              <w:pStyle w:val="ListBullet2"/>
            </w:pPr>
            <w:r w:rsidRPr="00A73219">
              <w:t>use literacy and oral communication skills required to fulfil the position in a safe manner as specified by the health care facility</w:t>
            </w:r>
          </w:p>
          <w:p w:rsidR="00000000" w:rsidRPr="00A73219" w:rsidP="00A73219">
            <w:pPr>
              <w:pStyle w:val="ListBullet"/>
            </w:pPr>
            <w:r w:rsidRPr="00A73219">
              <w:t>Comply with legal an</w:t>
            </w:r>
            <w:r w:rsidRPr="00A73219">
              <w:t>d ethical requirements and organisation policies and procedures, including:</w:t>
            </w:r>
          </w:p>
          <w:p w:rsidR="00000000" w:rsidRPr="00A73219" w:rsidP="00A73219">
            <w:pPr>
              <w:pStyle w:val="ListBullet2"/>
            </w:pPr>
            <w:r w:rsidRPr="00A73219">
              <w:t>demonstrating respect for clients’ rights</w:t>
            </w:r>
          </w:p>
          <w:p w:rsidR="00000000" w:rsidRPr="00A73219" w:rsidP="00A73219">
            <w:pPr>
              <w:pStyle w:val="ListBullet2"/>
            </w:pPr>
            <w:r w:rsidRPr="00A73219">
              <w:t>meeting requirements for provision of duty of care</w:t>
            </w:r>
          </w:p>
          <w:p w:rsidR="00000000" w:rsidRPr="00A73219" w:rsidP="00A73219">
            <w:pPr>
              <w:pStyle w:val="ListBullet2"/>
            </w:pPr>
            <w:r w:rsidRPr="00A73219">
              <w:t>working in accordance with legislation relevant to the workplace and specific work fun</w:t>
            </w:r>
            <w:r w:rsidRPr="00A73219">
              <w:t>ctions</w:t>
            </w:r>
          </w:p>
          <w:p w:rsidR="00000000" w:rsidRPr="00A73219" w:rsidP="00A73219">
            <w:pPr>
              <w:pStyle w:val="ListBullet"/>
            </w:pPr>
            <w:r w:rsidRPr="00A73219">
              <w:t>Identify issues outside scope of practice and refer to the appropriate person</w:t>
            </w:r>
          </w:p>
          <w:p w:rsidR="00000000" w:rsidRPr="00A73219" w:rsidP="00A73219">
            <w:pPr>
              <w:pStyle w:val="ListBullet"/>
            </w:pPr>
            <w:r w:rsidRPr="00A73219">
              <w:t>Identify particular issues that require follow-up counselling by the pharmacist</w:t>
            </w:r>
          </w:p>
          <w:p w:rsidR="00000000" w:rsidRPr="00A73219" w:rsidP="00A73219">
            <w:pPr>
              <w:pStyle w:val="ListBullet"/>
            </w:pPr>
            <w:r w:rsidRPr="00A73219">
              <w:t>Locate, access and print CMI</w:t>
            </w:r>
          </w:p>
          <w:p w:rsidR="00000000" w:rsidRPr="00A73219" w:rsidP="00A73219">
            <w:pPr>
              <w:pStyle w:val="ListBullet"/>
            </w:pPr>
            <w:r w:rsidRPr="00A73219">
              <w:t>Make appointments to meet a range of client needs</w:t>
            </w:r>
          </w:p>
          <w:p w:rsidR="00000000" w:rsidRPr="00A73219" w:rsidP="00A73219">
            <w:pPr>
              <w:pStyle w:val="ListBullet"/>
            </w:pPr>
            <w:r w:rsidRPr="00A73219">
              <w:t>Manage diffi</w:t>
            </w:r>
            <w:r w:rsidRPr="00A73219">
              <w:t>cult situations</w:t>
            </w:r>
          </w:p>
          <w:p w:rsidR="00000000" w:rsidRPr="00A73219" w:rsidP="00A73219">
            <w:pPr>
              <w:pStyle w:val="ListBullet"/>
            </w:pPr>
            <w:r w:rsidRPr="00A73219">
              <w:t>Respond to meet the needs of a range of clients in a range of situations including those with special needs</w:t>
            </w:r>
          </w:p>
          <w:p w:rsidR="00000000" w:rsidRPr="00A73219" w:rsidP="00A73219">
            <w:pPr>
              <w:pStyle w:val="BodyText"/>
            </w:pPr>
            <w:r w:rsidRPr="00A73219">
              <w:t>It is critical that the candidate demonstrate the ability to effectively do the task outlined in elements and performance criteria o</w:t>
            </w:r>
            <w:r w:rsidRPr="00A73219">
              <w:t>f this unit, manage the task and manage contingencies in the context of the identified work role</w:t>
            </w:r>
          </w:p>
          <w:p w:rsidR="00000000" w:rsidRPr="00A73219" w:rsidP="00A73219">
            <w:pPr>
              <w:pStyle w:val="BodyText"/>
            </w:pPr>
            <w:r w:rsidRPr="00A73219">
              <w:t>This includes the ability to:</w:t>
            </w:r>
          </w:p>
          <w:p w:rsidR="00000000" w:rsidRPr="00A73219" w:rsidP="00A73219">
            <w:pPr>
              <w:pStyle w:val="ListBullet"/>
            </w:pPr>
            <w:r w:rsidRPr="00A73219">
              <w:t>Take into account opportunities to address waste minimisation, environmental responsibility and sustainable practice issues</w:t>
            </w:r>
          </w:p>
          <w:p w:rsidR="00000000" w:rsidRPr="00A73219" w:rsidP="00A73219">
            <w:pPr>
              <w:pStyle w:val="ListBullet"/>
            </w:pPr>
            <w:r w:rsidRPr="00A73219">
              <w:t>Use information technology to collect and provide information from / to clients</w:t>
            </w:r>
          </w:p>
          <w:p w:rsidR="00000000" w:rsidRPr="00A73219" w:rsidP="00A73219">
            <w:pPr>
              <w:pStyle w:val="ListBullet"/>
            </w:pPr>
            <w:r w:rsidRPr="00A73219">
              <w:t>Work in accordance with relevant work health and safety, and infection control guidelines</w:t>
            </w:r>
          </w:p>
          <w:p w:rsidR="00000000" w:rsidRPr="00A73219" w:rsidP="00A73219">
            <w:pPr>
              <w:pStyle w:val="ListBullet"/>
            </w:pPr>
            <w:r w:rsidRPr="00A73219">
              <w:t>Work in accordance with relevant organisation policy, legislative requirements, indust</w:t>
            </w:r>
            <w:r w:rsidRPr="00A73219">
              <w:t>rial awards and agreements and professional practice standards, particularly the Society of Hospital Pharmacists (SHPA) Standards of Practice for Clinical Pharmacy and Standards of Practice for the Provision of Consumer Medicines Information by Pharmacists</w:t>
            </w:r>
            <w:r w:rsidRPr="00A73219">
              <w:t xml:space="preserve"> in Hospitals and the PSA Professional Practice Standards on Counselling, when collecting and providing specific information to/for clients</w:t>
            </w:r>
          </w:p>
        </w:tc>
      </w:tr>
    </w:tbl>
    <w:p w:rsidR="00000000" w:rsidRPr="00A73219" w:rsidP="00A73219">
      <w:pPr>
        <w:pStyle w:val="BodyText"/>
      </w:pPr>
    </w:p>
    <w:p w:rsidR="00000000" w:rsidRPr="00A73219" w:rsidP="00A73219">
      <w:pPr>
        <w:pStyle w:val="AllowPageBreak"/>
      </w:pPr>
    </w:p>
    <w:p w:rsidR="00000000" w:rsidRPr="00A73219" w:rsidP="00A73219">
      <w:pPr>
        <w:pStyle w:val="Heading1"/>
      </w:pPr>
      <w:bookmarkStart w:id="10" w:name="O_438764"/>
      <w:bookmarkEnd w:id="10"/>
      <w:r w:rsidRPr="00A73219">
        <w:t>Evidence Guide</w:t>
      </w:r>
    </w:p>
    <w:tbl>
      <w:tblPr>
        <w:tblW w:w="0" w:type="auto"/>
        <w:tblLayout w:type="fixed"/>
        <w:tblCellMar>
          <w:left w:w="62" w:type="dxa"/>
          <w:right w:w="62" w:type="dxa"/>
        </w:tblCellMar>
        <w:tblLook w:val="0000"/>
      </w:tblPr>
      <w:tblGrid>
        <w:gridCol w:w="3294"/>
        <w:gridCol w:w="5670"/>
      </w:tblGrid>
      <w:tr w:rsidTr="009B500F">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A73219">
            <w:pPr>
              <w:pStyle w:val="BodyText"/>
              <w:rPr>
                <w:lang w:val="en-NZ"/>
              </w:rPr>
            </w:pPr>
            <w:r w:rsidRPr="00A73219">
              <w:rPr>
                <w:rStyle w:val="SpecialBold"/>
              </w:rPr>
              <w:t>EVIDENCE GUIDE</w:t>
            </w:r>
          </w:p>
        </w:tc>
      </w:tr>
      <w:tr w:rsidTr="009B500F">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A73219">
            <w:pPr>
              <w:pStyle w:val="BodyText"/>
              <w:rPr>
                <w:lang w:val="en-NZ"/>
              </w:rPr>
            </w:pPr>
          </w:p>
        </w:tc>
      </w:tr>
      <w:tr w:rsidTr="009B500F">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A73219">
            <w:pPr>
              <w:pStyle w:val="BodyText"/>
              <w:rPr>
                <w:lang w:val="en-NZ"/>
              </w:rPr>
            </w:pPr>
            <w:r w:rsidRPr="00A73219">
              <w:t>The evidence guide provides advice on assessment and must be read in conjunction with the Performance Criteria, Required Skills and Knowledge, the Range Statement and the Assessment Guidelines for this Training Package.</w:t>
            </w:r>
          </w:p>
        </w:tc>
      </w:tr>
      <w:tr w:rsidTr="009B500F">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A73219">
            <w:pPr>
              <w:pStyle w:val="BodyText"/>
              <w:rPr>
                <w:lang w:val="en-NZ"/>
              </w:rPr>
            </w:pPr>
          </w:p>
        </w:tc>
      </w:tr>
      <w:tr w:rsidTr="009B50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r w:rsidRPr="00A73219">
              <w:rPr>
                <w:rStyle w:val="Emphasis"/>
              </w:rPr>
              <w:t>Critical aspects for assessment</w:t>
            </w:r>
            <w:r w:rsidRPr="00A73219">
              <w:rPr>
                <w:rStyle w:val="Emphasis"/>
              </w:rPr>
              <w:t xml:space="preserve"> and evidence required to demonstrate this competency unit: </w:t>
            </w:r>
            <w:r w:rsidRPr="00A73219">
              <w:br/>
            </w:r>
          </w:p>
        </w:tc>
        <w:tc>
          <w:tcPr>
            <w:tcW w:w="5670" w:type="dxa"/>
            <w:tcBorders>
              <w:top w:val="nil"/>
              <w:left w:val="nil"/>
              <w:bottom w:val="nil"/>
              <w:right w:val="nil"/>
            </w:tcBorders>
            <w:tcMar>
              <w:top w:w="0" w:type="dxa"/>
              <w:left w:w="62" w:type="dxa"/>
              <w:bottom w:w="0" w:type="dxa"/>
              <w:right w:w="62" w:type="dxa"/>
            </w:tcMar>
          </w:tcPr>
          <w:p w:rsidR="00000000" w:rsidRPr="00A73219" w:rsidP="00A73219">
            <w:pPr>
              <w:pStyle w:val="ListBullet"/>
            </w:pPr>
            <w:r w:rsidRPr="00A73219">
              <w:t>The individual being assessed must provide evidence of specified essential knowledge as well as skills</w:t>
            </w:r>
          </w:p>
          <w:p w:rsidR="00000000" w:rsidRPr="00A73219" w:rsidP="00A73219">
            <w:pPr>
              <w:pStyle w:val="ListBullet"/>
            </w:pPr>
            <w:r w:rsidRPr="00A73219">
              <w:t>This unit is most appropriately assessed in the workplace or in a simulated workplace and u</w:t>
            </w:r>
            <w:r w:rsidRPr="00A73219">
              <w:t>nder the normal range of work conditions</w:t>
            </w:r>
          </w:p>
          <w:p w:rsidR="00000000" w:rsidRPr="00A73219" w:rsidP="00A73219">
            <w:pPr>
              <w:pStyle w:val="ListBullet"/>
            </w:pPr>
            <w:r w:rsidRPr="00A73219">
              <w:t>Assessment may be mostly practical and examples covering a range of situations relevant to health services provided in the workplace</w:t>
            </w:r>
          </w:p>
          <w:p w:rsidR="00000000" w:rsidRPr="00A73219" w:rsidP="00A73219">
            <w:pPr>
              <w:pStyle w:val="ListBullet"/>
            </w:pPr>
            <w:r w:rsidRPr="00A73219">
              <w:t>Evidence of workplace performance over time and covering a range of workplace situations must be obtained to inform a judgement of competence</w:t>
            </w:r>
          </w:p>
          <w:p w:rsidR="00000000" w:rsidP="00A73219">
            <w:pPr>
              <w:pStyle w:val="ListBullet"/>
              <w:rPr>
                <w:lang w:val="en-NZ"/>
              </w:rPr>
            </w:pPr>
            <w:r w:rsidRPr="00A73219">
              <w:t>Where, for reasons of safety, space, or access to equipment and resources, assessment takes place away from the wo</w:t>
            </w:r>
            <w:r w:rsidRPr="00A73219">
              <w:t>rkplace, the assessment environment should represent workplace conditions as closely as possible</w:t>
            </w:r>
          </w:p>
        </w:tc>
      </w:tr>
      <w:tr w:rsidTr="009B50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p>
        </w:tc>
      </w:tr>
      <w:tr w:rsidTr="009B50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r w:rsidRPr="00A73219">
              <w:rPr>
                <w:rStyle w:val="Emphasis"/>
              </w:rPr>
              <w:t xml:space="preserve">Context of and specific resources for assessment: </w:t>
            </w:r>
          </w:p>
        </w:tc>
        <w:tc>
          <w:tcPr>
            <w:tcW w:w="5670" w:type="dxa"/>
            <w:tcBorders>
              <w:top w:val="nil"/>
              <w:left w:val="nil"/>
              <w:bottom w:val="nil"/>
              <w:right w:val="nil"/>
            </w:tcBorders>
            <w:tcMar>
              <w:top w:w="0" w:type="dxa"/>
              <w:left w:w="62" w:type="dxa"/>
              <w:bottom w:w="0" w:type="dxa"/>
              <w:right w:w="62" w:type="dxa"/>
            </w:tcMar>
          </w:tcPr>
          <w:p w:rsidR="00000000" w:rsidRPr="00A73219" w:rsidP="00A73219">
            <w:pPr>
              <w:pStyle w:val="ListBullet"/>
            </w:pPr>
            <w:r w:rsidRPr="00A73219">
              <w:t xml:space="preserve">Resource requirements may include: </w:t>
            </w:r>
          </w:p>
          <w:p w:rsidR="00000000" w:rsidRPr="00A73219" w:rsidP="00A73219">
            <w:pPr>
              <w:pStyle w:val="ListBullet2"/>
            </w:pPr>
            <w:r w:rsidRPr="00A73219">
              <w:t xml:space="preserve">Appropriate assessment environment </w:t>
            </w:r>
          </w:p>
          <w:p w:rsidR="00000000" w:rsidP="00A73219">
            <w:pPr>
              <w:pStyle w:val="ListBullet2"/>
              <w:rPr>
                <w:lang w:val="en-NZ"/>
              </w:rPr>
            </w:pPr>
            <w:r w:rsidRPr="00A73219">
              <w:t xml:space="preserve">Participants for role plays </w:t>
            </w:r>
          </w:p>
        </w:tc>
      </w:tr>
      <w:tr w:rsidTr="009B50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p>
        </w:tc>
      </w:tr>
      <w:tr w:rsidTr="009B50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r w:rsidRPr="00A73219">
              <w:rPr>
                <w:rStyle w:val="Emphasis"/>
              </w:rPr>
              <w:t xml:space="preserve">Method of assessment </w:t>
            </w:r>
          </w:p>
        </w:tc>
        <w:tc>
          <w:tcPr>
            <w:tcW w:w="5670" w:type="dxa"/>
            <w:tcBorders>
              <w:top w:val="nil"/>
              <w:left w:val="nil"/>
              <w:bottom w:val="nil"/>
              <w:right w:val="nil"/>
            </w:tcBorders>
            <w:tcMar>
              <w:top w:w="0" w:type="dxa"/>
              <w:left w:w="62" w:type="dxa"/>
              <w:bottom w:w="0" w:type="dxa"/>
              <w:right w:w="62" w:type="dxa"/>
            </w:tcMar>
          </w:tcPr>
          <w:p w:rsidR="00000000" w:rsidRPr="00A73219" w:rsidP="00A73219">
            <w:pPr>
              <w:pStyle w:val="ListBullet"/>
            </w:pPr>
            <w:r w:rsidRPr="00A73219">
              <w:t>Case studies and scenarios</w:t>
            </w:r>
          </w:p>
          <w:p w:rsidR="00000000" w:rsidRPr="00A73219" w:rsidP="00A73219">
            <w:pPr>
              <w:pStyle w:val="ListBullet"/>
            </w:pPr>
            <w:r w:rsidRPr="00A73219">
              <w:t xml:space="preserve">Observation in the workplace </w:t>
            </w:r>
          </w:p>
          <w:p w:rsidR="00000000" w:rsidRPr="00A73219" w:rsidP="00A73219">
            <w:pPr>
              <w:pStyle w:val="ListBullet"/>
            </w:pPr>
            <w:r w:rsidRPr="00A73219">
              <w:t xml:space="preserve">Oral questioning </w:t>
            </w:r>
          </w:p>
          <w:p w:rsidR="00000000" w:rsidRPr="00A73219" w:rsidP="00A73219">
            <w:pPr>
              <w:pStyle w:val="ListBullet"/>
            </w:pPr>
            <w:r w:rsidRPr="00A73219">
              <w:t xml:space="preserve">Simulations and role play </w:t>
            </w:r>
          </w:p>
          <w:p w:rsidR="00000000" w:rsidRPr="00A73219" w:rsidP="00A73219">
            <w:pPr>
              <w:pStyle w:val="ListBullet"/>
            </w:pPr>
            <w:r w:rsidRPr="00A73219">
              <w:t>Supporting statement of workplace supervisor</w:t>
            </w:r>
          </w:p>
          <w:p w:rsidR="00000000" w:rsidP="00A73219">
            <w:pPr>
              <w:pStyle w:val="ListBullet"/>
              <w:rPr>
                <w:lang w:val="en-NZ"/>
              </w:rPr>
            </w:pPr>
            <w:r w:rsidRPr="00A73219">
              <w:t>Written assignments/projects or questioning should be used to assess knowledge</w:t>
            </w:r>
          </w:p>
        </w:tc>
      </w:tr>
      <w:tr w:rsidTr="009B50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p>
        </w:tc>
      </w:tr>
      <w:tr w:rsidTr="009B50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r w:rsidRPr="00A73219">
              <w:rPr>
                <w:rStyle w:val="Emphasis"/>
              </w:rPr>
              <w:t>Ac</w:t>
            </w:r>
            <w:r w:rsidRPr="00A73219">
              <w:rPr>
                <w:rStyle w:val="Emphasis"/>
              </w:rPr>
              <w:t>cess and equity considerations:</w:t>
            </w:r>
          </w:p>
        </w:tc>
        <w:tc>
          <w:tcPr>
            <w:tcW w:w="5670" w:type="dxa"/>
            <w:tcBorders>
              <w:top w:val="nil"/>
              <w:left w:val="nil"/>
              <w:bottom w:val="nil"/>
              <w:right w:val="nil"/>
            </w:tcBorders>
            <w:tcMar>
              <w:top w:w="0" w:type="dxa"/>
              <w:left w:w="62" w:type="dxa"/>
              <w:bottom w:w="0" w:type="dxa"/>
              <w:right w:w="62" w:type="dxa"/>
            </w:tcMar>
          </w:tcPr>
          <w:p w:rsidR="00000000" w:rsidRPr="00A73219" w:rsidP="00A73219">
            <w:pPr>
              <w:pStyle w:val="ListBullet"/>
            </w:pPr>
            <w:r w:rsidRPr="00A73219">
              <w:t>All workers in the health industry should be aware of access and equity issues in relation to their own area of work</w:t>
            </w:r>
          </w:p>
          <w:p w:rsidR="00000000" w:rsidRPr="00A73219" w:rsidP="00A73219">
            <w:pPr>
              <w:pStyle w:val="ListBullet"/>
            </w:pPr>
            <w:r w:rsidRPr="00A73219">
              <w:t xml:space="preserve">All workers should develop their ability to work in a culturally diverse environment </w:t>
            </w:r>
          </w:p>
          <w:p w:rsidR="00000000" w:rsidRPr="00A73219" w:rsidP="00A73219">
            <w:pPr>
              <w:pStyle w:val="ListBullet"/>
            </w:pPr>
            <w:r w:rsidRPr="00A73219">
              <w:t>In recognition of par</w:t>
            </w:r>
            <w:r w:rsidRPr="00A73219">
              <w:t>ticular health issues facing Aboriginal and Torres Strait Islander communities, workers should be aware of cultural, historical and current issues impacting on health of Aboriginal and Torres Strait Islander people</w:t>
            </w:r>
          </w:p>
          <w:p w:rsidR="00000000" w:rsidRPr="00A73219" w:rsidP="00A73219">
            <w:pPr>
              <w:pStyle w:val="ListBullet"/>
            </w:pPr>
            <w:r w:rsidRPr="00A73219">
              <w:t>Assessors and trainers must take into acc</w:t>
            </w:r>
            <w:r w:rsidRPr="00A73219">
              <w:t>ount relevant access and equity issues, in particular relating to factors impacting on health of Aboriginal and/or Torres Strait Islander clients and communities</w:t>
            </w:r>
          </w:p>
        </w:tc>
      </w:tr>
    </w:tbl>
    <w:p w:rsidR="00000000" w:rsidRPr="00A73219" w:rsidP="00A73219">
      <w:pPr>
        <w:pStyle w:val="BodyText"/>
      </w:pPr>
    </w:p>
    <w:p w:rsidR="00000000" w:rsidRPr="00A73219" w:rsidP="00A73219">
      <w:pPr>
        <w:pStyle w:val="AllowPageBreak"/>
      </w:pPr>
    </w:p>
    <w:p w:rsidR="00000000" w:rsidRPr="00A73219" w:rsidP="00A73219">
      <w:pPr>
        <w:pStyle w:val="Heading1"/>
      </w:pPr>
      <w:bookmarkStart w:id="11" w:name="O_438765"/>
      <w:bookmarkEnd w:id="11"/>
      <w:r w:rsidRPr="00A73219">
        <w:t>Range Statement</w:t>
      </w:r>
    </w:p>
    <w:tbl>
      <w:tblPr>
        <w:tblW w:w="0" w:type="auto"/>
        <w:tblLayout w:type="fixed"/>
        <w:tblCellMar>
          <w:left w:w="62" w:type="dxa"/>
          <w:right w:w="62" w:type="dxa"/>
        </w:tblCellMar>
        <w:tblLook w:val="0000"/>
      </w:tblPr>
      <w:tblGrid>
        <w:gridCol w:w="3294"/>
        <w:gridCol w:w="5670"/>
      </w:tblGrid>
      <w:tr w:rsidTr="009B500F">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A73219">
            <w:pPr>
              <w:pStyle w:val="Heading3"/>
              <w:rPr>
                <w:lang w:val="en-NZ"/>
              </w:rPr>
            </w:pPr>
            <w:r w:rsidRPr="00A73219">
              <w:t>RANGE STATEMENT</w:t>
            </w:r>
          </w:p>
        </w:tc>
      </w:tr>
      <w:tr w:rsidTr="009B500F">
        <w:tblPrEx>
          <w:tblW w:w="0" w:type="auto"/>
          <w:tblLayout w:type="fixed"/>
          <w:tblCellMar>
            <w:left w:w="62" w:type="dxa"/>
            <w:right w:w="62" w:type="dxa"/>
          </w:tblCellMar>
          <w:tblLook w:val="0000"/>
        </w:tblPrEx>
        <w:trPr>
          <w:tblHeader/>
        </w:trPr>
        <w:tc>
          <w:tcPr>
            <w:tcW w:w="8964" w:type="dxa"/>
            <w:gridSpan w:val="2"/>
            <w:tcBorders>
              <w:top w:val="nil"/>
              <w:left w:val="nil"/>
              <w:bottom w:val="nil"/>
              <w:right w:val="nil"/>
            </w:tcBorders>
            <w:tcMar>
              <w:top w:w="0" w:type="dxa"/>
              <w:left w:w="62" w:type="dxa"/>
              <w:bottom w:w="0" w:type="dxa"/>
              <w:right w:w="62" w:type="dxa"/>
            </w:tcMar>
          </w:tcPr>
          <w:p w:rsidR="00000000" w:rsidP="00A73219">
            <w:pPr>
              <w:pStyle w:val="BodyText"/>
              <w:rPr>
                <w:lang w:val="en-NZ"/>
              </w:rPr>
            </w:pPr>
          </w:p>
        </w:tc>
      </w:tr>
      <w:tr w:rsidTr="009B500F">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A73219">
            <w:pPr>
              <w:pStyle w:val="BodyText"/>
              <w:rPr>
                <w:lang w:val="en-NZ"/>
              </w:rPr>
            </w:pPr>
            <w:r w:rsidRPr="00A73219">
              <w:t>The Range Statement relates to the unit of competency as a whole. It allows for different work environments and situations that may affect performance. Add any essential operating conditions that may be present with training and assessment depending on the</w:t>
            </w:r>
            <w:r w:rsidRPr="00A73219">
              <w:t xml:space="preserve"> work situation, needs of the candidate, accessibility of the item, and local industry and regional contexts.</w:t>
            </w:r>
          </w:p>
        </w:tc>
      </w:tr>
      <w:tr w:rsidTr="009B50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p>
        </w:tc>
      </w:tr>
      <w:tr w:rsidTr="009B50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r w:rsidRPr="00A73219">
              <w:rPr>
                <w:rStyle w:val="Emphasis"/>
              </w:rPr>
              <w:t xml:space="preserve">Special needs may include but are not limited to: </w:t>
            </w:r>
          </w:p>
        </w:tc>
        <w:tc>
          <w:tcPr>
            <w:tcW w:w="5670" w:type="dxa"/>
            <w:tcBorders>
              <w:top w:val="nil"/>
              <w:left w:val="nil"/>
              <w:bottom w:val="nil"/>
              <w:right w:val="nil"/>
            </w:tcBorders>
            <w:tcMar>
              <w:top w:w="0" w:type="dxa"/>
              <w:left w:w="62" w:type="dxa"/>
              <w:bottom w:w="0" w:type="dxa"/>
              <w:right w:w="62" w:type="dxa"/>
            </w:tcMar>
          </w:tcPr>
          <w:p w:rsidR="00000000" w:rsidRPr="00A73219" w:rsidP="00A73219">
            <w:pPr>
              <w:pStyle w:val="ListBullet"/>
            </w:pPr>
            <w:r w:rsidRPr="00A73219">
              <w:t xml:space="preserve">Communication difficulties </w:t>
            </w:r>
          </w:p>
          <w:p w:rsidR="00000000" w:rsidRPr="00A73219" w:rsidP="00A73219">
            <w:pPr>
              <w:pStyle w:val="ListBullet"/>
            </w:pPr>
            <w:r w:rsidRPr="00A73219">
              <w:t xml:space="preserve">Disability </w:t>
            </w:r>
          </w:p>
          <w:p w:rsidR="00000000" w:rsidRPr="00A73219" w:rsidP="00A73219">
            <w:pPr>
              <w:pStyle w:val="ListBullet"/>
            </w:pPr>
            <w:r w:rsidRPr="00A73219">
              <w:t xml:space="preserve">Language difficulties </w:t>
            </w:r>
          </w:p>
          <w:p w:rsidR="00000000" w:rsidRPr="00A73219" w:rsidP="00A73219">
            <w:pPr>
              <w:pStyle w:val="ListBullet"/>
            </w:pPr>
            <w:r w:rsidRPr="00A73219">
              <w:t xml:space="preserve">Need for an interpreter </w:t>
            </w:r>
          </w:p>
          <w:p w:rsidR="00000000" w:rsidRPr="00A73219" w:rsidP="00A73219">
            <w:pPr>
              <w:pStyle w:val="ListBullet"/>
            </w:pPr>
            <w:r w:rsidRPr="00A73219">
              <w:t>Need for communication aids</w:t>
            </w:r>
          </w:p>
          <w:p w:rsidR="00000000" w:rsidRPr="00A73219" w:rsidP="00A73219">
            <w:pPr>
              <w:pStyle w:val="ListBullet"/>
            </w:pPr>
            <w:r w:rsidRPr="00A73219">
              <w:t>Need for uninterrupted privacy</w:t>
            </w:r>
          </w:p>
          <w:p w:rsidR="00000000" w:rsidP="00A73219">
            <w:pPr>
              <w:pStyle w:val="ListBullet"/>
              <w:rPr>
                <w:lang w:val="en-NZ"/>
              </w:rPr>
            </w:pPr>
            <w:r w:rsidRPr="00A73219">
              <w:t xml:space="preserve">Presence of children/spouse </w:t>
            </w:r>
          </w:p>
        </w:tc>
      </w:tr>
      <w:tr w:rsidTr="009B50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p>
        </w:tc>
      </w:tr>
      <w:tr w:rsidTr="009B50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r w:rsidRPr="00A73219">
              <w:rPr>
                <w:rStyle w:val="Emphasis"/>
              </w:rPr>
              <w:t>Standard assessment tools may include:</w:t>
            </w:r>
          </w:p>
        </w:tc>
        <w:tc>
          <w:tcPr>
            <w:tcW w:w="5670" w:type="dxa"/>
            <w:tcBorders>
              <w:top w:val="nil"/>
              <w:left w:val="nil"/>
              <w:bottom w:val="nil"/>
              <w:right w:val="nil"/>
            </w:tcBorders>
            <w:tcMar>
              <w:top w:w="0" w:type="dxa"/>
              <w:left w:w="62" w:type="dxa"/>
              <w:bottom w:w="0" w:type="dxa"/>
              <w:right w:w="62" w:type="dxa"/>
            </w:tcMar>
          </w:tcPr>
          <w:p w:rsidR="00000000" w:rsidP="00A73219">
            <w:pPr>
              <w:pStyle w:val="ListBullet"/>
              <w:rPr>
                <w:lang w:val="en-NZ"/>
              </w:rPr>
            </w:pPr>
            <w:r w:rsidRPr="00A73219">
              <w:t>Medication management assessment detailed on the Medication Management Plan</w:t>
            </w:r>
          </w:p>
        </w:tc>
      </w:tr>
      <w:tr w:rsidTr="009B50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p>
        </w:tc>
      </w:tr>
      <w:tr w:rsidTr="009B50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r w:rsidRPr="00A73219">
              <w:rPr>
                <w:rStyle w:val="Emphasis"/>
              </w:rPr>
              <w:t>Manage their medications</w:t>
            </w:r>
            <w:r w:rsidRPr="00A73219">
              <w:t xml:space="preserve"> </w:t>
            </w:r>
            <w:r w:rsidRPr="00A73219">
              <w:rPr>
                <w:rStyle w:val="Emphasis"/>
              </w:rPr>
              <w:t>may include:</w:t>
            </w:r>
          </w:p>
        </w:tc>
        <w:tc>
          <w:tcPr>
            <w:tcW w:w="5670" w:type="dxa"/>
            <w:tcBorders>
              <w:top w:val="nil"/>
              <w:left w:val="nil"/>
              <w:bottom w:val="nil"/>
              <w:right w:val="nil"/>
            </w:tcBorders>
            <w:tcMar>
              <w:top w:w="0" w:type="dxa"/>
              <w:left w:w="62" w:type="dxa"/>
              <w:bottom w:w="0" w:type="dxa"/>
              <w:right w:w="62" w:type="dxa"/>
            </w:tcMar>
          </w:tcPr>
          <w:p w:rsidR="00000000" w:rsidRPr="00A73219" w:rsidP="00A73219">
            <w:pPr>
              <w:pStyle w:val="ListBullet"/>
            </w:pPr>
            <w:r w:rsidRPr="00A73219">
              <w:t>Ability</w:t>
            </w:r>
            <w:r w:rsidRPr="00A73219">
              <w:t xml:space="preserve"> to open containers</w:t>
            </w:r>
          </w:p>
          <w:p w:rsidR="00000000" w:rsidP="00A73219">
            <w:pPr>
              <w:pStyle w:val="ListBullet"/>
              <w:rPr>
                <w:lang w:val="en-NZ"/>
              </w:rPr>
            </w:pPr>
            <w:r w:rsidRPr="00A73219">
              <w:t>Ability to read labels of medication containers</w:t>
            </w:r>
          </w:p>
        </w:tc>
      </w:tr>
      <w:tr w:rsidTr="009B50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p>
        </w:tc>
      </w:tr>
      <w:tr w:rsidTr="009B50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r w:rsidRPr="00A73219">
              <w:rPr>
                <w:rStyle w:val="Emphasis"/>
              </w:rPr>
              <w:t xml:space="preserve">Modes of communication may include: </w:t>
            </w:r>
          </w:p>
        </w:tc>
        <w:tc>
          <w:tcPr>
            <w:tcW w:w="5670" w:type="dxa"/>
            <w:tcBorders>
              <w:top w:val="nil"/>
              <w:left w:val="nil"/>
              <w:bottom w:val="nil"/>
              <w:right w:val="nil"/>
            </w:tcBorders>
            <w:tcMar>
              <w:top w:w="0" w:type="dxa"/>
              <w:left w:w="62" w:type="dxa"/>
              <w:bottom w:w="0" w:type="dxa"/>
              <w:right w:w="62" w:type="dxa"/>
            </w:tcMar>
          </w:tcPr>
          <w:p w:rsidR="00000000" w:rsidRPr="00A73219" w:rsidP="00A73219">
            <w:pPr>
              <w:pStyle w:val="ListBullet"/>
            </w:pPr>
            <w:r w:rsidRPr="00A73219">
              <w:t>Direct/indirect</w:t>
            </w:r>
          </w:p>
          <w:p w:rsidR="00000000" w:rsidRPr="00A73219" w:rsidP="00A73219">
            <w:pPr>
              <w:pStyle w:val="ListBullet"/>
            </w:pPr>
            <w:r w:rsidRPr="00A73219">
              <w:t>Formal/informal</w:t>
            </w:r>
          </w:p>
          <w:p w:rsidR="00000000" w:rsidRPr="00A73219" w:rsidP="00A73219">
            <w:pPr>
              <w:pStyle w:val="ListBullet"/>
            </w:pPr>
            <w:r w:rsidRPr="00A73219">
              <w:t>Verbal/non-verbal</w:t>
            </w:r>
          </w:p>
          <w:p w:rsidR="00000000" w:rsidP="00A73219">
            <w:pPr>
              <w:pStyle w:val="ListBullet"/>
              <w:rPr>
                <w:lang w:val="en-NZ"/>
              </w:rPr>
            </w:pPr>
            <w:r w:rsidRPr="00A73219">
              <w:t>Written</w:t>
            </w:r>
          </w:p>
        </w:tc>
      </w:tr>
      <w:tr w:rsidTr="009B50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p>
        </w:tc>
      </w:tr>
      <w:tr w:rsidTr="009B500F">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A73219">
            <w:pPr>
              <w:pStyle w:val="BodyText"/>
              <w:rPr>
                <w:lang w:val="en-NZ"/>
              </w:rPr>
            </w:pPr>
            <w:r w:rsidRPr="00A73219">
              <w:rPr>
                <w:rStyle w:val="Emphasis"/>
              </w:rPr>
              <w:t xml:space="preserve">Relevant information is limited to: </w:t>
            </w:r>
          </w:p>
        </w:tc>
        <w:tc>
          <w:tcPr>
            <w:tcW w:w="5670" w:type="dxa"/>
            <w:tcBorders>
              <w:top w:val="nil"/>
              <w:left w:val="nil"/>
              <w:bottom w:val="nil"/>
              <w:right w:val="nil"/>
            </w:tcBorders>
            <w:tcMar>
              <w:top w:w="0" w:type="dxa"/>
              <w:left w:w="62" w:type="dxa"/>
              <w:bottom w:w="0" w:type="dxa"/>
              <w:right w:w="62" w:type="dxa"/>
            </w:tcMar>
          </w:tcPr>
          <w:p w:rsidR="00000000" w:rsidRPr="00A73219" w:rsidP="00A73219">
            <w:pPr>
              <w:pStyle w:val="ListBullet"/>
            </w:pPr>
            <w:r w:rsidRPr="00A73219">
              <w:t>CMI</w:t>
            </w:r>
          </w:p>
          <w:p w:rsidR="00000000" w:rsidRPr="00A73219" w:rsidP="00A73219">
            <w:pPr>
              <w:pStyle w:val="ListBullet"/>
            </w:pPr>
            <w:r w:rsidRPr="00A73219">
              <w:t>Confirmation of appointment date and time</w:t>
            </w:r>
          </w:p>
          <w:p w:rsidR="00000000" w:rsidRPr="00A73219" w:rsidP="00A73219">
            <w:pPr>
              <w:pStyle w:val="ListBullet"/>
            </w:pPr>
            <w:r w:rsidRPr="00A73219">
              <w:t>Information about the use of respiratory devices</w:t>
            </w:r>
          </w:p>
          <w:p w:rsidR="00000000" w:rsidRPr="00A73219" w:rsidP="00A73219">
            <w:pPr>
              <w:pStyle w:val="ListBullet"/>
            </w:pPr>
            <w:r w:rsidRPr="00A73219">
              <w:t>Information about the use of Dose Administration Aids</w:t>
            </w:r>
          </w:p>
          <w:p w:rsidR="00000000" w:rsidRPr="00A73219" w:rsidP="00A73219">
            <w:pPr>
              <w:pStyle w:val="ListBullet"/>
            </w:pPr>
            <w:r w:rsidRPr="00A73219">
              <w:t>Standardised (workplace approved) information for clients</w:t>
            </w:r>
          </w:p>
        </w:tc>
      </w:tr>
    </w:tbl>
    <w:p w:rsidR="00000000" w:rsidRPr="00A73219" w:rsidP="00A73219">
      <w:pPr>
        <w:pStyle w:val="BodyText"/>
      </w:pPr>
    </w:p>
    <w:p w:rsidR="00000000" w:rsidRPr="00A73219" w:rsidP="00A73219">
      <w:pPr>
        <w:pStyle w:val="AllowPageBreak"/>
      </w:pPr>
    </w:p>
    <w:p w:rsidR="00000000" w:rsidRPr="00A73219" w:rsidP="00A73219">
      <w:pPr>
        <w:pStyle w:val="Heading1"/>
      </w:pPr>
      <w:bookmarkStart w:id="12" w:name="O_438766"/>
      <w:bookmarkEnd w:id="12"/>
      <w:r w:rsidRPr="00A73219">
        <w:t>Unit Sector(s)</w:t>
      </w:r>
    </w:p>
    <w:p w:rsidR="00000000" w:rsidRPr="00A73219" w:rsidP="00A73219">
      <w:pPr>
        <w:pStyle w:val="BodyText"/>
      </w:pPr>
      <w:r w:rsidRPr="00A73219">
        <w:t>Not applicable.</w:t>
      </w:r>
    </w:p>
    <w:p w:rsidR="00000000" w:rsidRPr="00A73219" w:rsidP="00A73219">
      <w:pPr>
        <w:pStyle w:val="AllowPageBreak"/>
      </w:pPr>
    </w:p>
    <w:p w:rsidR="00000000" w:rsidRPr="00A73219" w:rsidP="00A73219">
      <w:pPr>
        <w:pStyle w:val="Heading1"/>
      </w:pPr>
      <w:bookmarkStart w:id="13" w:name="O_438767"/>
      <w:bookmarkEnd w:id="13"/>
      <w:r w:rsidRPr="00A73219">
        <w:t>Custom Content Section</w:t>
      </w:r>
    </w:p>
    <w:p w:rsidR="00000000" w:rsidRPr="00A73219" w:rsidP="00A73219">
      <w:pPr>
        <w:pStyle w:val="BodyText"/>
      </w:pPr>
      <w:r w:rsidRPr="00A73219">
        <w:t>Not applicable.</w:t>
      </w:r>
    </w:p>
    <w:p w:rsidR="00000000" w:rsidRPr="00A73219" w:rsidP="00A73219"/>
    <w:sectPr w:rsidSect="00A732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500F" w:rsidP="009B50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0F" w:rsidP="00A7321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B500F" w:rsidP="00A732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B500F" w:rsidP="00A732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19" w:rsidRPr="009B500F" w:rsidP="009B50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00F" w:rsidRPr="002D2AF8" w:rsidP="00A73219">
    <w:pPr>
      <w:pStyle w:val="Header"/>
      <w:framePr w:wrap="around"/>
    </w:pPr>
    <w:r>
      <w:fldChar w:fldCharType="begin"/>
    </w:r>
    <w:r>
      <w:instrText xml:space="preserve"> TITLE   \* MERGEFORMAT </w:instrText>
    </w:r>
    <w:r>
      <w:fldChar w:fldCharType="separate"/>
    </w:r>
    <w:r>
      <w:t>HLTPH418A Support pharmacists by collecting information for clients and other health professionals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B500F" w:rsidP="00A732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30E1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B3D2F3A4"/>
    <w:lvl w:ilvl="0">
      <w:start w:val="1"/>
      <w:numFmt w:val="decimal"/>
      <w:pStyle w:val="ListNumber"/>
      <w:lvlText w:val="%1."/>
      <w:lvlJc w:val="left"/>
      <w:pPr>
        <w:tabs>
          <w:tab w:val="num" w:pos="360"/>
        </w:tabs>
        <w:ind w:left="360" w:hanging="360"/>
      </w:pPr>
    </w:lvl>
  </w:abstractNum>
  <w:abstractNum w:abstractNumId="8">
    <w:nsid w:val="FFFFFF89"/>
    <w:multiLevelType w:val="singleLevel"/>
    <w:tmpl w:val="C69613E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FFFFFFFE"/>
    <w:multiLevelType w:val="singleLevel"/>
    <w:tmpl w:val="32C29EA6"/>
    <w:lvl w:ilvl="0">
      <w:start w:val="0"/>
      <w:numFmt w:val="bullet"/>
      <w:lvlText w:val="*"/>
      <w:lvlJc w:val="left"/>
    </w:lvl>
  </w:abstractNum>
  <w:abstractNum w:abstractNumId="10">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2">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4">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5">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8"/>
  </w:num>
  <w:num w:numId="2">
    <w:abstractNumId w:val="6"/>
  </w:num>
  <w:num w:numId="3">
    <w:abstractNumId w:val="7"/>
  </w:num>
  <w:num w:numId="4">
    <w:abstractNumId w:val="5"/>
  </w:num>
  <w:num w:numId="5">
    <w:abstractNumId w:val="4"/>
  </w:num>
  <w:num w:numId="6">
    <w:abstractNumId w:val="3"/>
  </w:num>
  <w:num w:numId="7">
    <w:abstractNumId w:val="2"/>
  </w:num>
  <w:num w:numId="8">
    <w:abstractNumId w:val="1"/>
  </w:num>
  <w:num w:numId="9">
    <w:abstractNumId w:val="0"/>
  </w:num>
  <w:num w:numId="10">
    <w:abstractNumId w:val="15"/>
  </w:num>
  <w:num w:numId="11">
    <w:abstractNumId w:val="12"/>
  </w:num>
  <w:num w:numId="12">
    <w:abstractNumId w:val="16"/>
  </w:num>
  <w:num w:numId="13">
    <w:abstractNumId w:val="14"/>
  </w:num>
  <w:num w:numId="14">
    <w:abstractNumId w:val="10"/>
  </w:num>
  <w:num w:numId="15">
    <w:abstractNumId w:val="13"/>
  </w:num>
  <w:num w:numId="16">
    <w:abstractNumId w:val="11"/>
  </w:num>
  <w:num w:numId="17">
    <w:abstractNumId w:val="5"/>
  </w:num>
  <w:num w:numId="18">
    <w:abstractNumId w:val="9"/>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32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3219"/>
    <w:pPr>
      <w:spacing w:before="360" w:after="60"/>
      <w:outlineLvl w:val="0"/>
    </w:pPr>
    <w:rPr>
      <w:sz w:val="32"/>
    </w:rPr>
  </w:style>
  <w:style w:type="paragraph" w:styleId="Heading2">
    <w:name w:val="heading 2"/>
    <w:basedOn w:val="HeadingBase"/>
    <w:next w:val="BodyText"/>
    <w:link w:val="Heading2Char"/>
    <w:qFormat/>
    <w:rsid w:val="00A73219"/>
    <w:pPr>
      <w:keepLines/>
      <w:spacing w:before="240" w:after="120"/>
      <w:outlineLvl w:val="1"/>
    </w:pPr>
    <w:rPr>
      <w:sz w:val="28"/>
      <w:szCs w:val="40"/>
    </w:rPr>
  </w:style>
  <w:style w:type="paragraph" w:styleId="Heading3">
    <w:name w:val="heading 3"/>
    <w:basedOn w:val="HeadingBase"/>
    <w:next w:val="BodyText"/>
    <w:link w:val="Heading3Char"/>
    <w:qFormat/>
    <w:rsid w:val="00A73219"/>
    <w:pPr>
      <w:spacing w:before="180" w:after="120"/>
      <w:outlineLvl w:val="2"/>
    </w:pPr>
    <w:rPr>
      <w:spacing w:val="-10"/>
      <w:kern w:val="32"/>
    </w:rPr>
  </w:style>
  <w:style w:type="paragraph" w:styleId="Heading4">
    <w:name w:val="heading 4"/>
    <w:basedOn w:val="HeadingBase"/>
    <w:next w:val="BodyText"/>
    <w:link w:val="Heading4Char"/>
    <w:qFormat/>
    <w:rsid w:val="00A73219"/>
    <w:pPr>
      <w:spacing w:before="160" w:after="120"/>
      <w:outlineLvl w:val="3"/>
    </w:pPr>
    <w:rPr>
      <w:sz w:val="22"/>
    </w:rPr>
  </w:style>
  <w:style w:type="paragraph" w:styleId="Heading5">
    <w:name w:val="heading 5"/>
    <w:basedOn w:val="HeadingBase"/>
    <w:next w:val="Normal"/>
    <w:link w:val="Heading5Char"/>
    <w:qFormat/>
    <w:rsid w:val="00A73219"/>
    <w:pPr>
      <w:spacing w:before="80"/>
      <w:outlineLvl w:val="4"/>
    </w:pPr>
    <w:rPr>
      <w:color w:val="918585"/>
      <w:sz w:val="20"/>
    </w:rPr>
  </w:style>
  <w:style w:type="paragraph" w:styleId="Heading6">
    <w:name w:val="heading 6"/>
    <w:basedOn w:val="HeadingBase"/>
    <w:next w:val="Normal"/>
    <w:link w:val="Heading6Char"/>
    <w:qFormat/>
    <w:rsid w:val="00A73219"/>
    <w:pPr>
      <w:spacing w:before="60"/>
      <w:outlineLvl w:val="5"/>
    </w:pPr>
    <w:rPr>
      <w:color w:val="918585"/>
      <w:sz w:val="20"/>
    </w:rPr>
  </w:style>
  <w:style w:type="paragraph" w:styleId="Heading7">
    <w:name w:val="heading 7"/>
    <w:basedOn w:val="Normal"/>
    <w:next w:val="Normal"/>
    <w:link w:val="Heading7Char"/>
    <w:qFormat/>
    <w:rsid w:val="00A73219"/>
    <w:pPr>
      <w:ind w:left="720"/>
      <w:outlineLvl w:val="6"/>
    </w:pPr>
    <w:rPr>
      <w:i/>
    </w:rPr>
  </w:style>
  <w:style w:type="paragraph" w:styleId="Heading8">
    <w:name w:val="heading 8"/>
    <w:basedOn w:val="Normal"/>
    <w:next w:val="Normal"/>
    <w:link w:val="Heading8Char"/>
    <w:qFormat/>
    <w:rsid w:val="00A73219"/>
    <w:pPr>
      <w:ind w:left="720"/>
      <w:outlineLvl w:val="7"/>
    </w:pPr>
    <w:rPr>
      <w:i/>
    </w:rPr>
  </w:style>
  <w:style w:type="paragraph" w:styleId="Heading9">
    <w:name w:val="heading 9"/>
    <w:basedOn w:val="Normal"/>
    <w:next w:val="Normal"/>
    <w:link w:val="Heading9Char"/>
    <w:qFormat/>
    <w:rsid w:val="00A73219"/>
    <w:pPr>
      <w:ind w:left="720"/>
      <w:outlineLvl w:val="8"/>
    </w:pPr>
    <w:rPr>
      <w:i/>
    </w:rPr>
  </w:style>
  <w:style w:type="character" w:default="1" w:styleId="DefaultParagraphFont">
    <w:name w:val="Default Paragraph Font"/>
    <w:uiPriority w:val="1"/>
    <w:unhideWhenUsed/>
    <w:rsid w:val="00A732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219"/>
  </w:style>
  <w:style w:type="character" w:customStyle="1" w:styleId="Heading1Char">
    <w:name w:val="Heading 1 Char"/>
    <w:basedOn w:val="DefaultParagraphFont"/>
    <w:link w:val="Heading1"/>
    <w:rsid w:val="00A73219"/>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A73219"/>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A732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3219"/>
    <w:rPr>
      <w:rFonts w:ascii="Times New Roman" w:eastAsia="Times New Roman" w:hAnsi="Times New Roman" w:cs="Times New Roman"/>
      <w:sz w:val="24"/>
      <w:lang w:eastAsia="en-US"/>
    </w:rPr>
  </w:style>
  <w:style w:type="paragraph" w:styleId="Footer">
    <w:name w:val="footer"/>
    <w:basedOn w:val="Normal"/>
    <w:link w:val="FooterChar"/>
    <w:rsid w:val="00A732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3219"/>
    <w:rPr>
      <w:rFonts w:ascii="Times New Roman" w:eastAsia="Times New Roman" w:hAnsi="Times New Roman" w:cs="Times New Roman"/>
      <w:sz w:val="16"/>
      <w:lang w:eastAsia="en-US"/>
    </w:rPr>
  </w:style>
  <w:style w:type="paragraph" w:styleId="ListBullet">
    <w:name w:val="List Bullet"/>
    <w:basedOn w:val="List"/>
    <w:rsid w:val="00A73219"/>
    <w:pPr>
      <w:numPr>
        <w:numId w:val="15"/>
      </w:numPr>
      <w:tabs>
        <w:tab w:val="clear" w:pos="340"/>
      </w:tabs>
      <w:spacing w:before="40" w:after="40"/>
    </w:pPr>
  </w:style>
  <w:style w:type="character" w:customStyle="1" w:styleId="SpecialBold">
    <w:name w:val="Special Bold"/>
    <w:basedOn w:val="DefaultParagraphFont"/>
    <w:rsid w:val="00A73219"/>
    <w:rPr>
      <w:b/>
      <w:spacing w:val="0"/>
    </w:rPr>
  </w:style>
  <w:style w:type="paragraph" w:styleId="ListBullet2">
    <w:name w:val="List Bullet 2"/>
    <w:basedOn w:val="List2"/>
    <w:rsid w:val="00A73219"/>
    <w:pPr>
      <w:numPr>
        <w:numId w:val="16"/>
      </w:numPr>
      <w:tabs>
        <w:tab w:val="clear" w:pos="680"/>
      </w:tabs>
    </w:pPr>
  </w:style>
  <w:style w:type="character" w:styleId="Emphasis">
    <w:name w:val="Emphasis"/>
    <w:basedOn w:val="DefaultParagraphFont"/>
    <w:qFormat/>
    <w:rsid w:val="00A73219"/>
    <w:rPr>
      <w:i/>
    </w:rPr>
  </w:style>
  <w:style w:type="paragraph" w:customStyle="1" w:styleId="SuperHeading">
    <w:name w:val="SuperHeading"/>
    <w:basedOn w:val="Normal"/>
    <w:rsid w:val="00A73219"/>
    <w:pPr>
      <w:spacing w:before="240" w:after="120"/>
      <w:outlineLvl w:val="0"/>
    </w:pPr>
    <w:rPr>
      <w:rFonts w:ascii="Times New Roman" w:hAnsi="Times New Roman"/>
      <w:b/>
      <w:sz w:val="28"/>
    </w:rPr>
  </w:style>
  <w:style w:type="paragraph" w:styleId="ListNumber">
    <w:name w:val="List Number"/>
    <w:basedOn w:val="List"/>
    <w:rsid w:val="00A73219"/>
    <w:pPr>
      <w:numPr>
        <w:numId w:val="13"/>
      </w:numPr>
    </w:pPr>
  </w:style>
  <w:style w:type="paragraph" w:customStyle="1" w:styleId="AllowPageBreak">
    <w:name w:val="AllowPageBreak"/>
    <w:rsid w:val="00A7321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73219"/>
    <w:pPr>
      <w:numPr>
        <w:numId w:val="4"/>
      </w:numPr>
      <w:tabs>
        <w:tab w:val="clear" w:pos="1021"/>
      </w:tabs>
      <w:ind w:left="1037" w:hanging="357"/>
    </w:pPr>
  </w:style>
  <w:style w:type="character" w:customStyle="1" w:styleId="Heading2Char">
    <w:name w:val="Heading 2 Char"/>
    <w:basedOn w:val="DefaultParagraphFont"/>
    <w:link w:val="Heading2"/>
    <w:rsid w:val="00A73219"/>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A732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32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32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32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32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3219"/>
    <w:rPr>
      <w:rFonts w:ascii="Courier New" w:eastAsia="Times New Roman" w:hAnsi="Courier New" w:cs="Times New Roman"/>
      <w:i/>
      <w:szCs w:val="20"/>
      <w:lang w:eastAsia="en-US"/>
    </w:rPr>
  </w:style>
  <w:style w:type="paragraph" w:customStyle="1" w:styleId="HeadingBase">
    <w:name w:val="Heading Base"/>
    <w:rsid w:val="00A732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3219"/>
    <w:pPr>
      <w:tabs>
        <w:tab w:val="right" w:leader="dot" w:pos="9072"/>
      </w:tabs>
      <w:ind w:left="567"/>
    </w:pPr>
    <w:rPr>
      <w:szCs w:val="22"/>
    </w:rPr>
  </w:style>
  <w:style w:type="paragraph" w:customStyle="1" w:styleId="TOCBase">
    <w:name w:val="TOC Base"/>
    <w:rsid w:val="00A732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3219"/>
    <w:pPr>
      <w:tabs>
        <w:tab w:val="right" w:leader="dot" w:pos="9072"/>
      </w:tabs>
      <w:spacing w:before="40" w:after="40"/>
      <w:ind w:left="284"/>
    </w:pPr>
    <w:rPr>
      <w:rFonts w:ascii="Times New Roman" w:hAnsi="Times New Roman"/>
    </w:rPr>
  </w:style>
  <w:style w:type="paragraph" w:styleId="TOC1">
    <w:name w:val="toc 1"/>
    <w:basedOn w:val="TOCBase"/>
    <w:next w:val="Normal"/>
    <w:rsid w:val="00A732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3219"/>
    <w:pPr>
      <w:spacing w:before="5040"/>
      <w:jc w:val="center"/>
    </w:pPr>
    <w:rPr>
      <w:sz w:val="48"/>
      <w:szCs w:val="72"/>
      <w:lang w:val="en-US"/>
    </w:rPr>
  </w:style>
  <w:style w:type="character" w:customStyle="1" w:styleId="TitleChar">
    <w:name w:val="Title Char"/>
    <w:basedOn w:val="DefaultParagraphFont"/>
    <w:link w:val="Title"/>
    <w:rsid w:val="00A732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3219"/>
    <w:pPr>
      <w:tabs>
        <w:tab w:val="left" w:pos="3600"/>
        <w:tab w:val="left" w:pos="3958"/>
      </w:tabs>
    </w:pPr>
  </w:style>
  <w:style w:type="paragraph" w:styleId="List">
    <w:name w:val="List"/>
    <w:basedOn w:val="BodyText"/>
    <w:next w:val="BodyText"/>
    <w:rsid w:val="00A73219"/>
    <w:pPr>
      <w:tabs>
        <w:tab w:val="left" w:pos="340"/>
      </w:tabs>
      <w:spacing w:before="60" w:after="60"/>
      <w:ind w:left="340" w:hanging="340"/>
    </w:pPr>
  </w:style>
  <w:style w:type="paragraph" w:customStyle="1" w:styleId="Note">
    <w:name w:val="Note"/>
    <w:basedOn w:val="BodyText"/>
    <w:rsid w:val="00A732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3219"/>
    <w:pPr>
      <w:framePr w:wrap="auto" w:hAnchor="text" w:y="6049"/>
    </w:pPr>
    <w:rPr>
      <w:color w:val="000000"/>
      <w:sz w:val="40"/>
    </w:rPr>
  </w:style>
  <w:style w:type="paragraph" w:customStyle="1" w:styleId="TOCTitle">
    <w:name w:val="TOCTitle"/>
    <w:basedOn w:val="Heading1"/>
    <w:rsid w:val="00A73219"/>
    <w:pPr>
      <w:spacing w:after="240"/>
      <w:jc w:val="center"/>
      <w:outlineLvl w:val="9"/>
    </w:pPr>
    <w:rPr>
      <w:caps/>
    </w:rPr>
  </w:style>
  <w:style w:type="paragraph" w:customStyle="1" w:styleId="Version">
    <w:name w:val="Version"/>
    <w:rsid w:val="00A732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3219"/>
    <w:pPr>
      <w:keepNext w:val="0"/>
      <w:tabs>
        <w:tab w:val="right" w:pos="4176"/>
      </w:tabs>
      <w:ind w:left="198" w:hanging="198"/>
    </w:pPr>
    <w:rPr>
      <w:rFonts w:ascii="Garamond" w:hAnsi="Garamond"/>
    </w:rPr>
  </w:style>
  <w:style w:type="paragraph" w:styleId="IndexHeading">
    <w:name w:val="index heading"/>
    <w:basedOn w:val="Normal"/>
    <w:next w:val="Index1"/>
    <w:semiHidden/>
    <w:rsid w:val="00A73219"/>
    <w:pPr>
      <w:spacing w:before="120" w:after="120"/>
    </w:pPr>
    <w:rPr>
      <w:rFonts w:ascii="Arial" w:hAnsi="Arial"/>
      <w:b/>
      <w:color w:val="918585"/>
      <w:sz w:val="24"/>
    </w:rPr>
  </w:style>
  <w:style w:type="paragraph" w:styleId="Header">
    <w:name w:val="header"/>
    <w:basedOn w:val="Normal"/>
    <w:link w:val="HeaderChar"/>
    <w:rsid w:val="00A732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3219"/>
    <w:rPr>
      <w:rFonts w:ascii="Times New Roman" w:eastAsia="Times New Roman" w:hAnsi="Times New Roman" w:cs="Times New Roman"/>
      <w:sz w:val="16"/>
      <w:szCs w:val="20"/>
      <w:lang w:val="en-GB" w:eastAsia="en-US"/>
    </w:rPr>
  </w:style>
  <w:style w:type="paragraph" w:customStyle="1" w:styleId="Chapter">
    <w:name w:val="Chapter"/>
    <w:basedOn w:val="Normal"/>
    <w:rsid w:val="00A73219"/>
    <w:pPr>
      <w:spacing w:before="240"/>
    </w:pPr>
    <w:rPr>
      <w:rFonts w:ascii="Times New Roman" w:hAnsi="Times New Roman"/>
      <w:smallCaps/>
      <w:spacing w:val="80"/>
      <w:sz w:val="28"/>
    </w:rPr>
  </w:style>
  <w:style w:type="paragraph" w:customStyle="1" w:styleId="InChapter">
    <w:name w:val="InChapter"/>
    <w:basedOn w:val="Heading3"/>
    <w:rsid w:val="00A73219"/>
    <w:pPr>
      <w:spacing w:after="240"/>
      <w:outlineLvl w:val="9"/>
    </w:pPr>
    <w:rPr>
      <w:noProof/>
    </w:rPr>
  </w:style>
  <w:style w:type="paragraph" w:styleId="Index2">
    <w:name w:val="index 2"/>
    <w:basedOn w:val="Normal"/>
    <w:next w:val="Normal"/>
    <w:semiHidden/>
    <w:rsid w:val="00A73219"/>
    <w:pPr>
      <w:tabs>
        <w:tab w:val="right" w:pos="4176"/>
      </w:tabs>
      <w:ind w:left="568" w:hanging="284"/>
    </w:pPr>
    <w:rPr>
      <w:rFonts w:ascii="Garamond" w:hAnsi="Garamond"/>
    </w:rPr>
  </w:style>
  <w:style w:type="paragraph" w:customStyle="1" w:styleId="Byline">
    <w:name w:val="Byline"/>
    <w:rsid w:val="00A732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3219"/>
    <w:pPr>
      <w:tabs>
        <w:tab w:val="clear" w:pos="3600"/>
        <w:tab w:val="clear" w:pos="3958"/>
      </w:tabs>
      <w:jc w:val="right"/>
    </w:pPr>
  </w:style>
  <w:style w:type="paragraph" w:styleId="Caption">
    <w:name w:val="caption"/>
    <w:basedOn w:val="BodyText"/>
    <w:next w:val="Normal"/>
    <w:qFormat/>
    <w:rsid w:val="00A73219"/>
    <w:pPr>
      <w:framePr w:w="2268" w:hSpace="181" w:vSpace="181" w:wrap="around" w:vAnchor="text" w:hAnchor="page" w:x="1135" w:y="285" w:anchorLock="1"/>
    </w:pPr>
    <w:rPr>
      <w:i/>
    </w:rPr>
  </w:style>
  <w:style w:type="paragraph" w:customStyle="1" w:styleId="MiniTOCTitle">
    <w:name w:val="MiniTOCTitle"/>
    <w:basedOn w:val="Heading4"/>
    <w:rsid w:val="00A73219"/>
    <w:pPr>
      <w:spacing w:before="240"/>
      <w:outlineLvl w:val="9"/>
    </w:pPr>
    <w:rPr>
      <w:noProof/>
      <w:sz w:val="24"/>
    </w:rPr>
  </w:style>
  <w:style w:type="paragraph" w:customStyle="1" w:styleId="MiniTOCItem">
    <w:name w:val="MiniTOCItem"/>
    <w:basedOn w:val="ListBullet"/>
    <w:rsid w:val="00A73219"/>
    <w:pPr>
      <w:numPr>
        <w:numId w:val="0"/>
      </w:numPr>
      <w:tabs>
        <w:tab w:val="right" w:leader="dot" w:pos="6521"/>
      </w:tabs>
      <w:spacing w:before="0" w:after="0"/>
    </w:pPr>
  </w:style>
  <w:style w:type="paragraph" w:customStyle="1" w:styleId="TOFTitle">
    <w:name w:val="TOFTitle"/>
    <w:basedOn w:val="TOCTitle"/>
    <w:rsid w:val="00A73219"/>
  </w:style>
  <w:style w:type="paragraph" w:styleId="TableofFigures">
    <w:name w:val="table of figures"/>
    <w:basedOn w:val="Normal"/>
    <w:next w:val="Normal"/>
    <w:semiHidden/>
    <w:rsid w:val="00A73219"/>
    <w:pPr>
      <w:tabs>
        <w:tab w:val="right" w:leader="dot" w:pos="9072"/>
      </w:tabs>
      <w:ind w:left="970" w:hanging="403"/>
    </w:pPr>
    <w:rPr>
      <w:rFonts w:ascii="Times New Roman" w:hAnsi="Times New Roman"/>
      <w:b/>
    </w:rPr>
  </w:style>
  <w:style w:type="character" w:customStyle="1" w:styleId="WingdingSymbols">
    <w:name w:val="Wingding Symbols"/>
    <w:rsid w:val="00A73219"/>
    <w:rPr>
      <w:rFonts w:ascii="Wingdings" w:hAnsi="Wingdings"/>
    </w:rPr>
  </w:style>
  <w:style w:type="paragraph" w:customStyle="1" w:styleId="TableHeading">
    <w:name w:val="Table Heading"/>
    <w:basedOn w:val="HeadingBase"/>
    <w:rsid w:val="00A73219"/>
    <w:pPr>
      <w:keepLines/>
      <w:pBdr>
        <w:bottom w:val="single" w:sz="6" w:space="1" w:color="918585"/>
      </w:pBdr>
      <w:spacing w:before="240"/>
    </w:pPr>
  </w:style>
  <w:style w:type="character" w:customStyle="1" w:styleId="HotSpot">
    <w:name w:val="HotSpot"/>
    <w:rsid w:val="00A73219"/>
    <w:rPr>
      <w:color w:val="0033CC"/>
      <w:u w:val="none"/>
    </w:rPr>
  </w:style>
  <w:style w:type="paragraph" w:customStyle="1" w:styleId="BodyTextRight">
    <w:name w:val="Body Text Right"/>
    <w:basedOn w:val="BodyText"/>
    <w:rsid w:val="00A73219"/>
    <w:pPr>
      <w:spacing w:before="0" w:after="0"/>
      <w:jc w:val="right"/>
    </w:pPr>
  </w:style>
  <w:style w:type="paragraph" w:styleId="Index3">
    <w:name w:val="index 3"/>
    <w:basedOn w:val="ListNumber2"/>
    <w:next w:val="Normal"/>
    <w:semiHidden/>
    <w:rsid w:val="00A73219"/>
    <w:pPr>
      <w:numPr>
        <w:numId w:val="0"/>
      </w:numPr>
      <w:tabs>
        <w:tab w:val="right" w:leader="dot" w:pos="4176"/>
      </w:tabs>
    </w:pPr>
  </w:style>
  <w:style w:type="paragraph" w:styleId="ListNumber2">
    <w:name w:val="List Number 2"/>
    <w:basedOn w:val="List2"/>
    <w:rsid w:val="00A73219"/>
    <w:pPr>
      <w:numPr>
        <w:numId w:val="12"/>
      </w:numPr>
      <w:tabs>
        <w:tab w:val="clear" w:pos="1060"/>
      </w:tabs>
    </w:pPr>
  </w:style>
  <w:style w:type="paragraph" w:customStyle="1" w:styleId="MarginNote">
    <w:name w:val="Margin Note"/>
    <w:basedOn w:val="BodyText"/>
    <w:rsid w:val="00A732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32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32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3219"/>
    <w:rPr>
      <w:sz w:val="32"/>
    </w:rPr>
  </w:style>
  <w:style w:type="paragraph" w:customStyle="1" w:styleId="HeadingProcedure">
    <w:name w:val="Heading Procedure"/>
    <w:basedOn w:val="HeadingBase"/>
    <w:next w:val="Normal"/>
    <w:rsid w:val="00A73219"/>
    <w:pPr>
      <w:tabs>
        <w:tab w:val="left" w:pos="0"/>
      </w:tabs>
      <w:spacing w:before="120" w:after="60"/>
    </w:pPr>
    <w:rPr>
      <w:i/>
      <w:color w:val="918585"/>
      <w:sz w:val="22"/>
    </w:rPr>
  </w:style>
  <w:style w:type="paragraph" w:customStyle="1" w:styleId="TableBodyText">
    <w:name w:val="Table Body Text"/>
    <w:basedOn w:val="BodyText"/>
    <w:rsid w:val="00A73219"/>
    <w:pPr>
      <w:spacing w:before="60" w:after="60"/>
    </w:pPr>
  </w:style>
  <w:style w:type="paragraph" w:styleId="ListContinue">
    <w:name w:val="List Continue"/>
    <w:basedOn w:val="List"/>
    <w:rsid w:val="00A73219"/>
    <w:pPr>
      <w:ind w:firstLine="0"/>
    </w:pPr>
  </w:style>
  <w:style w:type="paragraph" w:customStyle="1" w:styleId="ListNote">
    <w:name w:val="List Note"/>
    <w:basedOn w:val="List"/>
    <w:rsid w:val="00A73219"/>
    <w:pPr>
      <w:pBdr>
        <w:top w:val="single" w:sz="6" w:space="2" w:color="918585"/>
        <w:bottom w:val="single" w:sz="6" w:space="2" w:color="918585"/>
      </w:pBdr>
      <w:tabs>
        <w:tab w:val="left" w:pos="1021"/>
      </w:tabs>
      <w:ind w:firstLine="0"/>
    </w:pPr>
  </w:style>
  <w:style w:type="paragraph" w:customStyle="1" w:styleId="Warning">
    <w:name w:val="Warning"/>
    <w:basedOn w:val="BodyText"/>
    <w:rsid w:val="00A73219"/>
    <w:pPr>
      <w:shd w:val="clear" w:color="auto" w:fill="D9D9D9"/>
      <w:tabs>
        <w:tab w:val="left" w:pos="992"/>
      </w:tabs>
      <w:ind w:left="119" w:right="119"/>
    </w:pPr>
    <w:rPr>
      <w:sz w:val="20"/>
    </w:rPr>
  </w:style>
  <w:style w:type="paragraph" w:customStyle="1" w:styleId="MarginIcons">
    <w:name w:val="Margin Icons"/>
    <w:basedOn w:val="BodyText"/>
    <w:rsid w:val="00A732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3219"/>
    <w:rPr>
      <w:rFonts w:ascii="Courier New" w:hAnsi="Courier New"/>
    </w:rPr>
  </w:style>
  <w:style w:type="paragraph" w:customStyle="1" w:styleId="NoteBullet">
    <w:name w:val="Note Bullet"/>
    <w:basedOn w:val="Note"/>
    <w:rsid w:val="00A73219"/>
    <w:pPr>
      <w:tabs>
        <w:tab w:val="clear" w:pos="680"/>
      </w:tabs>
      <w:spacing w:before="60" w:after="60"/>
    </w:pPr>
  </w:style>
  <w:style w:type="paragraph" w:customStyle="1" w:styleId="SubHeading2">
    <w:name w:val="SubHeading2"/>
    <w:basedOn w:val="HeadingBase"/>
    <w:rsid w:val="00A73219"/>
    <w:pPr>
      <w:spacing w:before="240" w:after="60"/>
    </w:pPr>
    <w:rPr>
      <w:sz w:val="20"/>
    </w:rPr>
  </w:style>
  <w:style w:type="paragraph" w:customStyle="1" w:styleId="SubHeading1">
    <w:name w:val="SubHeading1"/>
    <w:basedOn w:val="HeadingBase"/>
    <w:rsid w:val="00A73219"/>
    <w:pPr>
      <w:spacing w:before="240" w:after="60"/>
    </w:pPr>
    <w:rPr>
      <w:color w:val="918585"/>
      <w:sz w:val="22"/>
    </w:rPr>
  </w:style>
  <w:style w:type="paragraph" w:customStyle="1" w:styleId="SideHeading">
    <w:name w:val="Side Heading"/>
    <w:basedOn w:val="HeadingBase"/>
    <w:rsid w:val="00A732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3219"/>
    <w:pPr>
      <w:numPr>
        <w:numId w:val="14"/>
      </w:numPr>
    </w:pPr>
  </w:style>
  <w:style w:type="paragraph" w:styleId="PlainText">
    <w:name w:val="Plain Text"/>
    <w:basedOn w:val="Normal"/>
    <w:link w:val="PlainTextChar"/>
    <w:rsid w:val="00A73219"/>
    <w:rPr>
      <w:sz w:val="20"/>
    </w:rPr>
  </w:style>
  <w:style w:type="character" w:customStyle="1" w:styleId="PlainTextChar">
    <w:name w:val="Plain Text Char"/>
    <w:basedOn w:val="DefaultParagraphFont"/>
    <w:link w:val="PlainText"/>
    <w:rsid w:val="00A73219"/>
    <w:rPr>
      <w:rFonts w:ascii="Courier New" w:eastAsia="Times New Roman" w:hAnsi="Courier New" w:cs="Times New Roman"/>
      <w:sz w:val="20"/>
      <w:szCs w:val="20"/>
      <w:lang w:eastAsia="en-US"/>
    </w:rPr>
  </w:style>
  <w:style w:type="character" w:customStyle="1" w:styleId="MenuOption">
    <w:name w:val="Menu Option"/>
    <w:basedOn w:val="DefaultParagraphFont"/>
    <w:rsid w:val="00A73219"/>
    <w:rPr>
      <w:b/>
      <w:smallCaps/>
    </w:rPr>
  </w:style>
  <w:style w:type="paragraph" w:customStyle="1" w:styleId="TableListNumber">
    <w:name w:val="Table List Number"/>
    <w:basedOn w:val="ListNumber"/>
    <w:rsid w:val="00A73219"/>
    <w:pPr>
      <w:numPr>
        <w:numId w:val="0"/>
      </w:numPr>
    </w:pPr>
  </w:style>
  <w:style w:type="paragraph" w:styleId="TOC4">
    <w:name w:val="toc 4"/>
    <w:basedOn w:val="TOCBase"/>
    <w:next w:val="Normal"/>
    <w:semiHidden/>
    <w:rsid w:val="00A73219"/>
    <w:pPr>
      <w:tabs>
        <w:tab w:val="right" w:leader="dot" w:pos="9071"/>
      </w:tabs>
      <w:ind w:left="1701"/>
    </w:pPr>
  </w:style>
  <w:style w:type="paragraph" w:customStyle="1" w:styleId="ListAlpha">
    <w:name w:val="List Alpha"/>
    <w:basedOn w:val="List"/>
    <w:rsid w:val="00A73219"/>
    <w:pPr>
      <w:numPr>
        <w:numId w:val="11"/>
      </w:numPr>
    </w:pPr>
  </w:style>
  <w:style w:type="paragraph" w:customStyle="1" w:styleId="ListAlpha2">
    <w:name w:val="List Alpha 2"/>
    <w:basedOn w:val="List2"/>
    <w:rsid w:val="00A73219"/>
    <w:pPr>
      <w:numPr>
        <w:numId w:val="10"/>
      </w:numPr>
    </w:pPr>
  </w:style>
  <w:style w:type="paragraph" w:styleId="List2">
    <w:name w:val="List 2"/>
    <w:basedOn w:val="BodyText"/>
    <w:rsid w:val="00A73219"/>
    <w:pPr>
      <w:tabs>
        <w:tab w:val="left" w:pos="680"/>
      </w:tabs>
      <w:spacing w:before="60" w:after="60"/>
      <w:ind w:left="680" w:hanging="340"/>
    </w:pPr>
  </w:style>
  <w:style w:type="paragraph" w:styleId="List3">
    <w:name w:val="List 3"/>
    <w:basedOn w:val="BodyText"/>
    <w:rsid w:val="00A73219"/>
    <w:pPr>
      <w:tabs>
        <w:tab w:val="left" w:pos="1021"/>
      </w:tabs>
      <w:spacing w:before="60" w:after="60"/>
      <w:ind w:left="1020" w:hanging="340"/>
    </w:pPr>
  </w:style>
  <w:style w:type="paragraph" w:styleId="List4">
    <w:name w:val="List 4"/>
    <w:basedOn w:val="BodyText"/>
    <w:rsid w:val="00A73219"/>
    <w:pPr>
      <w:tabs>
        <w:tab w:val="left" w:pos="1361"/>
      </w:tabs>
      <w:spacing w:before="60" w:after="60"/>
      <w:ind w:left="1361" w:hanging="340"/>
    </w:pPr>
  </w:style>
  <w:style w:type="paragraph" w:styleId="List5">
    <w:name w:val="List 5"/>
    <w:basedOn w:val="BodyText"/>
    <w:rsid w:val="00A73219"/>
    <w:pPr>
      <w:tabs>
        <w:tab w:val="left" w:pos="1701"/>
      </w:tabs>
      <w:spacing w:before="60" w:after="60"/>
      <w:ind w:left="1701" w:hanging="340"/>
    </w:pPr>
  </w:style>
  <w:style w:type="paragraph" w:styleId="ListBullet4">
    <w:name w:val="List Bullet 4"/>
    <w:basedOn w:val="List4"/>
    <w:rsid w:val="00A73219"/>
    <w:pPr>
      <w:numPr>
        <w:numId w:val="5"/>
      </w:numPr>
    </w:pPr>
  </w:style>
  <w:style w:type="paragraph" w:styleId="ListBullet5">
    <w:name w:val="List Bullet 5"/>
    <w:basedOn w:val="List5"/>
    <w:rsid w:val="00A73219"/>
    <w:pPr>
      <w:numPr>
        <w:numId w:val="6"/>
      </w:numPr>
    </w:pPr>
  </w:style>
  <w:style w:type="paragraph" w:styleId="ListContinue2">
    <w:name w:val="List Continue 2"/>
    <w:basedOn w:val="List2"/>
    <w:rsid w:val="00A73219"/>
    <w:pPr>
      <w:ind w:firstLine="0"/>
    </w:pPr>
  </w:style>
  <w:style w:type="paragraph" w:styleId="ListContinue3">
    <w:name w:val="List Continue 3"/>
    <w:basedOn w:val="List3"/>
    <w:rsid w:val="00A73219"/>
    <w:pPr>
      <w:ind w:left="1021" w:firstLine="0"/>
    </w:pPr>
  </w:style>
  <w:style w:type="paragraph" w:styleId="ListContinue4">
    <w:name w:val="List Continue 4"/>
    <w:basedOn w:val="List4"/>
    <w:rsid w:val="00A73219"/>
    <w:pPr>
      <w:ind w:firstLine="0"/>
    </w:pPr>
  </w:style>
  <w:style w:type="paragraph" w:styleId="ListContinue5">
    <w:name w:val="List Continue 5"/>
    <w:basedOn w:val="List5"/>
    <w:rsid w:val="00A73219"/>
    <w:pPr>
      <w:ind w:firstLine="0"/>
    </w:pPr>
  </w:style>
  <w:style w:type="paragraph" w:styleId="ListNumber3">
    <w:name w:val="List Number 3"/>
    <w:basedOn w:val="List3"/>
    <w:rsid w:val="00A73219"/>
    <w:pPr>
      <w:numPr>
        <w:numId w:val="7"/>
      </w:numPr>
    </w:pPr>
  </w:style>
  <w:style w:type="paragraph" w:styleId="ListNumber4">
    <w:name w:val="List Number 4"/>
    <w:basedOn w:val="List4"/>
    <w:rsid w:val="00A73219"/>
    <w:pPr>
      <w:numPr>
        <w:numId w:val="8"/>
      </w:numPr>
    </w:pPr>
  </w:style>
  <w:style w:type="paragraph" w:styleId="ListNumber5">
    <w:name w:val="List Number 5"/>
    <w:basedOn w:val="List5"/>
    <w:rsid w:val="00A73219"/>
    <w:pPr>
      <w:numPr>
        <w:numId w:val="9"/>
      </w:numPr>
    </w:pPr>
  </w:style>
  <w:style w:type="paragraph" w:styleId="BlockText">
    <w:name w:val="Block Text"/>
    <w:basedOn w:val="Normal"/>
    <w:rsid w:val="00A73219"/>
    <w:pPr>
      <w:spacing w:after="120"/>
      <w:ind w:left="1440" w:right="1440"/>
    </w:pPr>
  </w:style>
  <w:style w:type="character" w:customStyle="1" w:styleId="Subscript">
    <w:name w:val="Subscript"/>
    <w:basedOn w:val="DefaultParagraphFont"/>
    <w:rsid w:val="00A73219"/>
    <w:rPr>
      <w:sz w:val="16"/>
      <w:vertAlign w:val="subscript"/>
    </w:rPr>
  </w:style>
  <w:style w:type="character" w:customStyle="1" w:styleId="Superscript">
    <w:name w:val="Superscript"/>
    <w:basedOn w:val="DefaultParagraphFont"/>
    <w:rsid w:val="00A73219"/>
    <w:rPr>
      <w:sz w:val="16"/>
      <w:vertAlign w:val="superscript"/>
    </w:rPr>
  </w:style>
  <w:style w:type="character" w:customStyle="1" w:styleId="Symbols">
    <w:name w:val="Symbols"/>
    <w:basedOn w:val="DefaultParagraphFont"/>
    <w:rsid w:val="00A73219"/>
    <w:rPr>
      <w:rFonts w:ascii="Symbol" w:hAnsi="Symbol"/>
    </w:rPr>
  </w:style>
  <w:style w:type="character" w:customStyle="1" w:styleId="MenuOptions">
    <w:name w:val="Menu Options"/>
    <w:basedOn w:val="DefaultParagraphFont"/>
    <w:rsid w:val="00A73219"/>
    <w:rPr>
      <w:rFonts w:ascii="Arial Narrow" w:hAnsi="Arial Narrow"/>
      <w:smallCaps/>
    </w:rPr>
  </w:style>
  <w:style w:type="character" w:customStyle="1" w:styleId="Buttons">
    <w:name w:val="Buttons"/>
    <w:basedOn w:val="DefaultParagraphFont"/>
    <w:rsid w:val="00A73219"/>
    <w:rPr>
      <w:b/>
    </w:rPr>
  </w:style>
  <w:style w:type="character" w:customStyle="1" w:styleId="Underlined">
    <w:name w:val="Underlined"/>
    <w:basedOn w:val="DefaultParagraphFont"/>
    <w:rsid w:val="00A73219"/>
    <w:rPr>
      <w:u w:val="single"/>
    </w:rPr>
  </w:style>
  <w:style w:type="paragraph" w:customStyle="1" w:styleId="TableBodyTextRight">
    <w:name w:val="Table Body Text Right"/>
    <w:basedOn w:val="TableBodyText"/>
    <w:rsid w:val="00A73219"/>
    <w:pPr>
      <w:widowControl w:val="0"/>
      <w:autoSpaceDE w:val="0"/>
      <w:autoSpaceDN w:val="0"/>
      <w:adjustRightInd w:val="0"/>
      <w:jc w:val="right"/>
    </w:pPr>
    <w:rPr>
      <w:rFonts w:cs="Arial"/>
      <w:szCs w:val="18"/>
    </w:rPr>
  </w:style>
  <w:style w:type="paragraph" w:customStyle="1" w:styleId="CopyrightText">
    <w:name w:val="Copyright Text"/>
    <w:basedOn w:val="BodyText"/>
    <w:rsid w:val="00A73219"/>
    <w:rPr>
      <w:sz w:val="18"/>
    </w:rPr>
  </w:style>
  <w:style w:type="paragraph" w:customStyle="1" w:styleId="BodySmallRight">
    <w:name w:val="Body Small Right"/>
    <w:basedOn w:val="BodyTextRight"/>
    <w:rsid w:val="00A73219"/>
    <w:rPr>
      <w:sz w:val="18"/>
      <w:szCs w:val="18"/>
    </w:rPr>
  </w:style>
  <w:style w:type="paragraph" w:customStyle="1" w:styleId="MarginEdition">
    <w:name w:val="Margin Edition"/>
    <w:basedOn w:val="MarginNote"/>
    <w:rsid w:val="00A73219"/>
    <w:pPr>
      <w:spacing w:before="0" w:after="0"/>
    </w:pPr>
    <w:rPr>
      <w:rFonts w:ascii="Times New Roman" w:hAnsi="Times New Roman"/>
      <w:color w:val="999999"/>
    </w:rPr>
  </w:style>
  <w:style w:type="paragraph" w:customStyle="1" w:styleId="Spacer">
    <w:name w:val="Spacer"/>
    <w:basedOn w:val="Normal"/>
    <w:rsid w:val="00A73219"/>
    <w:rPr>
      <w:sz w:val="2"/>
      <w:szCs w:val="2"/>
    </w:rPr>
  </w:style>
  <w:style w:type="character" w:customStyle="1" w:styleId="Small">
    <w:name w:val="Small"/>
    <w:basedOn w:val="DefaultParagraphFont"/>
    <w:rsid w:val="00A73219"/>
    <w:rPr>
      <w:sz w:val="16"/>
    </w:rPr>
  </w:style>
  <w:style w:type="paragraph" w:customStyle="1" w:styleId="WideTable">
    <w:name w:val="Wide Table"/>
    <w:basedOn w:val="Normal"/>
    <w:rsid w:val="00A73219"/>
    <w:pPr>
      <w:ind w:left="-1418"/>
    </w:pPr>
    <w:rPr>
      <w:sz w:val="2"/>
      <w:szCs w:val="2"/>
    </w:rPr>
  </w:style>
  <w:style w:type="character" w:styleId="PageNumber">
    <w:name w:val="page number"/>
    <w:basedOn w:val="DefaultParagraphFont"/>
    <w:rsid w:val="00A73219"/>
  </w:style>
  <w:style w:type="paragraph" w:styleId="Quote">
    <w:name w:val="Quote"/>
    <w:basedOn w:val="Heading1"/>
    <w:link w:val="QuoteChar"/>
    <w:qFormat/>
    <w:rsid w:val="00A73219"/>
    <w:rPr>
      <w:b w:val="0"/>
      <w:sz w:val="72"/>
      <w:szCs w:val="72"/>
      <w:lang w:val="en-NZ"/>
    </w:rPr>
  </w:style>
  <w:style w:type="character" w:customStyle="1" w:styleId="QuoteChar">
    <w:name w:val="Quote Char"/>
    <w:basedOn w:val="DefaultParagraphFont"/>
    <w:link w:val="Quote"/>
    <w:rsid w:val="00A732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3219"/>
    <w:pPr>
      <w:pageBreakBefore/>
    </w:pPr>
  </w:style>
  <w:style w:type="paragraph" w:customStyle="1" w:styleId="Border">
    <w:name w:val="Border"/>
    <w:basedOn w:val="Normal"/>
    <w:qFormat/>
    <w:rsid w:val="00A732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3219"/>
    <w:rPr>
      <w:b/>
      <w:bCs/>
      <w:i/>
      <w:iCs/>
      <w:color w:val="auto"/>
    </w:rPr>
  </w:style>
  <w:style w:type="paragraph" w:styleId="IntenseQuote">
    <w:name w:val="Intense Quote"/>
    <w:basedOn w:val="Normal"/>
    <w:next w:val="Normal"/>
    <w:link w:val="IntenseQuoteChar"/>
    <w:uiPriority w:val="30"/>
    <w:qFormat/>
    <w:rsid w:val="00A732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32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3219"/>
    <w:rPr>
      <w:smallCaps/>
      <w:color w:val="auto"/>
      <w:u w:val="single"/>
    </w:rPr>
  </w:style>
  <w:style w:type="character" w:styleId="IntenseReference">
    <w:name w:val="Intense Reference"/>
    <w:basedOn w:val="DefaultParagraphFont"/>
    <w:uiPriority w:val="32"/>
    <w:qFormat/>
    <w:rsid w:val="00A73219"/>
    <w:rPr>
      <w:b/>
      <w:bCs/>
      <w:smallCaps/>
      <w:color w:val="auto"/>
      <w:spacing w:val="5"/>
      <w:u w:val="single"/>
    </w:rPr>
  </w:style>
  <w:style w:type="paragraph" w:customStyle="1" w:styleId="2ColumnHeading">
    <w:name w:val="2Column Heading"/>
    <w:basedOn w:val="BodyText"/>
    <w:qFormat/>
    <w:rsid w:val="00A73219"/>
    <w:pPr>
      <w:spacing w:after="60"/>
      <w:ind w:left="-2268"/>
    </w:pPr>
    <w:rPr>
      <w:b/>
    </w:rPr>
  </w:style>
  <w:style w:type="paragraph" w:customStyle="1" w:styleId="Heading1TOC">
    <w:name w:val="Heading1 TOC"/>
    <w:basedOn w:val="Normal"/>
    <w:qFormat/>
    <w:rsid w:val="00A73219"/>
    <w:pPr>
      <w:spacing w:before="240" w:after="120"/>
    </w:pPr>
    <w:rPr>
      <w:rFonts w:ascii="Times New Roman" w:hAnsi="Times New Roman"/>
      <w:b/>
      <w:sz w:val="32"/>
    </w:rPr>
  </w:style>
  <w:style w:type="paragraph" w:customStyle="1" w:styleId="Heading2TOC">
    <w:name w:val="Heading2 TOC"/>
    <w:basedOn w:val="Normal"/>
    <w:qFormat/>
    <w:rsid w:val="00A73219"/>
    <w:pPr>
      <w:spacing w:before="240" w:after="60"/>
    </w:pPr>
    <w:rPr>
      <w:rFonts w:ascii="Times New Roman" w:hAnsi="Times New Roman"/>
      <w:b/>
      <w:sz w:val="28"/>
    </w:rPr>
  </w:style>
  <w:style w:type="character" w:customStyle="1" w:styleId="Underline">
    <w:name w:val="Underline"/>
    <w:basedOn w:val="DefaultParagraphFont"/>
    <w:qFormat/>
    <w:rsid w:val="00A73219"/>
    <w:rPr>
      <w:u w:val="single"/>
    </w:rPr>
  </w:style>
  <w:style w:type="character" w:customStyle="1" w:styleId="BoldandItalics">
    <w:name w:val="Bold and Italics"/>
    <w:qFormat/>
    <w:rsid w:val="00A73219"/>
    <w:rPr>
      <w:b/>
      <w:i/>
      <w:u w:val="none"/>
    </w:rPr>
  </w:style>
  <w:style w:type="paragraph" w:styleId="BalloonText">
    <w:name w:val="Balloon Text"/>
    <w:basedOn w:val="Normal"/>
    <w:link w:val="BalloonTextChar"/>
    <w:rsid w:val="00A73219"/>
    <w:rPr>
      <w:rFonts w:ascii="Tahoma" w:hAnsi="Tahoma" w:cs="Tahoma"/>
      <w:sz w:val="16"/>
      <w:szCs w:val="16"/>
    </w:rPr>
  </w:style>
  <w:style w:type="character" w:customStyle="1" w:styleId="BalloonTextChar">
    <w:name w:val="Balloon Text Char"/>
    <w:basedOn w:val="DefaultParagraphFont"/>
    <w:link w:val="BalloonText"/>
    <w:rsid w:val="00A732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32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32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3219"/>
    <w:rPr>
      <w:b/>
      <w:color w:val="660033"/>
      <w:spacing w:val="0"/>
    </w:rPr>
  </w:style>
  <w:style w:type="paragraph" w:customStyle="1" w:styleId="Nameditemlist">
    <w:name w:val="Named item list"/>
    <w:basedOn w:val="BodyText"/>
    <w:qFormat/>
    <w:rsid w:val="00A732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2078</Words>
  <Characters>13115</Characters>
  <Application>Microsoft Office Word</Application>
  <DocSecurity>0</DocSecurity>
  <Lines>429</Lines>
  <Paragraphs>249</Paragraphs>
  <ScaleCrop>false</ScaleCrop>
  <Company>Author-it Software Corporation Ltd.</Company>
  <LinksUpToDate>false</LinksUpToDate>
  <CharactersWithSpaces>15124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HLTPH418A Support pharmacists by collecting information for clients and other health professionals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2012-10-05T10:02:00Z</dcterms:created>
  <dcterms:modified xsi:type="dcterms:W3CDTF">2012-10-05T10:02:00Z</dcterms:modified>
</cp:coreProperties>
</file>