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39C9" w:rsidP="00C039C9">
      <w:pPr>
        <w:pStyle w:val="Title"/>
      </w:pPr>
      <w:r>
        <w:fldChar w:fldCharType="begin"/>
      </w:r>
      <w:r>
        <w:instrText xml:space="preserve"> TITLE   \* MERGEFORMAT </w:instrText>
      </w:r>
      <w:r>
        <w:fldChar w:fldCharType="separate"/>
      </w:r>
      <w:r>
        <w:t>HLTPAT317C Operate effectively within a pathology testing environment</w:t>
      </w:r>
      <w:r>
        <w:fldChar w:fldCharType="end"/>
      </w:r>
    </w:p>
    <w:p w:rsidR="00C039C9" w:rsidP="00C039C9">
      <w:pPr>
        <w:pStyle w:val="Version"/>
        <w:sectPr w:rsidSect="000234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34B0" w:rsidP="000234B0">
      <w:pPr>
        <w:pStyle w:val="SuperHeading"/>
      </w:pPr>
      <w:r w:rsidRPr="000234B0">
        <w:t>HLTPAT317C Operate effectively within a pathology testing environment</w:t>
      </w:r>
    </w:p>
    <w:p w:rsidR="00000000" w:rsidRPr="000234B0" w:rsidP="000234B0">
      <w:pPr>
        <w:pStyle w:val="Heading1"/>
      </w:pPr>
      <w:bookmarkStart w:id="1" w:name="O_426478"/>
      <w:bookmarkEnd w:id="1"/>
      <w:r w:rsidRPr="000234B0">
        <w:t>Modification History</w:t>
      </w:r>
    </w:p>
    <w:tbl>
      <w:tblPr>
        <w:tblW w:w="0" w:type="auto"/>
        <w:tblCellMar>
          <w:left w:w="62" w:type="dxa"/>
          <w:right w:w="62" w:type="dxa"/>
        </w:tblCellMar>
        <w:tblLook w:val="0000"/>
      </w:tblPr>
      <w:tblGrid>
        <w:gridCol w:w="1532"/>
        <w:gridCol w:w="3580"/>
        <w:gridCol w:w="4084"/>
      </w:tblGrid>
      <w:tr w:rsidTr="00C039C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34B0">
            <w:pPr>
              <w:pStyle w:val="BodyText"/>
              <w:rPr>
                <w:lang w:val="en-NZ"/>
              </w:rPr>
            </w:pPr>
            <w:r w:rsidRPr="000234B0">
              <w:t xml:space="preserve">HLT07 Version 4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34B0">
            <w:pPr>
              <w:pStyle w:val="BodyText"/>
              <w:rPr>
                <w:lang w:val="en-NZ"/>
              </w:rPr>
            </w:pPr>
            <w:r w:rsidRPr="000234B0">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34B0">
            <w:pPr>
              <w:pStyle w:val="BodyText"/>
              <w:rPr>
                <w:lang w:val="en-NZ"/>
              </w:rPr>
            </w:pPr>
            <w:r w:rsidRPr="000234B0">
              <w:t xml:space="preserve">Comments </w:t>
            </w:r>
          </w:p>
        </w:tc>
      </w:tr>
      <w:tr w:rsidTr="00C039C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34B0">
            <w:pPr>
              <w:pStyle w:val="BodyText"/>
              <w:rPr>
                <w:lang w:val="en-NZ"/>
              </w:rPr>
            </w:pPr>
            <w:r w:rsidRPr="000234B0">
              <w:t xml:space="preserve">HLTPAT317B Operate effectively within a pathology testing environment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34B0">
            <w:pPr>
              <w:pStyle w:val="BodyText"/>
              <w:rPr>
                <w:lang w:val="en-NZ"/>
              </w:rPr>
            </w:pPr>
            <w:r w:rsidRPr="000234B0">
              <w:t xml:space="preserve">HLTPAT317C - Operate effectively within a pathology testing environment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234B0" w:rsidP="000234B0">
            <w:pPr>
              <w:pStyle w:val="BodyText"/>
            </w:pPr>
            <w:r w:rsidRPr="000234B0">
              <w:t>Unit updated in V5.</w:t>
            </w:r>
          </w:p>
          <w:p w:rsidR="00000000" w:rsidRPr="000234B0" w:rsidP="000234B0">
            <w:pPr>
              <w:pStyle w:val="BodyText"/>
            </w:pPr>
            <w:r w:rsidRPr="000234B0">
              <w:t>ISC upgrade changes to remove references to old OHS legislation and replace with references to new WHS legislation. No change to competency outcome.</w:t>
            </w:r>
          </w:p>
        </w:tc>
      </w:tr>
    </w:tbl>
    <w:p w:rsidR="00C039C9" w:rsidP="000234B0">
      <w:pPr>
        <w:pStyle w:val="BodyText"/>
      </w:pPr>
    </w:p>
    <w:p w:rsidR="00C039C9" w:rsidP="000234B0">
      <w:pPr>
        <w:pStyle w:val="BodyText"/>
      </w:pPr>
    </w:p>
    <w:p w:rsidR="00000000" w:rsidRPr="000234B0" w:rsidP="000234B0">
      <w:pPr>
        <w:pStyle w:val="Heading1"/>
      </w:pPr>
      <w:bookmarkStart w:id="2" w:name="O_426476"/>
      <w:bookmarkEnd w:id="2"/>
      <w:r w:rsidRPr="000234B0">
        <w:t>Unit Descriptor</w:t>
      </w:r>
    </w:p>
    <w:tbl>
      <w:tblPr>
        <w:tblW w:w="0" w:type="auto"/>
        <w:tblLayout w:type="fixed"/>
        <w:tblCellMar>
          <w:left w:w="62" w:type="dxa"/>
          <w:right w:w="62" w:type="dxa"/>
        </w:tblCellMar>
        <w:tblLook w:val="0000"/>
      </w:tblPr>
      <w:tblGrid>
        <w:gridCol w:w="3337"/>
        <w:gridCol w:w="5219"/>
      </w:tblGrid>
      <w:tr w:rsidTr="00C039C9">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r w:rsidRPr="000234B0">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0234B0" w:rsidP="000234B0">
            <w:pPr>
              <w:pStyle w:val="BodyText"/>
            </w:pPr>
            <w:r w:rsidRPr="000234B0">
              <w:t>This unit of competency describes the skills and knowledge required by workers in a pathology laboratory who perform work that reflects an understanding of the structure and profile of the industry, the roles and relationsh</w:t>
            </w:r>
            <w:r w:rsidRPr="000234B0">
              <w:t>ips within and across the industry and key issues facing the industry</w:t>
            </w:r>
          </w:p>
        </w:tc>
      </w:tr>
    </w:tbl>
    <w:p w:rsidR="00C039C9" w:rsidP="000234B0">
      <w:pPr>
        <w:pStyle w:val="BodyText"/>
      </w:pPr>
    </w:p>
    <w:p w:rsidR="00C039C9" w:rsidP="000234B0">
      <w:pPr>
        <w:pStyle w:val="BodyText"/>
      </w:pPr>
    </w:p>
    <w:p w:rsidR="00000000" w:rsidRPr="000234B0" w:rsidP="000234B0">
      <w:pPr>
        <w:pStyle w:val="Heading1"/>
      </w:pPr>
      <w:bookmarkStart w:id="3" w:name="O_426466"/>
      <w:bookmarkEnd w:id="3"/>
      <w:r w:rsidRPr="000234B0">
        <w:t>Application of the Unit</w:t>
      </w:r>
    </w:p>
    <w:tbl>
      <w:tblPr>
        <w:tblW w:w="0" w:type="auto"/>
        <w:tblLayout w:type="fixed"/>
        <w:tblCellMar>
          <w:left w:w="62" w:type="dxa"/>
          <w:right w:w="62" w:type="dxa"/>
        </w:tblCellMar>
        <w:tblLook w:val="0000"/>
      </w:tblPr>
      <w:tblGrid>
        <w:gridCol w:w="3346"/>
        <w:gridCol w:w="5210"/>
      </w:tblGrid>
      <w:tr w:rsidTr="00C039C9">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r w:rsidRPr="000234B0">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0234B0" w:rsidP="000234B0">
            <w:pPr>
              <w:pStyle w:val="BodyText"/>
            </w:pPr>
            <w:r w:rsidRPr="000234B0">
              <w:t>The application of knowledge and skills described in this competency unit relates to functions necessary for working within a Pathology laboratory</w:t>
            </w:r>
          </w:p>
          <w:p w:rsidR="00000000" w:rsidRPr="000234B0" w:rsidP="000234B0">
            <w:pPr>
              <w:pStyle w:val="BodyText"/>
            </w:pPr>
            <w:r w:rsidRPr="000234B0">
              <w:t>Work at this level may be undertaken independently or under guidance and/or supervision</w:t>
            </w:r>
          </w:p>
        </w:tc>
      </w:tr>
    </w:tbl>
    <w:p w:rsidR="00C039C9" w:rsidP="000234B0">
      <w:pPr>
        <w:pStyle w:val="BodyText"/>
      </w:pPr>
    </w:p>
    <w:p w:rsidR="00C039C9" w:rsidP="000234B0">
      <w:pPr>
        <w:pStyle w:val="BodyText"/>
      </w:pPr>
    </w:p>
    <w:p w:rsidR="00000000" w:rsidRPr="000234B0" w:rsidP="000234B0">
      <w:pPr>
        <w:pStyle w:val="Heading1"/>
      </w:pPr>
      <w:bookmarkStart w:id="4" w:name="O_426472"/>
      <w:bookmarkEnd w:id="4"/>
      <w:r w:rsidRPr="000234B0">
        <w:t>Licensing/Regulatory Information</w:t>
      </w:r>
    </w:p>
    <w:p w:rsidR="00000000" w:rsidRPr="000234B0" w:rsidP="000234B0">
      <w:pPr>
        <w:pStyle w:val="BodyText"/>
      </w:pPr>
      <w:r w:rsidRPr="000234B0">
        <w:t>Not Applicable</w:t>
      </w:r>
    </w:p>
    <w:p w:rsidR="00000000" w:rsidRPr="000234B0" w:rsidP="000234B0">
      <w:pPr>
        <w:pStyle w:val="AllowPageBreak"/>
      </w:pPr>
    </w:p>
    <w:p w:rsidR="00000000" w:rsidRPr="000234B0" w:rsidP="000234B0">
      <w:pPr>
        <w:pStyle w:val="Heading1"/>
      </w:pPr>
      <w:bookmarkStart w:id="5" w:name="O_426473"/>
      <w:bookmarkEnd w:id="5"/>
      <w:r w:rsidRPr="000234B0">
        <w:t>Pre-Requisites</w:t>
      </w:r>
    </w:p>
    <w:p w:rsidR="00000000" w:rsidRPr="000234B0" w:rsidP="000234B0">
      <w:pPr>
        <w:pStyle w:val="BodyText"/>
      </w:pPr>
      <w:r w:rsidRPr="000234B0">
        <w:t>Not Applicable</w:t>
      </w:r>
    </w:p>
    <w:p w:rsidR="00000000" w:rsidRPr="000234B0" w:rsidP="000234B0">
      <w:pPr>
        <w:pStyle w:val="AllowPageBreak"/>
      </w:pPr>
    </w:p>
    <w:p w:rsidR="00000000" w:rsidRPr="000234B0" w:rsidP="000234B0">
      <w:pPr>
        <w:pStyle w:val="Heading1"/>
      </w:pPr>
      <w:bookmarkStart w:id="6" w:name="O_426469"/>
      <w:bookmarkEnd w:id="6"/>
      <w:r w:rsidRPr="000234B0">
        <w:t>Employability Skills Information</w:t>
      </w:r>
    </w:p>
    <w:tbl>
      <w:tblPr>
        <w:tblW w:w="0" w:type="auto"/>
        <w:tblLayout w:type="fixed"/>
        <w:tblCellMar>
          <w:left w:w="62" w:type="dxa"/>
          <w:right w:w="62" w:type="dxa"/>
        </w:tblCellMar>
        <w:tblLook w:val="0000"/>
      </w:tblPr>
      <w:tblGrid>
        <w:gridCol w:w="3320"/>
        <w:gridCol w:w="5236"/>
      </w:tblGrid>
      <w:tr w:rsidTr="00C039C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r w:rsidRPr="000234B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234B0" w:rsidP="000234B0">
            <w:pPr>
              <w:pStyle w:val="BodyText"/>
            </w:pPr>
            <w:r w:rsidRPr="000234B0">
              <w:t>This unit contains Employability Skills</w:t>
            </w:r>
          </w:p>
        </w:tc>
      </w:tr>
    </w:tbl>
    <w:p w:rsidR="00C039C9" w:rsidP="000234B0">
      <w:pPr>
        <w:pStyle w:val="BodyText"/>
      </w:pPr>
    </w:p>
    <w:p w:rsidR="00C039C9" w:rsidP="000234B0">
      <w:pPr>
        <w:pStyle w:val="BodyText"/>
      </w:pPr>
    </w:p>
    <w:p w:rsidR="00000000" w:rsidRPr="000234B0" w:rsidP="000234B0">
      <w:pPr>
        <w:pStyle w:val="Heading1"/>
      </w:pPr>
      <w:bookmarkStart w:id="7" w:name="O_426468"/>
      <w:bookmarkEnd w:id="7"/>
      <w:r w:rsidRPr="000234B0">
        <w:t>Elements and Performance Criteria Pre-Content</w:t>
      </w:r>
    </w:p>
    <w:tbl>
      <w:tblPr>
        <w:tblW w:w="0" w:type="auto"/>
        <w:tblLayout w:type="fixed"/>
        <w:tblCellMar>
          <w:left w:w="62" w:type="dxa"/>
          <w:right w:w="62" w:type="dxa"/>
        </w:tblCellMar>
        <w:tblLook w:val="0000"/>
      </w:tblPr>
      <w:tblGrid>
        <w:gridCol w:w="3369"/>
        <w:gridCol w:w="5702"/>
      </w:tblGrid>
      <w:tr w:rsidTr="00C039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r w:rsidRPr="000234B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234B0" w:rsidP="000234B0">
            <w:pPr>
              <w:pStyle w:val="BodyText"/>
            </w:pPr>
            <w:r w:rsidRPr="000234B0">
              <w:t>The Performance Criteria specify the level of performance required to demonstrate achievement of the Element. Terms in italics are elaborated in t</w:t>
            </w:r>
            <w:r w:rsidRPr="000234B0">
              <w:t xml:space="preserve">he Range Statement. </w:t>
            </w:r>
          </w:p>
        </w:tc>
      </w:tr>
    </w:tbl>
    <w:p w:rsidR="00000000" w:rsidRPr="000234B0" w:rsidP="000234B0">
      <w:pPr>
        <w:pStyle w:val="BodyText"/>
      </w:pPr>
    </w:p>
    <w:p w:rsidR="00000000" w:rsidRPr="000234B0" w:rsidP="000234B0">
      <w:pPr>
        <w:pStyle w:val="AllowPageBreak"/>
      </w:pPr>
    </w:p>
    <w:p w:rsidR="00000000" w:rsidRPr="000234B0" w:rsidP="000234B0">
      <w:pPr>
        <w:pStyle w:val="Heading1"/>
      </w:pPr>
      <w:bookmarkStart w:id="8" w:name="O_426467"/>
      <w:bookmarkEnd w:id="8"/>
      <w:r w:rsidRPr="000234B0">
        <w:t>Elements and Performance Criteria</w:t>
      </w:r>
    </w:p>
    <w:tbl>
      <w:tblPr>
        <w:tblW w:w="0" w:type="auto"/>
        <w:tblLayout w:type="fixed"/>
        <w:tblCellMar>
          <w:left w:w="62" w:type="dxa"/>
          <w:right w:w="62" w:type="dxa"/>
        </w:tblCellMar>
        <w:tblLook w:val="0000"/>
      </w:tblPr>
      <w:tblGrid>
        <w:gridCol w:w="3369"/>
        <w:gridCol w:w="5702"/>
      </w:tblGrid>
      <w:tr w:rsidTr="00C039C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234B0" w:rsidP="000234B0">
            <w:pPr>
              <w:pStyle w:val="BodyText"/>
            </w:pPr>
            <w:r w:rsidRPr="000234B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r w:rsidRPr="000234B0">
              <w:rPr>
                <w:rStyle w:val="SpecialBold"/>
              </w:rPr>
              <w:t>PERFORMANCE CRITERIA</w:t>
            </w:r>
          </w:p>
        </w:tc>
      </w:tr>
      <w:tr w:rsidTr="00C039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34B0">
            <w:pPr>
              <w:pStyle w:val="List"/>
              <w:rPr>
                <w:lang w:val="en-NZ"/>
              </w:rPr>
            </w:pPr>
            <w:r w:rsidRPr="000234B0">
              <w:t>1.</w:t>
            </w:r>
            <w:r w:rsidRPr="000234B0">
              <w:tab/>
              <w:t>Demonstrate an understanding of the structure and profile of the pathology industry</w:t>
            </w:r>
          </w:p>
        </w:tc>
        <w:tc>
          <w:tcPr>
            <w:tcW w:w="5702" w:type="dxa"/>
            <w:tcBorders>
              <w:top w:val="nil"/>
              <w:left w:val="nil"/>
              <w:bottom w:val="nil"/>
              <w:right w:val="nil"/>
            </w:tcBorders>
            <w:tcMar>
              <w:top w:w="0" w:type="dxa"/>
              <w:left w:w="62" w:type="dxa"/>
              <w:bottom w:w="0" w:type="dxa"/>
              <w:right w:w="62" w:type="dxa"/>
            </w:tcMar>
          </w:tcPr>
          <w:p w:rsidR="00000000" w:rsidRPr="000234B0" w:rsidP="000234B0">
            <w:pPr>
              <w:pStyle w:val="BodyText"/>
            </w:pPr>
            <w:r w:rsidRPr="000234B0">
              <w:t>1.1</w:t>
            </w:r>
            <w:r w:rsidRPr="000234B0">
              <w:tab/>
              <w:t>Describe the organisation of the pathology industry</w:t>
            </w:r>
          </w:p>
          <w:p w:rsidR="00000000" w:rsidRPr="000234B0" w:rsidP="000234B0">
            <w:pPr>
              <w:pStyle w:val="BodyText"/>
            </w:pPr>
            <w:r w:rsidRPr="000234B0">
              <w:t>1.2</w:t>
            </w:r>
            <w:r w:rsidRPr="000234B0">
              <w:tab/>
            </w:r>
            <w:r w:rsidRPr="000234B0">
              <w:t xml:space="preserve">Explain the relationships between the different occupations and </w:t>
            </w:r>
            <w:r w:rsidRPr="000234B0">
              <w:rPr>
                <w:rStyle w:val="Emphasis"/>
              </w:rPr>
              <w:t>modes of practice</w:t>
            </w:r>
            <w:r w:rsidRPr="000234B0">
              <w:t xml:space="preserve"> within pathology.</w:t>
            </w:r>
          </w:p>
          <w:p w:rsidR="00000000" w:rsidRPr="000234B0" w:rsidP="000234B0">
            <w:pPr>
              <w:pStyle w:val="BodyText"/>
            </w:pPr>
            <w:r w:rsidRPr="000234B0">
              <w:t>1.3</w:t>
            </w:r>
            <w:r w:rsidRPr="000234B0">
              <w:tab/>
              <w:t xml:space="preserve">Observe and describe the operation of a typical laboratory. </w:t>
            </w:r>
          </w:p>
          <w:p w:rsidR="00000000" w:rsidP="000234B0">
            <w:pPr>
              <w:pStyle w:val="BodyText"/>
              <w:rPr>
                <w:lang w:val="en-NZ"/>
              </w:rPr>
            </w:pPr>
            <w:r w:rsidRPr="000234B0">
              <w:t>1.4</w:t>
            </w:r>
            <w:r w:rsidRPr="000234B0">
              <w:tab/>
              <w:t xml:space="preserve">Identify </w:t>
            </w:r>
            <w:r w:rsidRPr="000234B0">
              <w:rPr>
                <w:rStyle w:val="Emphasis"/>
              </w:rPr>
              <w:t>current legislation</w:t>
            </w:r>
            <w:r w:rsidRPr="000234B0">
              <w:t xml:space="preserve"> that impacts on pathology laboratories</w:t>
            </w:r>
          </w:p>
        </w:tc>
      </w:tr>
      <w:tr w:rsidTr="00C039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p>
        </w:tc>
      </w:tr>
      <w:tr w:rsidTr="00C039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34B0">
            <w:pPr>
              <w:pStyle w:val="List"/>
              <w:rPr>
                <w:lang w:val="en-NZ"/>
              </w:rPr>
            </w:pPr>
            <w:r w:rsidRPr="000234B0">
              <w:t>2.</w:t>
            </w:r>
            <w:r w:rsidRPr="000234B0">
              <w:tab/>
              <w:t>Develop a kn</w:t>
            </w:r>
            <w:r w:rsidRPr="000234B0">
              <w:t>owledge of different sectors and roles within a pathology laboratory</w:t>
            </w:r>
          </w:p>
        </w:tc>
        <w:tc>
          <w:tcPr>
            <w:tcW w:w="5702" w:type="dxa"/>
            <w:tcBorders>
              <w:top w:val="nil"/>
              <w:left w:val="nil"/>
              <w:bottom w:val="nil"/>
              <w:right w:val="nil"/>
            </w:tcBorders>
            <w:tcMar>
              <w:top w:w="0" w:type="dxa"/>
              <w:left w:w="62" w:type="dxa"/>
              <w:bottom w:w="0" w:type="dxa"/>
              <w:right w:w="62" w:type="dxa"/>
            </w:tcMar>
          </w:tcPr>
          <w:p w:rsidR="00000000" w:rsidRPr="000234B0" w:rsidP="000234B0">
            <w:pPr>
              <w:pStyle w:val="BodyText"/>
            </w:pPr>
            <w:r w:rsidRPr="000234B0">
              <w:t>2.1</w:t>
            </w:r>
            <w:r w:rsidRPr="000234B0">
              <w:tab/>
              <w:t xml:space="preserve">Identify the roles and responsibilities of </w:t>
            </w:r>
            <w:r w:rsidRPr="000234B0">
              <w:rPr>
                <w:rStyle w:val="Emphasis"/>
              </w:rPr>
              <w:t>different workers</w:t>
            </w:r>
            <w:r w:rsidRPr="000234B0">
              <w:t xml:space="preserve"> within a pathology laboratory</w:t>
            </w:r>
          </w:p>
          <w:p w:rsidR="00000000" w:rsidRPr="000234B0" w:rsidP="000234B0">
            <w:pPr>
              <w:pStyle w:val="BodyText"/>
            </w:pPr>
            <w:r w:rsidRPr="000234B0">
              <w:t>2.2</w:t>
            </w:r>
            <w:r w:rsidRPr="000234B0">
              <w:tab/>
              <w:t xml:space="preserve">Identify the </w:t>
            </w:r>
            <w:r w:rsidRPr="000234B0">
              <w:rPr>
                <w:rStyle w:val="Emphasis"/>
              </w:rPr>
              <w:t>role and responsibilities of pathology assistants</w:t>
            </w:r>
            <w:r w:rsidRPr="000234B0">
              <w:t xml:space="preserve"> including when and from w</w:t>
            </w:r>
            <w:r w:rsidRPr="000234B0">
              <w:t>hom to seek advice</w:t>
            </w:r>
          </w:p>
          <w:p w:rsidR="00000000" w:rsidP="000234B0">
            <w:pPr>
              <w:pStyle w:val="BodyText"/>
              <w:rPr>
                <w:lang w:val="en-NZ"/>
              </w:rPr>
            </w:pPr>
            <w:r w:rsidRPr="000234B0">
              <w:t>2.3</w:t>
            </w:r>
            <w:r w:rsidRPr="000234B0">
              <w:tab/>
              <w:t xml:space="preserve">Develop an understanding of the </w:t>
            </w:r>
            <w:r w:rsidRPr="000234B0">
              <w:rPr>
                <w:rStyle w:val="Emphasis"/>
              </w:rPr>
              <w:t>different sections</w:t>
            </w:r>
            <w:r w:rsidRPr="000234B0">
              <w:t xml:space="preserve"> within a pathology laboratory</w:t>
            </w:r>
          </w:p>
        </w:tc>
      </w:tr>
      <w:tr w:rsidTr="00C039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p>
        </w:tc>
      </w:tr>
      <w:tr w:rsidTr="00C039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34B0">
            <w:pPr>
              <w:pStyle w:val="List"/>
              <w:rPr>
                <w:lang w:val="en-NZ"/>
              </w:rPr>
            </w:pPr>
            <w:r w:rsidRPr="000234B0">
              <w:t>3.</w:t>
            </w:r>
            <w:r w:rsidRPr="000234B0">
              <w:tab/>
              <w:t xml:space="preserve">Develop an understanding of </w:t>
            </w:r>
            <w:r w:rsidRPr="000234B0">
              <w:rPr>
                <w:rStyle w:val="Emphasis"/>
              </w:rPr>
              <w:t>specimen</w:t>
            </w:r>
            <w:r w:rsidRPr="000234B0">
              <w:t xml:space="preserve"> processing</w:t>
            </w:r>
          </w:p>
        </w:tc>
        <w:tc>
          <w:tcPr>
            <w:tcW w:w="5702" w:type="dxa"/>
            <w:tcBorders>
              <w:top w:val="nil"/>
              <w:left w:val="nil"/>
              <w:bottom w:val="nil"/>
              <w:right w:val="nil"/>
            </w:tcBorders>
            <w:tcMar>
              <w:top w:w="0" w:type="dxa"/>
              <w:left w:w="62" w:type="dxa"/>
              <w:bottom w:w="0" w:type="dxa"/>
              <w:right w:w="62" w:type="dxa"/>
            </w:tcMar>
          </w:tcPr>
          <w:p w:rsidR="00000000" w:rsidRPr="000234B0" w:rsidP="000234B0">
            <w:pPr>
              <w:pStyle w:val="BodyText"/>
            </w:pPr>
            <w:r w:rsidRPr="000234B0">
              <w:t>3.1</w:t>
            </w:r>
            <w:r w:rsidRPr="000234B0">
              <w:tab/>
              <w:t xml:space="preserve">Adopt </w:t>
            </w:r>
            <w:r w:rsidRPr="000234B0">
              <w:rPr>
                <w:rStyle w:val="Emphasis"/>
              </w:rPr>
              <w:t>recommended safety precautions</w:t>
            </w:r>
            <w:r w:rsidRPr="000234B0">
              <w:t xml:space="preserve"> when handling biologically hazardous specimens</w:t>
            </w:r>
          </w:p>
          <w:p w:rsidR="00000000" w:rsidRPr="000234B0" w:rsidP="000234B0">
            <w:pPr>
              <w:pStyle w:val="BodyText"/>
            </w:pPr>
            <w:r w:rsidRPr="000234B0">
              <w:t>3.2</w:t>
            </w:r>
            <w:r w:rsidRPr="000234B0">
              <w:tab/>
            </w:r>
            <w:r w:rsidRPr="000234B0">
              <w:t xml:space="preserve">Follow organisation guidelines in the handling of </w:t>
            </w:r>
            <w:r w:rsidRPr="000234B0">
              <w:rPr>
                <w:rStyle w:val="Emphasis"/>
              </w:rPr>
              <w:t>urgent samples</w:t>
            </w:r>
          </w:p>
          <w:p w:rsidR="00000000" w:rsidRPr="000234B0" w:rsidP="000234B0">
            <w:pPr>
              <w:pStyle w:val="BodyText"/>
            </w:pPr>
            <w:r w:rsidRPr="000234B0">
              <w:t>3.3</w:t>
            </w:r>
            <w:r w:rsidRPr="000234B0">
              <w:tab/>
              <w:t xml:space="preserve">Follow organisation guidelines in the handling of </w:t>
            </w:r>
            <w:r w:rsidRPr="000234B0">
              <w:rPr>
                <w:rStyle w:val="Emphasis"/>
              </w:rPr>
              <w:t>non</w:t>
            </w:r>
            <w:r w:rsidRPr="000234B0">
              <w:t>-</w:t>
            </w:r>
            <w:r w:rsidRPr="000234B0">
              <w:rPr>
                <w:rStyle w:val="Emphasis"/>
              </w:rPr>
              <w:t>replaceable samples</w:t>
            </w:r>
          </w:p>
          <w:p w:rsidR="00000000" w:rsidRPr="000234B0" w:rsidP="000234B0">
            <w:pPr>
              <w:pStyle w:val="BodyText"/>
            </w:pPr>
            <w:r w:rsidRPr="000234B0">
              <w:t>3.4</w:t>
            </w:r>
            <w:r w:rsidRPr="000234B0">
              <w:tab/>
              <w:t>Ensure sample labelling complies with organisation policies</w:t>
            </w:r>
          </w:p>
          <w:p w:rsidR="00000000" w:rsidRPr="000234B0" w:rsidP="000234B0">
            <w:pPr>
              <w:pStyle w:val="BodyText"/>
            </w:pPr>
            <w:r w:rsidRPr="000234B0">
              <w:t>3.5</w:t>
            </w:r>
            <w:r w:rsidRPr="000234B0">
              <w:tab/>
              <w:t>Store and transport pathology samples in line</w:t>
            </w:r>
            <w:r w:rsidRPr="000234B0">
              <w:t xml:space="preserve"> with </w:t>
            </w:r>
            <w:r w:rsidRPr="000234B0">
              <w:rPr>
                <w:rStyle w:val="Emphasis"/>
              </w:rPr>
              <w:t>organisation policies and procedures</w:t>
            </w:r>
            <w:r w:rsidRPr="000234B0">
              <w:t xml:space="preserve"> and legal and regulatory guidelines</w:t>
            </w:r>
          </w:p>
          <w:p w:rsidR="00000000" w:rsidP="000234B0">
            <w:pPr>
              <w:pStyle w:val="BodyText"/>
              <w:rPr>
                <w:lang w:val="en-NZ"/>
              </w:rPr>
            </w:pPr>
            <w:r w:rsidRPr="000234B0">
              <w:t>3.6</w:t>
            </w:r>
            <w:r w:rsidRPr="000234B0">
              <w:tab/>
              <w:t xml:space="preserve">Perform </w:t>
            </w:r>
            <w:r w:rsidRPr="000234B0">
              <w:rPr>
                <w:rStyle w:val="Emphasis"/>
              </w:rPr>
              <w:t>specimens</w:t>
            </w:r>
            <w:r w:rsidRPr="000234B0">
              <w:t xml:space="preserve"> preparation or separation and storage according to test requirements</w:t>
            </w:r>
          </w:p>
        </w:tc>
      </w:tr>
      <w:tr w:rsidTr="00C039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p>
        </w:tc>
      </w:tr>
      <w:tr w:rsidTr="00C039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34B0">
            <w:pPr>
              <w:pStyle w:val="List"/>
              <w:rPr>
                <w:lang w:val="en-NZ"/>
              </w:rPr>
            </w:pPr>
            <w:r w:rsidRPr="000234B0">
              <w:t>4.</w:t>
            </w:r>
            <w:r w:rsidRPr="000234B0">
              <w:tab/>
              <w:t>Document client information</w:t>
            </w:r>
          </w:p>
        </w:tc>
        <w:tc>
          <w:tcPr>
            <w:tcW w:w="5702" w:type="dxa"/>
            <w:tcBorders>
              <w:top w:val="nil"/>
              <w:left w:val="nil"/>
              <w:bottom w:val="nil"/>
              <w:right w:val="nil"/>
            </w:tcBorders>
            <w:tcMar>
              <w:top w:w="0" w:type="dxa"/>
              <w:left w:w="62" w:type="dxa"/>
              <w:bottom w:w="0" w:type="dxa"/>
              <w:right w:w="62" w:type="dxa"/>
            </w:tcMar>
          </w:tcPr>
          <w:p w:rsidR="00000000" w:rsidRPr="000234B0" w:rsidP="000234B0">
            <w:pPr>
              <w:pStyle w:val="BodyText"/>
            </w:pPr>
            <w:r w:rsidRPr="000234B0">
              <w:t>4.1</w:t>
            </w:r>
            <w:r w:rsidRPr="000234B0">
              <w:tab/>
              <w:t xml:space="preserve">Use accepted protocols to document information </w:t>
            </w:r>
            <w:r w:rsidRPr="000234B0">
              <w:t>in line with organisation requirements</w:t>
            </w:r>
          </w:p>
          <w:p w:rsidR="00000000" w:rsidRPr="000234B0" w:rsidP="000234B0">
            <w:pPr>
              <w:pStyle w:val="BodyText"/>
            </w:pPr>
            <w:r w:rsidRPr="000234B0">
              <w:t>4.2</w:t>
            </w:r>
            <w:r w:rsidRPr="000234B0">
              <w:tab/>
              <w:t>Use appropriate terminology to document identified problems related to application specimen testing</w:t>
            </w:r>
          </w:p>
          <w:p w:rsidR="00000000" w:rsidP="000234B0">
            <w:pPr>
              <w:pStyle w:val="BodyText"/>
              <w:rPr>
                <w:lang w:val="en-NZ"/>
              </w:rPr>
            </w:pPr>
            <w:r w:rsidRPr="000234B0">
              <w:t>4.3</w:t>
            </w:r>
            <w:r w:rsidRPr="000234B0">
              <w:tab/>
              <w:t>Ensure that confidentiality of client information is maintained.</w:t>
            </w:r>
          </w:p>
        </w:tc>
      </w:tr>
      <w:tr w:rsidTr="00C039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p>
        </w:tc>
      </w:tr>
      <w:tr w:rsidTr="00C039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34B0">
            <w:pPr>
              <w:pStyle w:val="List"/>
              <w:rPr>
                <w:lang w:val="en-NZ"/>
              </w:rPr>
            </w:pPr>
            <w:r w:rsidRPr="000234B0">
              <w:t>5.</w:t>
            </w:r>
            <w:r w:rsidRPr="000234B0">
              <w:tab/>
            </w:r>
            <w:r w:rsidRPr="000234B0">
              <w:t>Work within organisation policies and procedures</w:t>
            </w:r>
          </w:p>
        </w:tc>
        <w:tc>
          <w:tcPr>
            <w:tcW w:w="5702" w:type="dxa"/>
            <w:tcBorders>
              <w:top w:val="nil"/>
              <w:left w:val="nil"/>
              <w:bottom w:val="nil"/>
              <w:right w:val="nil"/>
            </w:tcBorders>
            <w:tcMar>
              <w:top w:w="0" w:type="dxa"/>
              <w:left w:w="62" w:type="dxa"/>
              <w:bottom w:w="0" w:type="dxa"/>
              <w:right w:w="62" w:type="dxa"/>
            </w:tcMar>
          </w:tcPr>
          <w:p w:rsidR="00000000" w:rsidRPr="000234B0" w:rsidP="000234B0">
            <w:pPr>
              <w:pStyle w:val="BodyText"/>
            </w:pPr>
            <w:r w:rsidRPr="000234B0">
              <w:t>5.1</w:t>
            </w:r>
            <w:r w:rsidRPr="000234B0">
              <w:tab/>
              <w:t>Access and follow organisation guidelines, policies and procedures</w:t>
            </w:r>
          </w:p>
          <w:p w:rsidR="00000000" w:rsidRPr="000234B0" w:rsidP="000234B0">
            <w:pPr>
              <w:pStyle w:val="BodyText"/>
            </w:pPr>
            <w:r w:rsidRPr="000234B0">
              <w:t>5.2</w:t>
            </w:r>
            <w:r w:rsidRPr="000234B0">
              <w:tab/>
              <w:t>Follow organisation administrative practices and procedures</w:t>
            </w:r>
          </w:p>
          <w:p w:rsidR="00000000" w:rsidRPr="000234B0" w:rsidP="000234B0">
            <w:pPr>
              <w:pStyle w:val="BodyText"/>
            </w:pPr>
            <w:r w:rsidRPr="000234B0">
              <w:t>5.3</w:t>
            </w:r>
            <w:r w:rsidRPr="000234B0">
              <w:tab/>
              <w:t>Access and follow legal and regulatory guidelines</w:t>
            </w:r>
          </w:p>
          <w:p w:rsidR="00000000" w:rsidRPr="000234B0" w:rsidP="000234B0">
            <w:pPr>
              <w:pStyle w:val="BodyText"/>
            </w:pPr>
            <w:r w:rsidRPr="000234B0">
              <w:t>5.4</w:t>
            </w:r>
            <w:r w:rsidRPr="000234B0">
              <w:tab/>
              <w:t>Document relev</w:t>
            </w:r>
            <w:r w:rsidRPr="000234B0">
              <w:t>ant information in accordance with organisation policies and procedures.</w:t>
            </w:r>
          </w:p>
        </w:tc>
      </w:tr>
    </w:tbl>
    <w:p w:rsidR="00C039C9" w:rsidP="000234B0">
      <w:pPr>
        <w:pStyle w:val="BodyText"/>
      </w:pPr>
    </w:p>
    <w:p w:rsidR="00C039C9" w:rsidP="000234B0">
      <w:pPr>
        <w:pStyle w:val="BodyText"/>
      </w:pPr>
    </w:p>
    <w:p w:rsidR="00000000" w:rsidRPr="000234B0" w:rsidP="000234B0">
      <w:pPr>
        <w:pStyle w:val="Heading1"/>
      </w:pPr>
      <w:bookmarkStart w:id="9" w:name="O_426475"/>
      <w:bookmarkEnd w:id="9"/>
      <w:r w:rsidRPr="000234B0">
        <w:t>Required Skills and Knowledge</w:t>
      </w:r>
    </w:p>
    <w:tbl>
      <w:tblPr>
        <w:tblW w:w="0" w:type="auto"/>
        <w:tblLayout w:type="fixed"/>
        <w:tblCellMar>
          <w:left w:w="62" w:type="dxa"/>
          <w:right w:w="62" w:type="dxa"/>
        </w:tblCellMar>
        <w:tblLook w:val="0000"/>
      </w:tblPr>
      <w:tblGrid>
        <w:gridCol w:w="9072"/>
      </w:tblGrid>
      <w:tr w:rsidTr="00C039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r w:rsidRPr="000234B0">
              <w:t>This describes the essential skills and knowledge and their level required for this unit.</w:t>
            </w:r>
          </w:p>
        </w:tc>
      </w:tr>
      <w:tr w:rsidTr="00C039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p>
        </w:tc>
      </w:tr>
      <w:tr w:rsidTr="00C039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234B0" w:rsidP="000234B0">
            <w:pPr>
              <w:pStyle w:val="BodyText"/>
            </w:pPr>
            <w:r w:rsidRPr="000234B0">
              <w:rPr>
                <w:rStyle w:val="Emphasis"/>
              </w:rPr>
              <w:t>Essential knowledge</w:t>
            </w:r>
            <w:r w:rsidRPr="000234B0">
              <w:t>:</w:t>
            </w:r>
          </w:p>
          <w:p w:rsidR="00000000" w:rsidRPr="000234B0" w:rsidP="000234B0">
            <w:pPr>
              <w:pStyle w:val="BodyText"/>
            </w:pPr>
            <w:r w:rsidRPr="000234B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234B0" w:rsidP="000234B0">
            <w:pPr>
              <w:pStyle w:val="BodyText"/>
            </w:pPr>
            <w:r w:rsidRPr="000234B0">
              <w:t xml:space="preserve">This includes </w:t>
            </w:r>
            <w:r w:rsidRPr="000234B0">
              <w:t>knowledge of:</w:t>
            </w:r>
          </w:p>
          <w:p w:rsidR="00000000" w:rsidRPr="000234B0" w:rsidP="000234B0">
            <w:pPr>
              <w:pStyle w:val="ListBullet"/>
            </w:pPr>
            <w:r w:rsidRPr="000234B0">
              <w:t>Biohazard nature of specimens handled in the laboratory</w:t>
            </w:r>
          </w:p>
          <w:p w:rsidR="00000000" w:rsidRPr="000234B0" w:rsidP="000234B0">
            <w:pPr>
              <w:pStyle w:val="ListBullet"/>
            </w:pPr>
            <w:r w:rsidRPr="000234B0">
              <w:t>Infection control requirements</w:t>
            </w:r>
          </w:p>
          <w:p w:rsidR="00000000" w:rsidRPr="000234B0" w:rsidP="000234B0">
            <w:pPr>
              <w:pStyle w:val="ListBullet"/>
            </w:pPr>
            <w:r w:rsidRPr="000234B0">
              <w:t>Laboratory policy and procedure manual</w:t>
            </w:r>
          </w:p>
          <w:p w:rsidR="00000000" w:rsidRPr="000234B0" w:rsidP="000234B0">
            <w:pPr>
              <w:pStyle w:val="ListBullet"/>
            </w:pPr>
            <w:r w:rsidRPr="000234B0">
              <w:t>Medical terminology</w:t>
            </w:r>
          </w:p>
          <w:p w:rsidR="00000000" w:rsidP="000234B0">
            <w:pPr>
              <w:pStyle w:val="ListBullet"/>
              <w:rPr>
                <w:lang w:val="en-NZ"/>
              </w:rPr>
            </w:pPr>
            <w:r w:rsidRPr="000234B0">
              <w:t>WHS requirements</w:t>
            </w:r>
          </w:p>
        </w:tc>
      </w:tr>
      <w:tr w:rsidTr="00C039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p>
        </w:tc>
      </w:tr>
      <w:tr w:rsidTr="00C039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234B0" w:rsidP="000234B0">
            <w:pPr>
              <w:pStyle w:val="BodyText"/>
            </w:pPr>
            <w:r w:rsidRPr="000234B0">
              <w:rPr>
                <w:rStyle w:val="Emphasis"/>
              </w:rPr>
              <w:t>Essential skills</w:t>
            </w:r>
            <w:r w:rsidRPr="000234B0">
              <w:t>:</w:t>
            </w:r>
          </w:p>
          <w:p w:rsidR="00000000" w:rsidRPr="000234B0" w:rsidP="000234B0">
            <w:pPr>
              <w:pStyle w:val="BodyText"/>
            </w:pPr>
            <w:r w:rsidRPr="000234B0">
              <w:t>It is critical that the candidate demonstrate the ability</w:t>
            </w:r>
            <w:r w:rsidRPr="000234B0">
              <w:t xml:space="preserve"> to effectively do the task outlined in elements and performance criteria of this unit, manage the task and manage contingencies in the context of the identified work role</w:t>
            </w:r>
          </w:p>
          <w:p w:rsidR="00000000" w:rsidRPr="000234B0" w:rsidP="000234B0">
            <w:pPr>
              <w:pStyle w:val="BodyText"/>
            </w:pPr>
            <w:r w:rsidRPr="000234B0">
              <w:t>This includes the ability to:</w:t>
            </w:r>
          </w:p>
          <w:p w:rsidR="00000000" w:rsidRPr="000234B0" w:rsidP="000234B0">
            <w:pPr>
              <w:pStyle w:val="ListBullet"/>
            </w:pPr>
            <w:r w:rsidRPr="000234B0">
              <w:t>Comply with organisation policies and procedures including those of WHS and infection control, and current standards</w:t>
            </w:r>
          </w:p>
          <w:p w:rsidR="00000000" w:rsidRPr="000234B0" w:rsidP="000234B0">
            <w:pPr>
              <w:pStyle w:val="ListBullet"/>
            </w:pPr>
            <w:r w:rsidRPr="000234B0">
              <w:t>Comply with relevant policies, protocols, guidelines and procedures of the organisation</w:t>
            </w:r>
          </w:p>
          <w:p w:rsidR="00000000" w:rsidRPr="000234B0" w:rsidP="000234B0">
            <w:pPr>
              <w:pStyle w:val="ListBullet"/>
            </w:pPr>
            <w:r w:rsidRPr="000234B0">
              <w:t>Deal with conflict</w:t>
            </w:r>
          </w:p>
          <w:p w:rsidR="00000000" w:rsidRPr="000234B0" w:rsidP="000234B0">
            <w:pPr>
              <w:pStyle w:val="ListBullet"/>
            </w:pPr>
            <w:r w:rsidRPr="000234B0">
              <w:t>Demonstrate understanding of wor</w:t>
            </w:r>
            <w:r w:rsidRPr="000234B0">
              <w:t>k lists and their role in preparation of samples for testing</w:t>
            </w:r>
          </w:p>
          <w:p w:rsidR="00000000" w:rsidRPr="000234B0" w:rsidP="000234B0">
            <w:pPr>
              <w:pStyle w:val="ListBullet"/>
            </w:pPr>
            <w:r w:rsidRPr="000234B0">
              <w:t>Effectively communicate with internal and external clients</w:t>
            </w:r>
          </w:p>
          <w:p w:rsidR="00000000" w:rsidRPr="000234B0" w:rsidP="000234B0">
            <w:pPr>
              <w:pStyle w:val="ListBullet"/>
            </w:pPr>
            <w:r w:rsidRPr="000234B0">
              <w:t xml:space="preserve">Follow instructions </w:t>
            </w:r>
          </w:p>
          <w:p w:rsidR="00000000" w:rsidRPr="000234B0" w:rsidP="000234B0">
            <w:pPr>
              <w:pStyle w:val="ListBullet"/>
            </w:pPr>
            <w:r w:rsidRPr="000234B0">
              <w:t>Handle hazardous chemicals</w:t>
            </w:r>
          </w:p>
          <w:p w:rsidR="00000000" w:rsidRPr="000234B0" w:rsidP="000234B0">
            <w:pPr>
              <w:pStyle w:val="ListBullet"/>
            </w:pPr>
            <w:r w:rsidRPr="000234B0">
              <w:t>Take into account opportunities to address waste minimisation, environmental responsibil</w:t>
            </w:r>
            <w:r w:rsidRPr="000234B0">
              <w:t>ity and sustainable practice issues</w:t>
            </w:r>
          </w:p>
          <w:p w:rsidR="00000000" w:rsidRPr="000234B0" w:rsidP="000234B0">
            <w:pPr>
              <w:pStyle w:val="ListBullet"/>
            </w:pPr>
            <w:r w:rsidRPr="000234B0">
              <w:t>Use basic computer skills</w:t>
            </w:r>
          </w:p>
          <w:p w:rsidR="00000000" w:rsidRPr="000234B0" w:rsidP="000234B0">
            <w:pPr>
              <w:pStyle w:val="ListBullet"/>
            </w:pPr>
            <w:r w:rsidRPr="000234B0">
              <w:t>Use numeracy skills ranging from the ability to complete basic arithmetic calculations, recording stock levels and statistical information</w:t>
            </w:r>
          </w:p>
          <w:p w:rsidR="00000000" w:rsidRPr="000234B0" w:rsidP="000234B0">
            <w:pPr>
              <w:pStyle w:val="ListBullet"/>
            </w:pPr>
            <w:r w:rsidRPr="000234B0">
              <w:t>Use oral communication skills required to fulfil job ro</w:t>
            </w:r>
            <w:r w:rsidRPr="000234B0">
              <w:t>les in a safe manner and as specified by the organisation, including skills in:</w:t>
            </w:r>
          </w:p>
          <w:p w:rsidR="00000000" w:rsidRPr="000234B0" w:rsidP="000234B0">
            <w:pPr>
              <w:pStyle w:val="ListBullet2"/>
            </w:pPr>
            <w:r w:rsidRPr="000234B0">
              <w:t>asking questions</w:t>
            </w:r>
          </w:p>
          <w:p w:rsidR="00000000" w:rsidRPr="000234B0" w:rsidP="000234B0">
            <w:pPr>
              <w:pStyle w:val="ListBullet2"/>
            </w:pPr>
            <w:r w:rsidRPr="000234B0">
              <w:t>providing clear information</w:t>
            </w:r>
          </w:p>
          <w:p w:rsidR="00000000" w:rsidRPr="000234B0" w:rsidP="000234B0">
            <w:pPr>
              <w:pStyle w:val="ListBullet2"/>
            </w:pPr>
            <w:r w:rsidRPr="000234B0">
              <w:t>listening to and understanding workplace instructions</w:t>
            </w:r>
          </w:p>
          <w:p w:rsidR="00000000" w:rsidRPr="000234B0" w:rsidP="000234B0">
            <w:pPr>
              <w:pStyle w:val="ListBullet2"/>
            </w:pPr>
            <w:r w:rsidRPr="000234B0">
              <w:t>clarifying workplace instructions when necessary</w:t>
            </w:r>
          </w:p>
          <w:p w:rsidR="00000000" w:rsidRPr="000234B0" w:rsidP="000234B0">
            <w:pPr>
              <w:pStyle w:val="ListBullet2"/>
            </w:pPr>
            <w:r w:rsidRPr="000234B0">
              <w:t xml:space="preserve">use effective verbal and non verbal communication skills with a range of internal and external persons </w:t>
            </w:r>
          </w:p>
          <w:p w:rsidR="00000000" w:rsidRPr="000234B0" w:rsidP="000234B0">
            <w:pPr>
              <w:pStyle w:val="ListBullet2"/>
            </w:pPr>
            <w:r w:rsidRPr="000234B0">
              <w:t>literacy in English or a community language, depending on client group organisation requirements</w:t>
            </w:r>
          </w:p>
          <w:p w:rsidR="00000000" w:rsidRPr="000234B0" w:rsidP="000234B0">
            <w:pPr>
              <w:pStyle w:val="ListBullet"/>
            </w:pPr>
            <w:r w:rsidRPr="000234B0">
              <w:t>Use problem solving skills required including an abili</w:t>
            </w:r>
            <w:r w:rsidRPr="000234B0">
              <w:t>ty to use available resources</w:t>
            </w:r>
          </w:p>
          <w:p w:rsidR="00000000" w:rsidRPr="000234B0" w:rsidP="000234B0">
            <w:pPr>
              <w:pStyle w:val="ListBullet"/>
            </w:pPr>
            <w:r w:rsidRPr="000234B0">
              <w:t xml:space="preserve">Use reading and writing skills required to fulfil job roles in a safe manner and as specified by the organisation at a level of skill that involves reading and documenting clinical information and understanding complex policy </w:t>
            </w:r>
            <w:r w:rsidRPr="000234B0">
              <w:t>and procedure manuals</w:t>
            </w:r>
          </w:p>
          <w:p w:rsidR="00000000" w:rsidRPr="000234B0" w:rsidP="000234B0">
            <w:pPr>
              <w:pStyle w:val="ListBullet"/>
            </w:pPr>
            <w:r w:rsidRPr="000234B0">
              <w:t>Use time management strategies to set priorities</w:t>
            </w:r>
          </w:p>
          <w:p w:rsidR="00000000" w:rsidRPr="000234B0" w:rsidP="000234B0">
            <w:pPr>
              <w:pStyle w:val="ListBullet"/>
            </w:pPr>
            <w:r w:rsidRPr="000234B0">
              <w:t>Work with others within a team</w:t>
            </w:r>
          </w:p>
        </w:tc>
      </w:tr>
    </w:tbl>
    <w:p w:rsidR="00C039C9" w:rsidP="000234B0">
      <w:pPr>
        <w:pStyle w:val="BodyText"/>
      </w:pPr>
    </w:p>
    <w:p w:rsidR="00C039C9" w:rsidP="000234B0">
      <w:pPr>
        <w:pStyle w:val="BodyText"/>
      </w:pPr>
    </w:p>
    <w:p w:rsidR="00000000" w:rsidRPr="000234B0" w:rsidP="000234B0">
      <w:pPr>
        <w:pStyle w:val="Heading1"/>
      </w:pPr>
      <w:bookmarkStart w:id="10" w:name="O_426470"/>
      <w:bookmarkEnd w:id="10"/>
      <w:r w:rsidRPr="000234B0">
        <w:t>Evidence Guide</w:t>
      </w:r>
    </w:p>
    <w:tbl>
      <w:tblPr>
        <w:tblW w:w="0" w:type="auto"/>
        <w:tblLayout w:type="fixed"/>
        <w:tblCellMar>
          <w:left w:w="62" w:type="dxa"/>
          <w:right w:w="62" w:type="dxa"/>
        </w:tblCellMar>
        <w:tblLook w:val="0000"/>
      </w:tblPr>
      <w:tblGrid>
        <w:gridCol w:w="3402"/>
        <w:gridCol w:w="5670"/>
      </w:tblGrid>
      <w:tr w:rsidTr="00C039C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234B0">
            <w:pPr>
              <w:pStyle w:val="BodyText"/>
              <w:rPr>
                <w:lang w:val="en-NZ"/>
              </w:rPr>
            </w:pPr>
            <w:r w:rsidRPr="000234B0">
              <w:rPr>
                <w:rStyle w:val="SpecialBold"/>
              </w:rPr>
              <w:t>EVIDENCE GUIDE</w:t>
            </w:r>
          </w:p>
        </w:tc>
      </w:tr>
      <w:tr w:rsidTr="00C039C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34B0">
            <w:pPr>
              <w:pStyle w:val="BodyText"/>
              <w:rPr>
                <w:lang w:val="en-NZ"/>
              </w:rPr>
            </w:pPr>
          </w:p>
        </w:tc>
      </w:tr>
      <w:tr w:rsidTr="00C039C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34B0">
            <w:pPr>
              <w:pStyle w:val="BodyText"/>
              <w:rPr>
                <w:lang w:val="en-NZ"/>
              </w:rPr>
            </w:pPr>
            <w:r w:rsidRPr="000234B0">
              <w:t>The evidence guide provides advice on assessment and must be read in conjunction with the Performance Criteria, Required Skills and Knowledge, the Range Statement and the Assessment Guidelines for this Training Package.</w:t>
            </w:r>
          </w:p>
        </w:tc>
      </w:tr>
      <w:tr w:rsidTr="00C039C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34B0">
            <w:pPr>
              <w:pStyle w:val="BodyText"/>
              <w:rPr>
                <w:lang w:val="en-NZ"/>
              </w:rPr>
            </w:pPr>
          </w:p>
        </w:tc>
      </w:tr>
      <w:tr w:rsidTr="00C039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r w:rsidRPr="000234B0">
              <w:rPr>
                <w:rStyle w:val="Emphasis"/>
              </w:rPr>
              <w:t>Critical aspects for assessment</w:t>
            </w:r>
            <w:r w:rsidRPr="000234B0">
              <w:rPr>
                <w:rStyle w:val="Emphasis"/>
              </w:rPr>
              <w:t xml:space="preserve"> and evidence required to demonstrate this competency unit</w:t>
            </w:r>
            <w:r w:rsidRPr="000234B0">
              <w:t xml:space="preserve">: </w:t>
            </w:r>
          </w:p>
        </w:tc>
        <w:tc>
          <w:tcPr>
            <w:tcW w:w="5670" w:type="dxa"/>
            <w:tcBorders>
              <w:top w:val="nil"/>
              <w:left w:val="nil"/>
              <w:bottom w:val="nil"/>
              <w:right w:val="nil"/>
            </w:tcBorders>
            <w:tcMar>
              <w:top w:w="0" w:type="dxa"/>
              <w:left w:w="62" w:type="dxa"/>
              <w:bottom w:w="0" w:type="dxa"/>
              <w:right w:w="62" w:type="dxa"/>
            </w:tcMar>
          </w:tcPr>
          <w:p w:rsidR="00000000" w:rsidRPr="000234B0" w:rsidP="000234B0">
            <w:pPr>
              <w:pStyle w:val="ListBullet"/>
            </w:pPr>
            <w:r w:rsidRPr="000234B0">
              <w:t>The individual being assessed must provide evidence of specified essential knowledge as well as skills</w:t>
            </w:r>
          </w:p>
          <w:p w:rsidR="00000000" w:rsidRPr="000234B0" w:rsidP="000234B0">
            <w:pPr>
              <w:pStyle w:val="ListBullet"/>
            </w:pPr>
            <w:r w:rsidRPr="000234B0">
              <w:t>Observation of workplace performance is essential for assessment of this unit</w:t>
            </w:r>
          </w:p>
          <w:p w:rsidR="00000000" w:rsidRPr="000234B0" w:rsidP="000234B0">
            <w:pPr>
              <w:pStyle w:val="ListBullet"/>
            </w:pPr>
            <w:r w:rsidRPr="000234B0">
              <w:t>Consistency o</w:t>
            </w:r>
            <w:r w:rsidRPr="000234B0">
              <w:t>f performance should be demonstrated over the required range of situations relevant to the workplace</w:t>
            </w:r>
          </w:p>
          <w:p w:rsidR="00000000" w:rsidP="000234B0">
            <w:pPr>
              <w:pStyle w:val="ListBullet"/>
              <w:rPr>
                <w:lang w:val="en-NZ"/>
              </w:rPr>
            </w:pPr>
            <w:r w:rsidRPr="000234B0">
              <w:t>Where, for reasons of safety, space, or access to equipment and resources, assessment takes place away from the workplace, the assessment environment shoul</w:t>
            </w:r>
            <w:r w:rsidRPr="000234B0">
              <w:t>d represent workplace conditions as closely as possible</w:t>
            </w:r>
          </w:p>
        </w:tc>
      </w:tr>
      <w:tr w:rsidTr="00C039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p>
        </w:tc>
      </w:tr>
      <w:tr w:rsidTr="00C039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r w:rsidRPr="000234B0">
              <w:rPr>
                <w:rStyle w:val="Emphasis"/>
              </w:rPr>
              <w:t>Context of and specific resources for assessment</w:t>
            </w:r>
            <w:r w:rsidRPr="000234B0">
              <w:t xml:space="preserve">: </w:t>
            </w:r>
          </w:p>
        </w:tc>
        <w:tc>
          <w:tcPr>
            <w:tcW w:w="5670" w:type="dxa"/>
            <w:tcBorders>
              <w:top w:val="nil"/>
              <w:left w:val="nil"/>
              <w:bottom w:val="nil"/>
              <w:right w:val="nil"/>
            </w:tcBorders>
            <w:tcMar>
              <w:top w:w="0" w:type="dxa"/>
              <w:left w:w="62" w:type="dxa"/>
              <w:bottom w:w="0" w:type="dxa"/>
              <w:right w:w="62" w:type="dxa"/>
            </w:tcMar>
          </w:tcPr>
          <w:p w:rsidR="00000000" w:rsidRPr="000234B0" w:rsidP="000234B0">
            <w:pPr>
              <w:pStyle w:val="ListBullet"/>
            </w:pPr>
            <w:r w:rsidRPr="000234B0">
              <w:t xml:space="preserve">Equipment </w:t>
            </w:r>
          </w:p>
          <w:p w:rsidR="00000000" w:rsidRPr="000234B0" w:rsidP="000234B0">
            <w:pPr>
              <w:pStyle w:val="ListBullet"/>
            </w:pPr>
            <w:r w:rsidRPr="000234B0">
              <w:t>Laboratory policy and procedure manual</w:t>
            </w:r>
          </w:p>
          <w:p w:rsidR="00000000" w:rsidRPr="000234B0" w:rsidP="000234B0">
            <w:pPr>
              <w:pStyle w:val="ListBullet"/>
            </w:pPr>
            <w:r w:rsidRPr="000234B0">
              <w:t>Occupational health and safety requirements</w:t>
            </w:r>
          </w:p>
          <w:p w:rsidR="00000000" w:rsidP="000234B0">
            <w:pPr>
              <w:pStyle w:val="ListBullet"/>
              <w:rPr>
                <w:lang w:val="en-NZ"/>
              </w:rPr>
            </w:pPr>
            <w:r w:rsidRPr="000234B0">
              <w:t>Infection control manual</w:t>
            </w:r>
          </w:p>
        </w:tc>
      </w:tr>
      <w:tr w:rsidTr="00C039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p>
        </w:tc>
      </w:tr>
      <w:tr w:rsidTr="00C039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r w:rsidRPr="000234B0">
              <w:rPr>
                <w:rStyle w:val="Emphasis"/>
              </w:rPr>
              <w:t>Method of assessment</w:t>
            </w:r>
            <w:r w:rsidRPr="000234B0">
              <w:t xml:space="preserve"> </w:t>
            </w:r>
          </w:p>
        </w:tc>
        <w:tc>
          <w:tcPr>
            <w:tcW w:w="5670" w:type="dxa"/>
            <w:tcBorders>
              <w:top w:val="nil"/>
              <w:left w:val="nil"/>
              <w:bottom w:val="nil"/>
              <w:right w:val="nil"/>
            </w:tcBorders>
            <w:tcMar>
              <w:top w:w="0" w:type="dxa"/>
              <w:left w:w="62" w:type="dxa"/>
              <w:bottom w:w="0" w:type="dxa"/>
              <w:right w:w="62" w:type="dxa"/>
            </w:tcMar>
          </w:tcPr>
          <w:p w:rsidR="00000000" w:rsidRPr="000234B0" w:rsidP="000234B0">
            <w:pPr>
              <w:pStyle w:val="ListBullet"/>
            </w:pPr>
            <w:r w:rsidRPr="000234B0">
              <w:t>Observation in the work place (if possible)</w:t>
            </w:r>
          </w:p>
          <w:p w:rsidR="00000000" w:rsidRPr="000234B0" w:rsidP="000234B0">
            <w:pPr>
              <w:pStyle w:val="ListBullet"/>
            </w:pPr>
            <w:r w:rsidRPr="000234B0">
              <w:t>Written assignments/projects or questioning should be used to assess knowledge</w:t>
            </w:r>
          </w:p>
          <w:p w:rsidR="00000000" w:rsidRPr="000234B0" w:rsidP="000234B0">
            <w:pPr>
              <w:pStyle w:val="ListBullet"/>
            </w:pPr>
            <w:r w:rsidRPr="000234B0">
              <w:t>Case study and scenario as a basis for discussion of issues and strategies to contribute to best practice.</w:t>
            </w:r>
          </w:p>
          <w:p w:rsidR="00000000" w:rsidP="000234B0">
            <w:pPr>
              <w:pStyle w:val="ListBullet"/>
              <w:rPr>
                <w:lang w:val="en-NZ"/>
              </w:rPr>
            </w:pPr>
            <w:r w:rsidRPr="000234B0">
              <w:t>Clinical skills involving direct client care are to be assessed initially in a simulated clinical setting (laboratory). If successful, a second assessment is to be conducted during workplace application under direct supervision.</w:t>
            </w:r>
          </w:p>
        </w:tc>
      </w:tr>
      <w:tr w:rsidTr="00C039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p>
        </w:tc>
      </w:tr>
      <w:tr w:rsidTr="00C039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r w:rsidRPr="000234B0">
              <w:rPr>
                <w:rStyle w:val="Emphasis"/>
              </w:rPr>
              <w:t>Access and equity consi</w:t>
            </w:r>
            <w:r w:rsidRPr="000234B0">
              <w:rPr>
                <w:rStyle w:val="Emphasis"/>
              </w:rPr>
              <w:t>derations</w:t>
            </w:r>
            <w:r w:rsidRPr="000234B0">
              <w:t>:</w:t>
            </w:r>
          </w:p>
        </w:tc>
        <w:tc>
          <w:tcPr>
            <w:tcW w:w="5670" w:type="dxa"/>
            <w:tcBorders>
              <w:top w:val="nil"/>
              <w:left w:val="nil"/>
              <w:bottom w:val="nil"/>
              <w:right w:val="nil"/>
            </w:tcBorders>
            <w:tcMar>
              <w:top w:w="0" w:type="dxa"/>
              <w:left w:w="62" w:type="dxa"/>
              <w:bottom w:w="0" w:type="dxa"/>
              <w:right w:w="62" w:type="dxa"/>
            </w:tcMar>
          </w:tcPr>
          <w:p w:rsidR="00000000" w:rsidRPr="000234B0" w:rsidP="000234B0">
            <w:pPr>
              <w:pStyle w:val="ListBullet"/>
            </w:pPr>
            <w:r w:rsidRPr="000234B0">
              <w:t>All workers in the health industry should be aware of access and equity issues in relation to their own area of work</w:t>
            </w:r>
          </w:p>
          <w:p w:rsidR="00000000" w:rsidRPr="000234B0" w:rsidP="000234B0">
            <w:pPr>
              <w:pStyle w:val="ListBullet"/>
            </w:pPr>
            <w:r w:rsidRPr="000234B0">
              <w:t xml:space="preserve">All workers should develop their ability to work in a culturally diverse environment </w:t>
            </w:r>
          </w:p>
          <w:p w:rsidR="00000000" w:rsidRPr="000234B0" w:rsidP="000234B0">
            <w:pPr>
              <w:pStyle w:val="ListBullet"/>
            </w:pPr>
            <w:r w:rsidRPr="000234B0">
              <w:t>In recognition of particular health issue</w:t>
            </w:r>
            <w:r w:rsidRPr="000234B0">
              <w:t>s facing Aboriginal and Torres Strait Islander communities, workers should be aware of cultural, historical and current issues impacting on health of Aboriginal and Torres Strait Islander people</w:t>
            </w:r>
          </w:p>
          <w:p w:rsidR="00000000" w:rsidP="000234B0">
            <w:pPr>
              <w:pStyle w:val="ListBullet"/>
              <w:rPr>
                <w:lang w:val="en-NZ"/>
              </w:rPr>
            </w:pPr>
            <w:r w:rsidRPr="000234B0">
              <w:t>Assessors and trainers must take into account relevant access</w:t>
            </w:r>
            <w:r w:rsidRPr="000234B0">
              <w:t xml:space="preserve"> and equity issues, in particular relating to factors impacting on health of Aboriginal and/or Torres Strait Islander clients and communities</w:t>
            </w:r>
          </w:p>
        </w:tc>
      </w:tr>
      <w:tr w:rsidTr="00C039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234B0" w:rsidP="000234B0">
            <w:pPr>
              <w:pStyle w:val="BodyText"/>
            </w:pPr>
          </w:p>
        </w:tc>
      </w:tr>
    </w:tbl>
    <w:p w:rsidR="00C039C9" w:rsidP="000234B0">
      <w:pPr>
        <w:pStyle w:val="BodyText"/>
      </w:pPr>
    </w:p>
    <w:p w:rsidR="00C039C9" w:rsidP="000234B0">
      <w:pPr>
        <w:pStyle w:val="BodyText"/>
      </w:pPr>
    </w:p>
    <w:p w:rsidR="00000000" w:rsidRPr="000234B0" w:rsidP="000234B0">
      <w:pPr>
        <w:pStyle w:val="Heading1"/>
      </w:pPr>
      <w:bookmarkStart w:id="11" w:name="O_426474"/>
      <w:bookmarkEnd w:id="11"/>
      <w:r w:rsidRPr="000234B0">
        <w:t>Range Statement</w:t>
      </w:r>
    </w:p>
    <w:tbl>
      <w:tblPr>
        <w:tblW w:w="0" w:type="auto"/>
        <w:tblLayout w:type="fixed"/>
        <w:tblCellMar>
          <w:left w:w="62" w:type="dxa"/>
          <w:right w:w="62" w:type="dxa"/>
        </w:tblCellMar>
        <w:tblLook w:val="0000"/>
      </w:tblPr>
      <w:tblGrid>
        <w:gridCol w:w="3402"/>
        <w:gridCol w:w="5670"/>
      </w:tblGrid>
      <w:tr w:rsidTr="00C039C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34B0">
            <w:pPr>
              <w:pStyle w:val="BodyText"/>
              <w:rPr>
                <w:lang w:val="en-NZ"/>
              </w:rPr>
            </w:pPr>
            <w:r w:rsidRPr="000234B0">
              <w:t>The Range Statement relates to the unit of competency as a whole. It allows for different work environments and situations that may affect performance. Add any essential operating conditions that may be present with training and assessment depending on the</w:t>
            </w:r>
            <w:r w:rsidRPr="000234B0">
              <w:t xml:space="preserve"> work situation, needs of the candidate, accessibility of the item, and local industry and regional contexts.</w:t>
            </w:r>
          </w:p>
        </w:tc>
      </w:tr>
      <w:tr w:rsidTr="00C039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p>
        </w:tc>
      </w:tr>
      <w:tr w:rsidTr="00C039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r w:rsidRPr="000234B0">
              <w:rPr>
                <w:rStyle w:val="Emphasis"/>
              </w:rPr>
              <w:t>Modes of practice may include</w:t>
            </w:r>
            <w:r w:rsidRPr="000234B0">
              <w:t>:</w:t>
            </w:r>
          </w:p>
        </w:tc>
        <w:tc>
          <w:tcPr>
            <w:tcW w:w="5670" w:type="dxa"/>
            <w:tcBorders>
              <w:top w:val="nil"/>
              <w:left w:val="nil"/>
              <w:bottom w:val="nil"/>
              <w:right w:val="nil"/>
            </w:tcBorders>
            <w:tcMar>
              <w:top w:w="0" w:type="dxa"/>
              <w:left w:w="62" w:type="dxa"/>
              <w:bottom w:w="0" w:type="dxa"/>
              <w:right w:w="62" w:type="dxa"/>
            </w:tcMar>
          </w:tcPr>
          <w:p w:rsidR="00000000" w:rsidRPr="000234B0" w:rsidP="000234B0">
            <w:pPr>
              <w:pStyle w:val="ListBullet"/>
            </w:pPr>
            <w:r w:rsidRPr="000234B0">
              <w:t>Specimen reception</w:t>
            </w:r>
          </w:p>
          <w:p w:rsidR="00000000" w:rsidRPr="000234B0" w:rsidP="000234B0">
            <w:pPr>
              <w:pStyle w:val="ListBullet"/>
            </w:pPr>
            <w:r w:rsidRPr="000234B0">
              <w:t>Specimen set up</w:t>
            </w:r>
          </w:p>
          <w:p w:rsidR="00000000" w:rsidRPr="000234B0" w:rsidP="000234B0">
            <w:pPr>
              <w:pStyle w:val="ListBullet"/>
            </w:pPr>
            <w:r w:rsidRPr="000234B0">
              <w:t>Sample identification and processing as per organisation requirements</w:t>
            </w:r>
          </w:p>
          <w:p w:rsidR="00000000" w:rsidP="000234B0">
            <w:pPr>
              <w:pStyle w:val="ListBullet"/>
              <w:rPr>
                <w:lang w:val="en-NZ"/>
              </w:rPr>
            </w:pPr>
            <w:r w:rsidRPr="000234B0">
              <w:t>Loading analysers</w:t>
            </w:r>
          </w:p>
        </w:tc>
      </w:tr>
      <w:tr w:rsidTr="00C039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p>
        </w:tc>
      </w:tr>
      <w:tr w:rsidTr="00C039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r w:rsidRPr="000234B0">
              <w:rPr>
                <w:rStyle w:val="Emphasis"/>
              </w:rPr>
              <w:t>Current legislation may include</w:t>
            </w:r>
          </w:p>
        </w:tc>
        <w:tc>
          <w:tcPr>
            <w:tcW w:w="5670" w:type="dxa"/>
            <w:tcBorders>
              <w:top w:val="nil"/>
              <w:left w:val="nil"/>
              <w:bottom w:val="nil"/>
              <w:right w:val="nil"/>
            </w:tcBorders>
            <w:tcMar>
              <w:top w:w="0" w:type="dxa"/>
              <w:left w:w="62" w:type="dxa"/>
              <w:bottom w:w="0" w:type="dxa"/>
              <w:right w:w="62" w:type="dxa"/>
            </w:tcMar>
          </w:tcPr>
          <w:p w:rsidR="00000000" w:rsidRPr="000234B0" w:rsidP="000234B0">
            <w:pPr>
              <w:pStyle w:val="ListBullet"/>
            </w:pPr>
            <w:r w:rsidRPr="000234B0">
              <w:t>Relevant Commonwealth, State or Territory Acts and Regulations specific to Pathology</w:t>
            </w:r>
          </w:p>
          <w:p w:rsidR="00000000" w:rsidRPr="000234B0" w:rsidP="000234B0">
            <w:pPr>
              <w:pStyle w:val="ListBullet"/>
            </w:pPr>
            <w:r w:rsidRPr="000234B0">
              <w:t>Other relevant Acts and regulations including:</w:t>
            </w:r>
          </w:p>
          <w:p w:rsidR="00000000" w:rsidRPr="000234B0" w:rsidP="000234B0">
            <w:pPr>
              <w:pStyle w:val="ListBullet2"/>
            </w:pPr>
            <w:r w:rsidRPr="000234B0">
              <w:t>Work health and safety (WHS)</w:t>
            </w:r>
          </w:p>
          <w:p w:rsidR="00000000" w:rsidRPr="000234B0" w:rsidP="000234B0">
            <w:pPr>
              <w:pStyle w:val="ListBullet2"/>
            </w:pPr>
            <w:r w:rsidRPr="000234B0">
              <w:t>Privacy</w:t>
            </w:r>
          </w:p>
          <w:p w:rsidR="00000000" w:rsidRPr="000234B0" w:rsidP="000234B0">
            <w:pPr>
              <w:pStyle w:val="ListBullet2"/>
            </w:pPr>
            <w:r w:rsidRPr="000234B0">
              <w:t>Discrimination</w:t>
            </w:r>
          </w:p>
          <w:p w:rsidR="00000000" w:rsidP="000234B0">
            <w:pPr>
              <w:pStyle w:val="ListBullet2"/>
              <w:rPr>
                <w:lang w:val="en-NZ"/>
              </w:rPr>
            </w:pPr>
            <w:r w:rsidRPr="000234B0">
              <w:t>NATA and ISO accreditation</w:t>
            </w:r>
          </w:p>
        </w:tc>
      </w:tr>
      <w:tr w:rsidTr="00C039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p>
        </w:tc>
      </w:tr>
      <w:tr w:rsidTr="00C039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r w:rsidRPr="000234B0">
              <w:rPr>
                <w:rStyle w:val="Emphasis"/>
              </w:rPr>
              <w:t>Workers within a pathology laboratory may include but is not limited to</w:t>
            </w:r>
            <w:r w:rsidRPr="000234B0">
              <w:t>:</w:t>
            </w:r>
          </w:p>
        </w:tc>
        <w:tc>
          <w:tcPr>
            <w:tcW w:w="5670" w:type="dxa"/>
            <w:tcBorders>
              <w:top w:val="nil"/>
              <w:left w:val="nil"/>
              <w:bottom w:val="nil"/>
              <w:right w:val="nil"/>
            </w:tcBorders>
            <w:tcMar>
              <w:top w:w="0" w:type="dxa"/>
              <w:left w:w="62" w:type="dxa"/>
              <w:bottom w:w="0" w:type="dxa"/>
              <w:right w:w="62" w:type="dxa"/>
            </w:tcMar>
          </w:tcPr>
          <w:p w:rsidR="00000000" w:rsidRPr="000234B0" w:rsidP="000234B0">
            <w:pPr>
              <w:pStyle w:val="ListBullet"/>
            </w:pPr>
            <w:r w:rsidRPr="000234B0">
              <w:t>Pathologist</w:t>
            </w:r>
          </w:p>
          <w:p w:rsidR="00000000" w:rsidRPr="000234B0" w:rsidP="000234B0">
            <w:pPr>
              <w:pStyle w:val="ListBullet"/>
            </w:pPr>
            <w:r w:rsidRPr="000234B0">
              <w:t>Scientist</w:t>
            </w:r>
          </w:p>
          <w:p w:rsidR="00000000" w:rsidRPr="000234B0" w:rsidP="000234B0">
            <w:pPr>
              <w:pStyle w:val="ListBullet"/>
            </w:pPr>
            <w:r w:rsidRPr="000234B0">
              <w:t>Laboratory technician</w:t>
            </w:r>
          </w:p>
          <w:p w:rsidR="00000000" w:rsidRPr="000234B0" w:rsidP="000234B0">
            <w:pPr>
              <w:pStyle w:val="ListBullet"/>
            </w:pPr>
            <w:r w:rsidRPr="000234B0">
              <w:t>Pathology assistant</w:t>
            </w:r>
          </w:p>
          <w:p w:rsidR="00000000" w:rsidRPr="000234B0" w:rsidP="000234B0">
            <w:pPr>
              <w:pStyle w:val="ListBullet"/>
            </w:pPr>
            <w:r w:rsidRPr="000234B0">
              <w:t>Phlebotomist</w:t>
            </w:r>
          </w:p>
          <w:p w:rsidR="00000000" w:rsidP="000234B0">
            <w:pPr>
              <w:pStyle w:val="ListBullet"/>
              <w:rPr>
                <w:lang w:val="en-NZ"/>
              </w:rPr>
            </w:pPr>
            <w:r w:rsidRPr="000234B0">
              <w:t>Ancillary staff</w:t>
            </w:r>
          </w:p>
        </w:tc>
      </w:tr>
      <w:tr w:rsidTr="00C039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p>
        </w:tc>
      </w:tr>
      <w:tr w:rsidTr="00C039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r w:rsidRPr="000234B0">
              <w:rPr>
                <w:rStyle w:val="Emphasis"/>
              </w:rPr>
              <w:t>Roles and responsibilities of pathology assistants may include</w:t>
            </w:r>
          </w:p>
        </w:tc>
        <w:tc>
          <w:tcPr>
            <w:tcW w:w="5670" w:type="dxa"/>
            <w:tcBorders>
              <w:top w:val="nil"/>
              <w:left w:val="nil"/>
              <w:bottom w:val="nil"/>
              <w:right w:val="nil"/>
            </w:tcBorders>
            <w:tcMar>
              <w:top w:w="0" w:type="dxa"/>
              <w:left w:w="62" w:type="dxa"/>
              <w:bottom w:w="0" w:type="dxa"/>
              <w:right w:w="62" w:type="dxa"/>
            </w:tcMar>
          </w:tcPr>
          <w:p w:rsidR="00000000" w:rsidRPr="000234B0" w:rsidP="000234B0">
            <w:pPr>
              <w:pStyle w:val="ListBullet"/>
            </w:pPr>
            <w:r w:rsidRPr="000234B0">
              <w:t>Specimen reception</w:t>
            </w:r>
          </w:p>
          <w:p w:rsidR="00000000" w:rsidRPr="000234B0" w:rsidP="000234B0">
            <w:pPr>
              <w:pStyle w:val="ListBullet"/>
            </w:pPr>
            <w:r w:rsidRPr="000234B0">
              <w:t>Data entry</w:t>
            </w:r>
          </w:p>
          <w:p w:rsidR="00000000" w:rsidRPr="000234B0" w:rsidP="000234B0">
            <w:pPr>
              <w:pStyle w:val="ListBullet"/>
            </w:pPr>
            <w:r w:rsidRPr="000234B0">
              <w:t>Specimen separation and storage</w:t>
            </w:r>
          </w:p>
          <w:p w:rsidR="00000000" w:rsidRPr="000234B0" w:rsidP="000234B0">
            <w:pPr>
              <w:pStyle w:val="ListBullet"/>
            </w:pPr>
            <w:r w:rsidRPr="000234B0">
              <w:t>Sample Identification and confirmation</w:t>
            </w:r>
          </w:p>
          <w:p w:rsidR="00000000" w:rsidRPr="000234B0" w:rsidP="000234B0">
            <w:pPr>
              <w:pStyle w:val="ListBullet"/>
            </w:pPr>
            <w:r w:rsidRPr="000234B0">
              <w:t>Labelling of aliquots</w:t>
            </w:r>
          </w:p>
          <w:p w:rsidR="00000000" w:rsidRPr="000234B0" w:rsidP="000234B0">
            <w:pPr>
              <w:pStyle w:val="ListBullet"/>
            </w:pPr>
            <w:r w:rsidRPr="000234B0">
              <w:t>Preparing samples for processing</w:t>
            </w:r>
          </w:p>
          <w:p w:rsidR="00000000" w:rsidRPr="000234B0" w:rsidP="000234B0">
            <w:pPr>
              <w:pStyle w:val="ListBullet"/>
            </w:pPr>
            <w:r w:rsidRPr="000234B0">
              <w:t>Loading analysers</w:t>
            </w:r>
          </w:p>
          <w:p w:rsidR="00000000" w:rsidRPr="000234B0" w:rsidP="000234B0">
            <w:pPr>
              <w:pStyle w:val="ListBullet"/>
            </w:pPr>
            <w:r w:rsidRPr="000234B0">
              <w:t>Making stains</w:t>
            </w:r>
          </w:p>
          <w:p w:rsidR="00000000" w:rsidRPr="000234B0" w:rsidP="000234B0">
            <w:pPr>
              <w:pStyle w:val="ListBullet"/>
            </w:pPr>
            <w:r w:rsidRPr="000234B0">
              <w:t>Staining slides</w:t>
            </w:r>
          </w:p>
          <w:p w:rsidR="00000000" w:rsidRPr="000234B0" w:rsidP="000234B0">
            <w:pPr>
              <w:pStyle w:val="ListBullet"/>
            </w:pPr>
            <w:r w:rsidRPr="000234B0">
              <w:t xml:space="preserve">Cleaning instrumentation </w:t>
            </w:r>
          </w:p>
          <w:p w:rsidR="00000000" w:rsidP="000234B0">
            <w:pPr>
              <w:pStyle w:val="ListBullet"/>
              <w:rPr>
                <w:lang w:val="en-NZ"/>
              </w:rPr>
            </w:pPr>
            <w:r w:rsidRPr="000234B0">
              <w:t>Temperature monitoring</w:t>
            </w:r>
          </w:p>
        </w:tc>
      </w:tr>
      <w:tr w:rsidTr="00C039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p>
        </w:tc>
      </w:tr>
      <w:tr w:rsidTr="00C039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r w:rsidRPr="000234B0">
              <w:rPr>
                <w:rStyle w:val="Emphasis"/>
              </w:rPr>
              <w:t>Specimens may include</w:t>
            </w:r>
            <w:r w:rsidRPr="000234B0">
              <w:t>:</w:t>
            </w:r>
          </w:p>
        </w:tc>
        <w:tc>
          <w:tcPr>
            <w:tcW w:w="5670" w:type="dxa"/>
            <w:tcBorders>
              <w:top w:val="nil"/>
              <w:left w:val="nil"/>
              <w:bottom w:val="nil"/>
              <w:right w:val="nil"/>
            </w:tcBorders>
            <w:tcMar>
              <w:top w:w="0" w:type="dxa"/>
              <w:left w:w="62" w:type="dxa"/>
              <w:bottom w:w="0" w:type="dxa"/>
              <w:right w:w="62" w:type="dxa"/>
            </w:tcMar>
          </w:tcPr>
          <w:p w:rsidR="00000000" w:rsidRPr="000234B0" w:rsidP="000234B0">
            <w:pPr>
              <w:pStyle w:val="ListBullet"/>
            </w:pPr>
            <w:r w:rsidRPr="000234B0">
              <w:t>Blood</w:t>
            </w:r>
          </w:p>
          <w:p w:rsidR="00000000" w:rsidRPr="000234B0" w:rsidP="000234B0">
            <w:pPr>
              <w:pStyle w:val="ListBullet"/>
            </w:pPr>
            <w:r w:rsidRPr="000234B0">
              <w:t>Cultures</w:t>
            </w:r>
          </w:p>
          <w:p w:rsidR="00000000" w:rsidRPr="000234B0" w:rsidP="000234B0">
            <w:pPr>
              <w:pStyle w:val="ListBullet"/>
            </w:pPr>
            <w:r w:rsidRPr="000234B0">
              <w:t>Urine</w:t>
            </w:r>
          </w:p>
          <w:p w:rsidR="00000000" w:rsidRPr="000234B0" w:rsidP="000234B0">
            <w:pPr>
              <w:pStyle w:val="ListBullet"/>
            </w:pPr>
            <w:r w:rsidRPr="000234B0">
              <w:t>Faeces</w:t>
            </w:r>
          </w:p>
          <w:p w:rsidR="00000000" w:rsidRPr="000234B0" w:rsidP="000234B0">
            <w:pPr>
              <w:pStyle w:val="ListBullet"/>
            </w:pPr>
            <w:r w:rsidRPr="000234B0">
              <w:t>Swabs</w:t>
            </w:r>
          </w:p>
          <w:p w:rsidR="00000000" w:rsidRPr="000234B0" w:rsidP="000234B0">
            <w:pPr>
              <w:pStyle w:val="ListBullet"/>
            </w:pPr>
            <w:r w:rsidRPr="000234B0">
              <w:t>Tissue samples</w:t>
            </w:r>
          </w:p>
          <w:p w:rsidR="00000000" w:rsidRPr="000234B0" w:rsidP="000234B0">
            <w:pPr>
              <w:pStyle w:val="ListBullet"/>
            </w:pPr>
            <w:r w:rsidRPr="000234B0">
              <w:t>Sputum</w:t>
            </w:r>
          </w:p>
          <w:p w:rsidR="00000000" w:rsidRPr="000234B0" w:rsidP="000234B0">
            <w:pPr>
              <w:pStyle w:val="ListBullet"/>
            </w:pPr>
            <w:r w:rsidRPr="000234B0">
              <w:t>Body fluids</w:t>
            </w:r>
          </w:p>
          <w:p w:rsidR="00000000" w:rsidRPr="000234B0" w:rsidP="000234B0">
            <w:pPr>
              <w:pStyle w:val="ListBullet"/>
            </w:pPr>
            <w:r w:rsidRPr="000234B0">
              <w:t>CSF pleural aspirates</w:t>
            </w:r>
          </w:p>
          <w:p w:rsidR="00000000" w:rsidRPr="000234B0" w:rsidP="000234B0">
            <w:pPr>
              <w:pStyle w:val="ListBullet"/>
            </w:pPr>
            <w:r w:rsidRPr="000234B0">
              <w:t>Slides</w:t>
            </w:r>
          </w:p>
          <w:p w:rsidR="00000000" w:rsidP="000234B0">
            <w:pPr>
              <w:pStyle w:val="ListBullet"/>
              <w:rPr>
                <w:lang w:val="en-NZ"/>
              </w:rPr>
            </w:pPr>
            <w:r w:rsidRPr="000234B0">
              <w:t>Environmental samples (including water, food etc)</w:t>
            </w:r>
          </w:p>
        </w:tc>
      </w:tr>
      <w:tr w:rsidTr="00C039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p>
        </w:tc>
      </w:tr>
      <w:tr w:rsidTr="00C039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r w:rsidRPr="000234B0">
              <w:rPr>
                <w:rStyle w:val="Emphasis"/>
              </w:rPr>
              <w:t>Different sections within a pathology laboratory include</w:t>
            </w:r>
            <w:r w:rsidRPr="000234B0">
              <w:t>:</w:t>
            </w:r>
          </w:p>
        </w:tc>
        <w:tc>
          <w:tcPr>
            <w:tcW w:w="5670" w:type="dxa"/>
            <w:tcBorders>
              <w:top w:val="nil"/>
              <w:left w:val="nil"/>
              <w:bottom w:val="nil"/>
              <w:right w:val="nil"/>
            </w:tcBorders>
            <w:tcMar>
              <w:top w:w="0" w:type="dxa"/>
              <w:left w:w="62" w:type="dxa"/>
              <w:bottom w:w="0" w:type="dxa"/>
              <w:right w:w="62" w:type="dxa"/>
            </w:tcMar>
          </w:tcPr>
          <w:p w:rsidR="00000000" w:rsidRPr="000234B0" w:rsidP="000234B0">
            <w:pPr>
              <w:pStyle w:val="ListBullet"/>
            </w:pPr>
            <w:r w:rsidRPr="000234B0">
              <w:t>Haematology</w:t>
            </w:r>
          </w:p>
          <w:p w:rsidR="00000000" w:rsidRPr="000234B0" w:rsidP="000234B0">
            <w:pPr>
              <w:pStyle w:val="ListBullet"/>
            </w:pPr>
            <w:r w:rsidRPr="000234B0">
              <w:t>Transfusion (Blood Bank)</w:t>
            </w:r>
          </w:p>
          <w:p w:rsidR="00000000" w:rsidRPr="000234B0" w:rsidP="000234B0">
            <w:pPr>
              <w:pStyle w:val="ListBullet"/>
            </w:pPr>
            <w:r w:rsidRPr="000234B0">
              <w:t>Serology / immunology</w:t>
            </w:r>
          </w:p>
          <w:p w:rsidR="00000000" w:rsidRPr="000234B0" w:rsidP="000234B0">
            <w:pPr>
              <w:pStyle w:val="ListBullet"/>
            </w:pPr>
            <w:r w:rsidRPr="000234B0">
              <w:t>Chemical pathology</w:t>
            </w:r>
          </w:p>
          <w:p w:rsidR="00000000" w:rsidRPr="000234B0" w:rsidP="000234B0">
            <w:pPr>
              <w:pStyle w:val="ListBullet"/>
            </w:pPr>
            <w:r w:rsidRPr="000234B0">
              <w:t>Microbiology</w:t>
            </w:r>
          </w:p>
          <w:p w:rsidR="00000000" w:rsidRPr="000234B0" w:rsidP="000234B0">
            <w:pPr>
              <w:pStyle w:val="ListBullet"/>
            </w:pPr>
            <w:r w:rsidRPr="000234B0">
              <w:t>Anatomical pathology / cytology</w:t>
            </w:r>
          </w:p>
          <w:p w:rsidR="00000000" w:rsidRPr="000234B0" w:rsidP="000234B0">
            <w:pPr>
              <w:pStyle w:val="ListBullet"/>
            </w:pPr>
            <w:r w:rsidRPr="000234B0">
              <w:t>Cytogenetics</w:t>
            </w:r>
          </w:p>
          <w:p w:rsidR="00000000" w:rsidP="000234B0">
            <w:pPr>
              <w:pStyle w:val="ListBullet"/>
              <w:rPr>
                <w:lang w:val="en-NZ"/>
              </w:rPr>
            </w:pPr>
            <w:r w:rsidRPr="000234B0">
              <w:t>Molecular genetics</w:t>
            </w:r>
          </w:p>
        </w:tc>
      </w:tr>
      <w:tr w:rsidTr="00C039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p>
        </w:tc>
      </w:tr>
      <w:tr w:rsidTr="00C039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r w:rsidRPr="000234B0">
              <w:rPr>
                <w:rStyle w:val="Emphasis"/>
              </w:rPr>
              <w:t>Specimens preparation includes</w:t>
            </w:r>
            <w:r w:rsidRPr="000234B0">
              <w:t>:</w:t>
            </w:r>
          </w:p>
        </w:tc>
        <w:tc>
          <w:tcPr>
            <w:tcW w:w="5670" w:type="dxa"/>
            <w:tcBorders>
              <w:top w:val="nil"/>
              <w:left w:val="nil"/>
              <w:bottom w:val="nil"/>
              <w:right w:val="nil"/>
            </w:tcBorders>
            <w:tcMar>
              <w:top w:w="0" w:type="dxa"/>
              <w:left w:w="62" w:type="dxa"/>
              <w:bottom w:w="0" w:type="dxa"/>
              <w:right w:w="62" w:type="dxa"/>
            </w:tcMar>
          </w:tcPr>
          <w:p w:rsidR="00000000" w:rsidRPr="000234B0" w:rsidP="000234B0">
            <w:pPr>
              <w:pStyle w:val="ListBullet"/>
            </w:pPr>
            <w:r w:rsidRPr="000234B0">
              <w:t>Centrifugation</w:t>
            </w:r>
          </w:p>
          <w:p w:rsidR="00000000" w:rsidP="000234B0">
            <w:pPr>
              <w:pStyle w:val="ListBullet"/>
              <w:rPr>
                <w:lang w:val="en-NZ"/>
              </w:rPr>
            </w:pPr>
            <w:r w:rsidRPr="000234B0">
              <w:t>Aliquoting</w:t>
            </w:r>
          </w:p>
        </w:tc>
      </w:tr>
      <w:tr w:rsidTr="00C039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p>
        </w:tc>
      </w:tr>
      <w:tr w:rsidTr="00C039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r w:rsidRPr="000234B0">
              <w:rPr>
                <w:rStyle w:val="Emphasis"/>
              </w:rPr>
              <w:t>Recommended safety precautions may include</w:t>
            </w:r>
            <w:r w:rsidRPr="000234B0">
              <w:t>:</w:t>
            </w:r>
          </w:p>
        </w:tc>
        <w:tc>
          <w:tcPr>
            <w:tcW w:w="5670" w:type="dxa"/>
            <w:tcBorders>
              <w:top w:val="nil"/>
              <w:left w:val="nil"/>
              <w:bottom w:val="nil"/>
              <w:right w:val="nil"/>
            </w:tcBorders>
            <w:tcMar>
              <w:top w:w="0" w:type="dxa"/>
              <w:left w:w="62" w:type="dxa"/>
              <w:bottom w:w="0" w:type="dxa"/>
              <w:right w:w="62" w:type="dxa"/>
            </w:tcMar>
          </w:tcPr>
          <w:p w:rsidR="00000000" w:rsidRPr="000234B0" w:rsidP="000234B0">
            <w:pPr>
              <w:pStyle w:val="ListBullet"/>
            </w:pPr>
            <w:r w:rsidRPr="000234B0">
              <w:t>Wearing gown, gloves, recommended eye protection and mask (if indicated by protocol)</w:t>
            </w:r>
          </w:p>
          <w:p w:rsidR="00000000" w:rsidP="000234B0">
            <w:pPr>
              <w:pStyle w:val="ListBullet"/>
              <w:rPr>
                <w:lang w:val="en-NZ"/>
              </w:rPr>
            </w:pPr>
            <w:r w:rsidRPr="000234B0">
              <w:t>Wearing enclosed foot wear</w:t>
            </w:r>
          </w:p>
        </w:tc>
      </w:tr>
      <w:tr w:rsidTr="00C039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p>
        </w:tc>
      </w:tr>
      <w:tr w:rsidTr="00C039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r w:rsidRPr="000234B0">
              <w:rPr>
                <w:rStyle w:val="Emphasis"/>
              </w:rPr>
              <w:t>Urgent samples may include</w:t>
            </w:r>
          </w:p>
        </w:tc>
        <w:tc>
          <w:tcPr>
            <w:tcW w:w="5670" w:type="dxa"/>
            <w:tcBorders>
              <w:top w:val="nil"/>
              <w:left w:val="nil"/>
              <w:bottom w:val="nil"/>
              <w:right w:val="nil"/>
            </w:tcBorders>
            <w:tcMar>
              <w:top w:w="0" w:type="dxa"/>
              <w:left w:w="62" w:type="dxa"/>
              <w:bottom w:w="0" w:type="dxa"/>
              <w:right w:w="62" w:type="dxa"/>
            </w:tcMar>
          </w:tcPr>
          <w:p w:rsidR="00000000" w:rsidRPr="000234B0" w:rsidP="000234B0">
            <w:pPr>
              <w:pStyle w:val="ListBullet"/>
            </w:pPr>
            <w:r w:rsidRPr="000234B0">
              <w:t>Samples received from emergency, ICU, CCU, SCN, oncology or as indicated by requesting Doctor or collection area.</w:t>
            </w:r>
          </w:p>
          <w:p w:rsidR="00000000" w:rsidRPr="000234B0" w:rsidP="000234B0">
            <w:pPr>
              <w:pStyle w:val="ListBullet"/>
            </w:pPr>
            <w:r w:rsidRPr="000234B0">
              <w:t>Samples for tissue typing for organ transplantation</w:t>
            </w:r>
          </w:p>
          <w:p w:rsidR="00000000" w:rsidRPr="000234B0" w:rsidP="000234B0">
            <w:pPr>
              <w:pStyle w:val="ListBullet"/>
            </w:pPr>
            <w:r w:rsidRPr="000234B0">
              <w:t>CSF</w:t>
            </w:r>
          </w:p>
          <w:p w:rsidR="00000000" w:rsidRPr="000234B0" w:rsidP="000234B0">
            <w:pPr>
              <w:pStyle w:val="ListBullet"/>
            </w:pPr>
            <w:r w:rsidRPr="000234B0">
              <w:t xml:space="preserve">Blood gases, </w:t>
            </w:r>
          </w:p>
          <w:p w:rsidR="00000000" w:rsidRPr="000234B0" w:rsidP="000234B0">
            <w:pPr>
              <w:pStyle w:val="ListBullet"/>
            </w:pPr>
            <w:r w:rsidRPr="000234B0">
              <w:t xml:space="preserve">Ammonia levels </w:t>
            </w:r>
          </w:p>
          <w:p w:rsidR="00000000" w:rsidRPr="000234B0" w:rsidP="000234B0">
            <w:pPr>
              <w:pStyle w:val="ListBullet"/>
            </w:pPr>
            <w:r w:rsidRPr="000234B0">
              <w:t>Drug levels following an overdose</w:t>
            </w:r>
          </w:p>
          <w:p w:rsidR="00000000" w:rsidP="000234B0">
            <w:pPr>
              <w:pStyle w:val="ListBullet"/>
              <w:rPr>
                <w:lang w:val="en-NZ"/>
              </w:rPr>
            </w:pPr>
            <w:r w:rsidRPr="000234B0">
              <w:t>Lactates</w:t>
            </w:r>
          </w:p>
        </w:tc>
      </w:tr>
      <w:tr w:rsidTr="00C039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p>
        </w:tc>
      </w:tr>
      <w:tr w:rsidTr="00C039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r w:rsidRPr="000234B0">
              <w:rPr>
                <w:rStyle w:val="Emphasis"/>
              </w:rPr>
              <w:t>Non</w:t>
            </w:r>
            <w:r w:rsidRPr="000234B0">
              <w:t>-</w:t>
            </w:r>
            <w:r w:rsidRPr="000234B0">
              <w:rPr>
                <w:rStyle w:val="Emphasis"/>
              </w:rPr>
              <w:t>replaceable samples may include</w:t>
            </w:r>
            <w:r w:rsidRPr="000234B0">
              <w:t>:</w:t>
            </w:r>
          </w:p>
        </w:tc>
        <w:tc>
          <w:tcPr>
            <w:tcW w:w="5670" w:type="dxa"/>
            <w:tcBorders>
              <w:top w:val="nil"/>
              <w:left w:val="nil"/>
              <w:bottom w:val="nil"/>
              <w:right w:val="nil"/>
            </w:tcBorders>
            <w:tcMar>
              <w:top w:w="0" w:type="dxa"/>
              <w:left w:w="62" w:type="dxa"/>
              <w:bottom w:w="0" w:type="dxa"/>
              <w:right w:w="62" w:type="dxa"/>
            </w:tcMar>
          </w:tcPr>
          <w:p w:rsidR="00000000" w:rsidRPr="000234B0" w:rsidP="000234B0">
            <w:pPr>
              <w:pStyle w:val="ListBullet"/>
            </w:pPr>
            <w:r w:rsidRPr="000234B0">
              <w:t>Histology samples and slides</w:t>
            </w:r>
          </w:p>
          <w:p w:rsidR="00000000" w:rsidRPr="000234B0" w:rsidP="000234B0">
            <w:pPr>
              <w:pStyle w:val="ListBullet"/>
            </w:pPr>
            <w:r w:rsidRPr="000234B0">
              <w:t>Samples collected by invasive techniques (including CSF, aspirates)</w:t>
            </w:r>
          </w:p>
          <w:p w:rsidR="00000000" w:rsidRPr="000234B0" w:rsidP="000234B0">
            <w:pPr>
              <w:pStyle w:val="ListBullet"/>
            </w:pPr>
            <w:r w:rsidRPr="000234B0">
              <w:t>Swabs</w:t>
            </w:r>
          </w:p>
          <w:p w:rsidR="00000000" w:rsidP="000234B0">
            <w:pPr>
              <w:pStyle w:val="ListBullet"/>
              <w:rPr>
                <w:lang w:val="en-NZ"/>
              </w:rPr>
            </w:pPr>
            <w:r w:rsidRPr="000234B0">
              <w:t>Specimens from a child under 2 years of age</w:t>
            </w:r>
          </w:p>
        </w:tc>
      </w:tr>
      <w:tr w:rsidTr="00C039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p>
        </w:tc>
      </w:tr>
      <w:tr w:rsidTr="00C039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34B0">
            <w:pPr>
              <w:pStyle w:val="BodyText"/>
              <w:rPr>
                <w:lang w:val="en-NZ"/>
              </w:rPr>
            </w:pPr>
            <w:r w:rsidRPr="000234B0">
              <w:rPr>
                <w:rStyle w:val="Emphasis"/>
              </w:rPr>
              <w:t>Organisation policies and procedures may refer to</w:t>
            </w:r>
            <w:r w:rsidRPr="000234B0">
              <w:t>::</w:t>
            </w:r>
          </w:p>
        </w:tc>
        <w:tc>
          <w:tcPr>
            <w:tcW w:w="5670" w:type="dxa"/>
            <w:tcBorders>
              <w:top w:val="nil"/>
              <w:left w:val="nil"/>
              <w:bottom w:val="nil"/>
              <w:right w:val="nil"/>
            </w:tcBorders>
            <w:tcMar>
              <w:top w:w="0" w:type="dxa"/>
              <w:left w:w="62" w:type="dxa"/>
              <w:bottom w:w="0" w:type="dxa"/>
              <w:right w:w="62" w:type="dxa"/>
            </w:tcMar>
          </w:tcPr>
          <w:p w:rsidR="00000000" w:rsidRPr="000234B0" w:rsidP="000234B0">
            <w:pPr>
              <w:pStyle w:val="ListBullet"/>
            </w:pPr>
            <w:r w:rsidRPr="000234B0">
              <w:t>Collection and documentation of client personal and clinical information</w:t>
            </w:r>
          </w:p>
          <w:p w:rsidR="00000000" w:rsidRPr="000234B0" w:rsidP="000234B0">
            <w:pPr>
              <w:pStyle w:val="ListBullet"/>
            </w:pPr>
            <w:r w:rsidRPr="000234B0">
              <w:t>Confidentiality of client information</w:t>
            </w:r>
          </w:p>
          <w:p w:rsidR="00000000" w:rsidRPr="000234B0" w:rsidP="000234B0">
            <w:pPr>
              <w:pStyle w:val="ListBullet"/>
            </w:pPr>
            <w:r w:rsidRPr="000234B0">
              <w:t>Preparation for specimen collection procedures</w:t>
            </w:r>
          </w:p>
          <w:p w:rsidR="00000000" w:rsidRPr="000234B0" w:rsidP="000234B0">
            <w:pPr>
              <w:pStyle w:val="ListBullet"/>
            </w:pPr>
            <w:r w:rsidRPr="000234B0">
              <w:t>Performance of specimen collection procedures</w:t>
            </w:r>
          </w:p>
          <w:p w:rsidR="00000000" w:rsidRPr="000234B0" w:rsidP="000234B0">
            <w:pPr>
              <w:pStyle w:val="ListBullet"/>
            </w:pPr>
            <w:r w:rsidRPr="000234B0">
              <w:t>Infection control</w:t>
            </w:r>
          </w:p>
          <w:p w:rsidR="00000000" w:rsidRPr="000234B0" w:rsidP="000234B0">
            <w:pPr>
              <w:pStyle w:val="ListBullet"/>
            </w:pPr>
            <w:r w:rsidRPr="000234B0">
              <w:t>Occupational health and safety</w:t>
            </w:r>
          </w:p>
          <w:p w:rsidR="00000000" w:rsidRPr="000234B0" w:rsidP="000234B0">
            <w:pPr>
              <w:pStyle w:val="ListBullet"/>
            </w:pPr>
            <w:r w:rsidRPr="000234B0">
              <w:t>Spe</w:t>
            </w:r>
            <w:r w:rsidRPr="000234B0">
              <w:t>cimen preparation, labelling, storage and transport</w:t>
            </w:r>
          </w:p>
          <w:p w:rsidR="00000000" w:rsidRPr="000234B0" w:rsidP="000234B0">
            <w:pPr>
              <w:pStyle w:val="ListBullet"/>
            </w:pPr>
            <w:r w:rsidRPr="000234B0">
              <w:t>Maintenance of specimen integrity</w:t>
            </w:r>
          </w:p>
          <w:p w:rsidR="00000000" w:rsidRPr="000234B0" w:rsidP="000234B0">
            <w:pPr>
              <w:pStyle w:val="ListBullet"/>
            </w:pPr>
            <w:r w:rsidRPr="000234B0">
              <w:t>Documentation and recording keeping</w:t>
            </w:r>
          </w:p>
          <w:p w:rsidR="00000000" w:rsidRPr="000234B0" w:rsidP="000234B0">
            <w:pPr>
              <w:pStyle w:val="ListBullet"/>
            </w:pPr>
            <w:r w:rsidRPr="000234B0">
              <w:t>Handling of waste</w:t>
            </w:r>
          </w:p>
          <w:p w:rsidR="00000000" w:rsidRPr="000234B0" w:rsidP="000234B0">
            <w:pPr>
              <w:pStyle w:val="ListBullet"/>
            </w:pPr>
            <w:r w:rsidRPr="000234B0">
              <w:t>Cleaning and maintenance of equipment (centrifuges etc)</w:t>
            </w:r>
          </w:p>
          <w:p w:rsidR="00000000" w:rsidP="000234B0">
            <w:pPr>
              <w:pStyle w:val="ListBullet"/>
              <w:rPr>
                <w:lang w:val="en-NZ"/>
              </w:rPr>
            </w:pPr>
            <w:r w:rsidRPr="000234B0">
              <w:t>Monitoring temperatures of storage areas</w:t>
            </w:r>
          </w:p>
        </w:tc>
      </w:tr>
      <w:tr w:rsidTr="00C039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234B0" w:rsidP="000234B0">
            <w:pPr>
              <w:pStyle w:val="BodyText"/>
            </w:pPr>
          </w:p>
        </w:tc>
      </w:tr>
    </w:tbl>
    <w:p w:rsidR="00C039C9" w:rsidP="000234B0">
      <w:pPr>
        <w:pStyle w:val="BodyText"/>
      </w:pPr>
    </w:p>
    <w:p w:rsidR="00C039C9" w:rsidP="000234B0">
      <w:pPr>
        <w:pStyle w:val="BodyText"/>
      </w:pPr>
    </w:p>
    <w:p w:rsidR="00000000" w:rsidRPr="000234B0" w:rsidP="000234B0">
      <w:pPr>
        <w:pStyle w:val="Heading1"/>
      </w:pPr>
      <w:bookmarkStart w:id="12" w:name="O_426477"/>
      <w:bookmarkEnd w:id="12"/>
      <w:r w:rsidRPr="000234B0">
        <w:t>Unit Sector(s)</w:t>
      </w:r>
    </w:p>
    <w:p w:rsidR="00000000" w:rsidRPr="000234B0" w:rsidP="000234B0">
      <w:pPr>
        <w:pStyle w:val="BodyText"/>
      </w:pPr>
      <w:r w:rsidRPr="000234B0">
        <w:t>Not Applicable</w:t>
      </w:r>
    </w:p>
    <w:p w:rsidR="00000000" w:rsidRPr="000234B0" w:rsidP="000234B0"/>
    <w:sectPr w:rsidSect="000234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4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39C9" w:rsidP="00C039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4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9C9" w:rsidP="000234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039C9" w:rsidP="000234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039C9" w:rsidP="000234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4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39C9" w:rsidP="00C039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4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9C9" w:rsidP="000234B0">
    <w:pPr>
      <w:pStyle w:val="Header"/>
      <w:framePr w:wrap="around"/>
    </w:pPr>
    <w:r>
      <w:fldChar w:fldCharType="begin"/>
    </w:r>
    <w:r>
      <w:instrText xml:space="preserve"> TITLE   \* MERGEFORMAT </w:instrText>
    </w:r>
    <w:r>
      <w:fldChar w:fldCharType="separate"/>
    </w:r>
    <w:r>
      <w:t>HLTPAT317C Operate effectively within a pathology testing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039C9" w:rsidP="000234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D4A0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2A21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B08E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4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34B0"/>
    <w:pPr>
      <w:spacing w:before="360" w:after="60"/>
      <w:outlineLvl w:val="0"/>
    </w:pPr>
    <w:rPr>
      <w:sz w:val="32"/>
    </w:rPr>
  </w:style>
  <w:style w:type="paragraph" w:styleId="Heading2">
    <w:name w:val="heading 2"/>
    <w:basedOn w:val="HeadingBase"/>
    <w:next w:val="BodyText"/>
    <w:link w:val="Heading2Char"/>
    <w:qFormat/>
    <w:rsid w:val="000234B0"/>
    <w:pPr>
      <w:keepLines/>
      <w:spacing w:before="240" w:after="120"/>
      <w:outlineLvl w:val="1"/>
    </w:pPr>
    <w:rPr>
      <w:sz w:val="28"/>
      <w:szCs w:val="40"/>
    </w:rPr>
  </w:style>
  <w:style w:type="paragraph" w:styleId="Heading3">
    <w:name w:val="heading 3"/>
    <w:basedOn w:val="HeadingBase"/>
    <w:next w:val="BodyText"/>
    <w:link w:val="Heading3Char"/>
    <w:qFormat/>
    <w:rsid w:val="000234B0"/>
    <w:pPr>
      <w:spacing w:before="180" w:after="120"/>
      <w:outlineLvl w:val="2"/>
    </w:pPr>
    <w:rPr>
      <w:spacing w:val="-10"/>
      <w:kern w:val="32"/>
    </w:rPr>
  </w:style>
  <w:style w:type="paragraph" w:styleId="Heading4">
    <w:name w:val="heading 4"/>
    <w:basedOn w:val="HeadingBase"/>
    <w:next w:val="BodyText"/>
    <w:link w:val="Heading4Char"/>
    <w:qFormat/>
    <w:rsid w:val="000234B0"/>
    <w:pPr>
      <w:spacing w:before="160" w:after="120"/>
      <w:outlineLvl w:val="3"/>
    </w:pPr>
    <w:rPr>
      <w:sz w:val="22"/>
    </w:rPr>
  </w:style>
  <w:style w:type="paragraph" w:styleId="Heading5">
    <w:name w:val="heading 5"/>
    <w:basedOn w:val="HeadingBase"/>
    <w:next w:val="Normal"/>
    <w:link w:val="Heading5Char"/>
    <w:qFormat/>
    <w:rsid w:val="000234B0"/>
    <w:pPr>
      <w:spacing w:before="80"/>
      <w:outlineLvl w:val="4"/>
    </w:pPr>
    <w:rPr>
      <w:color w:val="918585"/>
      <w:sz w:val="20"/>
    </w:rPr>
  </w:style>
  <w:style w:type="paragraph" w:styleId="Heading6">
    <w:name w:val="heading 6"/>
    <w:basedOn w:val="HeadingBase"/>
    <w:next w:val="Normal"/>
    <w:link w:val="Heading6Char"/>
    <w:qFormat/>
    <w:rsid w:val="000234B0"/>
    <w:pPr>
      <w:spacing w:before="60"/>
      <w:outlineLvl w:val="5"/>
    </w:pPr>
    <w:rPr>
      <w:color w:val="918585"/>
      <w:sz w:val="20"/>
    </w:rPr>
  </w:style>
  <w:style w:type="paragraph" w:styleId="Heading7">
    <w:name w:val="heading 7"/>
    <w:basedOn w:val="Normal"/>
    <w:next w:val="Normal"/>
    <w:link w:val="Heading7Char"/>
    <w:qFormat/>
    <w:rsid w:val="000234B0"/>
    <w:pPr>
      <w:ind w:left="720"/>
      <w:outlineLvl w:val="6"/>
    </w:pPr>
    <w:rPr>
      <w:i/>
    </w:rPr>
  </w:style>
  <w:style w:type="paragraph" w:styleId="Heading8">
    <w:name w:val="heading 8"/>
    <w:basedOn w:val="Normal"/>
    <w:next w:val="Normal"/>
    <w:link w:val="Heading8Char"/>
    <w:qFormat/>
    <w:rsid w:val="000234B0"/>
    <w:pPr>
      <w:ind w:left="720"/>
      <w:outlineLvl w:val="7"/>
    </w:pPr>
    <w:rPr>
      <w:i/>
    </w:rPr>
  </w:style>
  <w:style w:type="paragraph" w:styleId="Heading9">
    <w:name w:val="heading 9"/>
    <w:basedOn w:val="Normal"/>
    <w:next w:val="Normal"/>
    <w:link w:val="Heading9Char"/>
    <w:qFormat/>
    <w:rsid w:val="000234B0"/>
    <w:pPr>
      <w:ind w:left="720"/>
      <w:outlineLvl w:val="8"/>
    </w:pPr>
    <w:rPr>
      <w:i/>
    </w:rPr>
  </w:style>
  <w:style w:type="character" w:default="1" w:styleId="DefaultParagraphFont">
    <w:name w:val="Default Paragraph Font"/>
    <w:uiPriority w:val="1"/>
    <w:unhideWhenUsed/>
    <w:rsid w:val="000234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34B0"/>
  </w:style>
  <w:style w:type="character" w:customStyle="1" w:styleId="Heading1Char">
    <w:name w:val="Heading 1 Char"/>
    <w:basedOn w:val="DefaultParagraphFont"/>
    <w:link w:val="Heading1"/>
    <w:rsid w:val="000234B0"/>
    <w:rPr>
      <w:rFonts w:ascii="Times New Roman" w:eastAsia="Times New Roman" w:hAnsi="Times New Roman" w:cs="Times New Roman"/>
      <w:b/>
      <w:sz w:val="32"/>
      <w:szCs w:val="20"/>
      <w:lang w:eastAsia="en-US"/>
    </w:rPr>
  </w:style>
  <w:style w:type="paragraph" w:styleId="BodyText">
    <w:name w:val="Body Text"/>
    <w:basedOn w:val="Normal"/>
    <w:link w:val="BodyTextChar"/>
    <w:rsid w:val="000234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34B0"/>
    <w:rPr>
      <w:rFonts w:ascii="Times New Roman" w:eastAsia="Times New Roman" w:hAnsi="Times New Roman" w:cs="Times New Roman"/>
      <w:sz w:val="24"/>
      <w:lang w:val="en-US" w:eastAsia="en-US"/>
    </w:rPr>
  </w:style>
  <w:style w:type="paragraph" w:styleId="Footer">
    <w:name w:val="footer"/>
    <w:basedOn w:val="Normal"/>
    <w:link w:val="FooterChar"/>
    <w:rsid w:val="000234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34B0"/>
    <w:rPr>
      <w:rFonts w:ascii="Times New Roman" w:eastAsia="Times New Roman" w:hAnsi="Times New Roman" w:cs="Times New Roman"/>
      <w:sz w:val="16"/>
      <w:lang w:val="en-US" w:eastAsia="en-US"/>
    </w:rPr>
  </w:style>
  <w:style w:type="paragraph" w:styleId="List">
    <w:name w:val="List"/>
    <w:basedOn w:val="BodyText"/>
    <w:next w:val="BodyText"/>
    <w:rsid w:val="000234B0"/>
    <w:pPr>
      <w:tabs>
        <w:tab w:val="left" w:pos="340"/>
      </w:tabs>
      <w:spacing w:before="60" w:after="60"/>
      <w:ind w:left="340" w:hanging="340"/>
    </w:pPr>
  </w:style>
  <w:style w:type="paragraph" w:styleId="ListBullet">
    <w:name w:val="List Bullet"/>
    <w:basedOn w:val="List"/>
    <w:rsid w:val="000234B0"/>
    <w:pPr>
      <w:numPr>
        <w:numId w:val="13"/>
      </w:numPr>
      <w:tabs>
        <w:tab w:val="clear" w:pos="340"/>
      </w:tabs>
      <w:spacing w:before="40" w:after="40"/>
    </w:pPr>
  </w:style>
  <w:style w:type="character" w:customStyle="1" w:styleId="SpecialBold">
    <w:name w:val="Special Bold"/>
    <w:basedOn w:val="DefaultParagraphFont"/>
    <w:rsid w:val="000234B0"/>
    <w:rPr>
      <w:b/>
      <w:spacing w:val="0"/>
    </w:rPr>
  </w:style>
  <w:style w:type="paragraph" w:styleId="ListBullet2">
    <w:name w:val="List Bullet 2"/>
    <w:basedOn w:val="List2"/>
    <w:rsid w:val="000234B0"/>
    <w:pPr>
      <w:numPr>
        <w:numId w:val="14"/>
      </w:numPr>
      <w:tabs>
        <w:tab w:val="clear" w:pos="680"/>
      </w:tabs>
    </w:pPr>
  </w:style>
  <w:style w:type="paragraph" w:styleId="Header">
    <w:name w:val="header"/>
    <w:basedOn w:val="Normal"/>
    <w:link w:val="HeaderChar"/>
    <w:rsid w:val="000234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34B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234B0"/>
    <w:rPr>
      <w:i/>
    </w:rPr>
  </w:style>
  <w:style w:type="paragraph" w:customStyle="1" w:styleId="SuperHeading">
    <w:name w:val="SuperHeading"/>
    <w:basedOn w:val="Normal"/>
    <w:rsid w:val="000234B0"/>
    <w:pPr>
      <w:spacing w:before="240" w:after="120"/>
      <w:outlineLvl w:val="0"/>
    </w:pPr>
    <w:rPr>
      <w:rFonts w:ascii="Times New Roman" w:hAnsi="Times New Roman"/>
      <w:b/>
      <w:sz w:val="28"/>
    </w:rPr>
  </w:style>
  <w:style w:type="paragraph" w:customStyle="1" w:styleId="AllowPageBreak">
    <w:name w:val="AllowPageBreak"/>
    <w:rsid w:val="000234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34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34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34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34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34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34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34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34B0"/>
    <w:rPr>
      <w:rFonts w:ascii="Courier New" w:eastAsia="Times New Roman" w:hAnsi="Courier New" w:cs="Times New Roman"/>
      <w:i/>
      <w:szCs w:val="20"/>
      <w:lang w:val="en-US" w:eastAsia="en-US"/>
    </w:rPr>
  </w:style>
  <w:style w:type="paragraph" w:customStyle="1" w:styleId="HeadingBase">
    <w:name w:val="Heading Base"/>
    <w:rsid w:val="000234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34B0"/>
    <w:pPr>
      <w:tabs>
        <w:tab w:val="right" w:leader="dot" w:pos="9072"/>
      </w:tabs>
      <w:ind w:left="567"/>
    </w:pPr>
    <w:rPr>
      <w:szCs w:val="22"/>
    </w:rPr>
  </w:style>
  <w:style w:type="paragraph" w:customStyle="1" w:styleId="TOCBase">
    <w:name w:val="TOC Base"/>
    <w:rsid w:val="000234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34B0"/>
    <w:pPr>
      <w:tabs>
        <w:tab w:val="right" w:leader="dot" w:pos="9072"/>
      </w:tabs>
      <w:spacing w:before="40" w:after="40"/>
      <w:ind w:left="284"/>
    </w:pPr>
    <w:rPr>
      <w:rFonts w:ascii="Times New Roman" w:hAnsi="Times New Roman"/>
    </w:rPr>
  </w:style>
  <w:style w:type="paragraph" w:styleId="TOC1">
    <w:name w:val="toc 1"/>
    <w:basedOn w:val="TOCBase"/>
    <w:next w:val="Normal"/>
    <w:rsid w:val="000234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34B0"/>
    <w:pPr>
      <w:spacing w:before="5040"/>
      <w:jc w:val="center"/>
    </w:pPr>
    <w:rPr>
      <w:sz w:val="48"/>
      <w:szCs w:val="72"/>
      <w:lang w:val="en-US"/>
    </w:rPr>
  </w:style>
  <w:style w:type="character" w:customStyle="1" w:styleId="TitleChar">
    <w:name w:val="Title Char"/>
    <w:basedOn w:val="DefaultParagraphFont"/>
    <w:link w:val="Title"/>
    <w:rsid w:val="000234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34B0"/>
    <w:pPr>
      <w:tabs>
        <w:tab w:val="left" w:pos="3600"/>
        <w:tab w:val="left" w:pos="3958"/>
      </w:tabs>
    </w:pPr>
  </w:style>
  <w:style w:type="paragraph" w:customStyle="1" w:styleId="Note">
    <w:name w:val="Note"/>
    <w:basedOn w:val="BodyText"/>
    <w:rsid w:val="000234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34B0"/>
    <w:pPr>
      <w:framePr w:wrap="auto" w:hAnchor="text" w:y="6049"/>
    </w:pPr>
    <w:rPr>
      <w:color w:val="000000"/>
      <w:sz w:val="40"/>
    </w:rPr>
  </w:style>
  <w:style w:type="paragraph" w:customStyle="1" w:styleId="TOCTitle">
    <w:name w:val="TOCTitle"/>
    <w:basedOn w:val="Heading1"/>
    <w:rsid w:val="000234B0"/>
    <w:pPr>
      <w:spacing w:after="240"/>
      <w:jc w:val="center"/>
      <w:outlineLvl w:val="9"/>
    </w:pPr>
    <w:rPr>
      <w:caps/>
    </w:rPr>
  </w:style>
  <w:style w:type="paragraph" w:customStyle="1" w:styleId="Version">
    <w:name w:val="Version"/>
    <w:rsid w:val="000234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34B0"/>
    <w:pPr>
      <w:keepNext w:val="0"/>
      <w:tabs>
        <w:tab w:val="right" w:pos="4176"/>
      </w:tabs>
      <w:ind w:left="198" w:hanging="198"/>
    </w:pPr>
    <w:rPr>
      <w:rFonts w:ascii="Garamond" w:hAnsi="Garamond"/>
    </w:rPr>
  </w:style>
  <w:style w:type="paragraph" w:styleId="IndexHeading">
    <w:name w:val="index heading"/>
    <w:basedOn w:val="Normal"/>
    <w:next w:val="Index1"/>
    <w:semiHidden/>
    <w:rsid w:val="000234B0"/>
    <w:pPr>
      <w:spacing w:before="120" w:after="120"/>
    </w:pPr>
    <w:rPr>
      <w:rFonts w:ascii="Arial" w:hAnsi="Arial"/>
      <w:b/>
      <w:color w:val="918585"/>
      <w:sz w:val="24"/>
    </w:rPr>
  </w:style>
  <w:style w:type="paragraph" w:customStyle="1" w:styleId="Chapter">
    <w:name w:val="Chapter"/>
    <w:basedOn w:val="Normal"/>
    <w:rsid w:val="000234B0"/>
    <w:pPr>
      <w:spacing w:before="240"/>
    </w:pPr>
    <w:rPr>
      <w:rFonts w:ascii="Times New Roman" w:hAnsi="Times New Roman"/>
      <w:smallCaps/>
      <w:spacing w:val="80"/>
      <w:sz w:val="28"/>
    </w:rPr>
  </w:style>
  <w:style w:type="paragraph" w:customStyle="1" w:styleId="InChapter">
    <w:name w:val="InChapter"/>
    <w:basedOn w:val="Heading3"/>
    <w:rsid w:val="000234B0"/>
    <w:pPr>
      <w:spacing w:after="240"/>
      <w:outlineLvl w:val="9"/>
    </w:pPr>
    <w:rPr>
      <w:noProof/>
    </w:rPr>
  </w:style>
  <w:style w:type="paragraph" w:styleId="Index2">
    <w:name w:val="index 2"/>
    <w:basedOn w:val="Normal"/>
    <w:next w:val="Normal"/>
    <w:semiHidden/>
    <w:rsid w:val="000234B0"/>
    <w:pPr>
      <w:tabs>
        <w:tab w:val="right" w:pos="4176"/>
      </w:tabs>
      <w:ind w:left="568" w:hanging="284"/>
    </w:pPr>
    <w:rPr>
      <w:rFonts w:ascii="Garamond" w:hAnsi="Garamond"/>
    </w:rPr>
  </w:style>
  <w:style w:type="paragraph" w:customStyle="1" w:styleId="Byline">
    <w:name w:val="Byline"/>
    <w:rsid w:val="000234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34B0"/>
    <w:pPr>
      <w:tabs>
        <w:tab w:val="clear" w:pos="3600"/>
        <w:tab w:val="clear" w:pos="3958"/>
      </w:tabs>
      <w:jc w:val="right"/>
    </w:pPr>
  </w:style>
  <w:style w:type="paragraph" w:styleId="Caption">
    <w:name w:val="caption"/>
    <w:basedOn w:val="BodyText"/>
    <w:next w:val="Normal"/>
    <w:qFormat/>
    <w:rsid w:val="000234B0"/>
    <w:pPr>
      <w:framePr w:w="2268" w:hSpace="181" w:vSpace="181" w:wrap="around" w:vAnchor="text" w:hAnchor="page" w:x="1135" w:y="285" w:anchorLock="1"/>
    </w:pPr>
    <w:rPr>
      <w:i/>
    </w:rPr>
  </w:style>
  <w:style w:type="paragraph" w:customStyle="1" w:styleId="MiniTOCTitle">
    <w:name w:val="MiniTOCTitle"/>
    <w:basedOn w:val="Heading4"/>
    <w:rsid w:val="000234B0"/>
    <w:pPr>
      <w:spacing w:before="240"/>
      <w:outlineLvl w:val="9"/>
    </w:pPr>
    <w:rPr>
      <w:noProof/>
      <w:sz w:val="24"/>
    </w:rPr>
  </w:style>
  <w:style w:type="paragraph" w:customStyle="1" w:styleId="MiniTOCItem">
    <w:name w:val="MiniTOCItem"/>
    <w:basedOn w:val="ListBullet"/>
    <w:rsid w:val="000234B0"/>
    <w:pPr>
      <w:numPr>
        <w:numId w:val="0"/>
      </w:numPr>
      <w:tabs>
        <w:tab w:val="right" w:leader="dot" w:pos="6521"/>
      </w:tabs>
      <w:spacing w:before="0" w:after="0"/>
    </w:pPr>
  </w:style>
  <w:style w:type="paragraph" w:customStyle="1" w:styleId="TOFTitle">
    <w:name w:val="TOFTitle"/>
    <w:basedOn w:val="TOCTitle"/>
    <w:rsid w:val="000234B0"/>
  </w:style>
  <w:style w:type="paragraph" w:styleId="TableofFigures">
    <w:name w:val="table of figures"/>
    <w:basedOn w:val="Normal"/>
    <w:next w:val="Normal"/>
    <w:semiHidden/>
    <w:rsid w:val="000234B0"/>
    <w:pPr>
      <w:tabs>
        <w:tab w:val="right" w:leader="dot" w:pos="9072"/>
      </w:tabs>
      <w:ind w:left="970" w:hanging="403"/>
    </w:pPr>
    <w:rPr>
      <w:rFonts w:ascii="Times New Roman" w:hAnsi="Times New Roman"/>
      <w:b/>
    </w:rPr>
  </w:style>
  <w:style w:type="paragraph" w:styleId="ListNumber">
    <w:name w:val="List Number"/>
    <w:basedOn w:val="List"/>
    <w:rsid w:val="000234B0"/>
    <w:pPr>
      <w:numPr>
        <w:numId w:val="11"/>
      </w:numPr>
    </w:pPr>
  </w:style>
  <w:style w:type="character" w:customStyle="1" w:styleId="WingdingSymbols">
    <w:name w:val="Wingding Symbols"/>
    <w:rsid w:val="000234B0"/>
    <w:rPr>
      <w:rFonts w:ascii="Wingdings" w:hAnsi="Wingdings"/>
    </w:rPr>
  </w:style>
  <w:style w:type="paragraph" w:customStyle="1" w:styleId="TableHeading">
    <w:name w:val="Table Heading"/>
    <w:basedOn w:val="HeadingBase"/>
    <w:rsid w:val="000234B0"/>
    <w:pPr>
      <w:keepLines/>
      <w:pBdr>
        <w:bottom w:val="single" w:sz="6" w:space="1" w:color="918585"/>
      </w:pBdr>
      <w:spacing w:before="240"/>
    </w:pPr>
  </w:style>
  <w:style w:type="character" w:customStyle="1" w:styleId="HotSpot">
    <w:name w:val="HotSpot"/>
    <w:rsid w:val="000234B0"/>
    <w:rPr>
      <w:color w:val="0033CC"/>
      <w:u w:val="none"/>
    </w:rPr>
  </w:style>
  <w:style w:type="paragraph" w:customStyle="1" w:styleId="BodyTextRight">
    <w:name w:val="Body Text Right"/>
    <w:basedOn w:val="BodyText"/>
    <w:rsid w:val="000234B0"/>
    <w:pPr>
      <w:spacing w:before="0" w:after="0"/>
      <w:jc w:val="right"/>
    </w:pPr>
  </w:style>
  <w:style w:type="paragraph" w:styleId="Index3">
    <w:name w:val="index 3"/>
    <w:basedOn w:val="ListNumber2"/>
    <w:next w:val="Normal"/>
    <w:semiHidden/>
    <w:rsid w:val="000234B0"/>
    <w:pPr>
      <w:numPr>
        <w:numId w:val="0"/>
      </w:numPr>
      <w:tabs>
        <w:tab w:val="right" w:leader="dot" w:pos="4176"/>
      </w:tabs>
    </w:pPr>
  </w:style>
  <w:style w:type="paragraph" w:styleId="ListNumber2">
    <w:name w:val="List Number 2"/>
    <w:basedOn w:val="List2"/>
    <w:rsid w:val="000234B0"/>
    <w:pPr>
      <w:numPr>
        <w:numId w:val="10"/>
      </w:numPr>
      <w:tabs>
        <w:tab w:val="clear" w:pos="1060"/>
      </w:tabs>
    </w:pPr>
  </w:style>
  <w:style w:type="paragraph" w:customStyle="1" w:styleId="MarginNote">
    <w:name w:val="Margin Note"/>
    <w:basedOn w:val="BodyText"/>
    <w:rsid w:val="000234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34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34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34B0"/>
    <w:rPr>
      <w:sz w:val="32"/>
    </w:rPr>
  </w:style>
  <w:style w:type="paragraph" w:customStyle="1" w:styleId="HeadingProcedure">
    <w:name w:val="Heading Procedure"/>
    <w:basedOn w:val="HeadingBase"/>
    <w:next w:val="Normal"/>
    <w:rsid w:val="000234B0"/>
    <w:pPr>
      <w:tabs>
        <w:tab w:val="left" w:pos="0"/>
      </w:tabs>
      <w:spacing w:before="120" w:after="60"/>
    </w:pPr>
    <w:rPr>
      <w:i/>
      <w:color w:val="918585"/>
      <w:sz w:val="22"/>
    </w:rPr>
  </w:style>
  <w:style w:type="paragraph" w:customStyle="1" w:styleId="TableBodyText">
    <w:name w:val="Table Body Text"/>
    <w:basedOn w:val="BodyText"/>
    <w:rsid w:val="000234B0"/>
    <w:pPr>
      <w:spacing w:before="60" w:after="60"/>
    </w:pPr>
  </w:style>
  <w:style w:type="paragraph" w:styleId="ListContinue">
    <w:name w:val="List Continue"/>
    <w:basedOn w:val="List"/>
    <w:rsid w:val="000234B0"/>
    <w:pPr>
      <w:ind w:firstLine="0"/>
    </w:pPr>
  </w:style>
  <w:style w:type="paragraph" w:customStyle="1" w:styleId="ListNote">
    <w:name w:val="List Note"/>
    <w:basedOn w:val="List"/>
    <w:rsid w:val="000234B0"/>
    <w:pPr>
      <w:pBdr>
        <w:top w:val="single" w:sz="6" w:space="2" w:color="918585"/>
        <w:bottom w:val="single" w:sz="6" w:space="2" w:color="918585"/>
      </w:pBdr>
      <w:tabs>
        <w:tab w:val="left" w:pos="1021"/>
      </w:tabs>
      <w:ind w:firstLine="0"/>
    </w:pPr>
  </w:style>
  <w:style w:type="paragraph" w:customStyle="1" w:styleId="Warning">
    <w:name w:val="Warning"/>
    <w:basedOn w:val="BodyText"/>
    <w:rsid w:val="000234B0"/>
    <w:pPr>
      <w:shd w:val="clear" w:color="auto" w:fill="D9D9D9"/>
      <w:tabs>
        <w:tab w:val="left" w:pos="992"/>
      </w:tabs>
      <w:ind w:left="119" w:right="119"/>
    </w:pPr>
    <w:rPr>
      <w:sz w:val="20"/>
    </w:rPr>
  </w:style>
  <w:style w:type="paragraph" w:customStyle="1" w:styleId="MarginIcons">
    <w:name w:val="Margin Icons"/>
    <w:basedOn w:val="BodyText"/>
    <w:rsid w:val="000234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34B0"/>
    <w:rPr>
      <w:rFonts w:ascii="Courier New" w:hAnsi="Courier New"/>
    </w:rPr>
  </w:style>
  <w:style w:type="paragraph" w:customStyle="1" w:styleId="NoteBullet">
    <w:name w:val="Note Bullet"/>
    <w:basedOn w:val="Note"/>
    <w:rsid w:val="000234B0"/>
    <w:pPr>
      <w:tabs>
        <w:tab w:val="clear" w:pos="680"/>
      </w:tabs>
      <w:spacing w:before="60" w:after="60"/>
    </w:pPr>
  </w:style>
  <w:style w:type="paragraph" w:customStyle="1" w:styleId="SubHeading2">
    <w:name w:val="SubHeading2"/>
    <w:basedOn w:val="HeadingBase"/>
    <w:rsid w:val="000234B0"/>
    <w:pPr>
      <w:spacing w:before="240" w:after="60"/>
    </w:pPr>
    <w:rPr>
      <w:sz w:val="20"/>
    </w:rPr>
  </w:style>
  <w:style w:type="paragraph" w:customStyle="1" w:styleId="SubHeading1">
    <w:name w:val="SubHeading1"/>
    <w:basedOn w:val="HeadingBase"/>
    <w:rsid w:val="000234B0"/>
    <w:pPr>
      <w:spacing w:before="240" w:after="60"/>
    </w:pPr>
    <w:rPr>
      <w:color w:val="918585"/>
      <w:sz w:val="22"/>
    </w:rPr>
  </w:style>
  <w:style w:type="paragraph" w:customStyle="1" w:styleId="SideHeading">
    <w:name w:val="Side Heading"/>
    <w:basedOn w:val="HeadingBase"/>
    <w:rsid w:val="000234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34B0"/>
    <w:pPr>
      <w:numPr>
        <w:numId w:val="12"/>
      </w:numPr>
    </w:pPr>
  </w:style>
  <w:style w:type="paragraph" w:styleId="PlainText">
    <w:name w:val="Plain Text"/>
    <w:basedOn w:val="Normal"/>
    <w:link w:val="PlainTextChar"/>
    <w:rsid w:val="000234B0"/>
    <w:rPr>
      <w:sz w:val="20"/>
    </w:rPr>
  </w:style>
  <w:style w:type="character" w:customStyle="1" w:styleId="PlainTextChar">
    <w:name w:val="Plain Text Char"/>
    <w:basedOn w:val="DefaultParagraphFont"/>
    <w:link w:val="PlainText"/>
    <w:rsid w:val="000234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234B0"/>
    <w:rPr>
      <w:b/>
      <w:smallCaps/>
    </w:rPr>
  </w:style>
  <w:style w:type="paragraph" w:customStyle="1" w:styleId="TableListNumber">
    <w:name w:val="Table List Number"/>
    <w:basedOn w:val="ListNumber"/>
    <w:rsid w:val="000234B0"/>
    <w:pPr>
      <w:numPr>
        <w:numId w:val="0"/>
      </w:numPr>
    </w:pPr>
  </w:style>
  <w:style w:type="paragraph" w:styleId="TOC4">
    <w:name w:val="toc 4"/>
    <w:basedOn w:val="TOCBase"/>
    <w:next w:val="Normal"/>
    <w:semiHidden/>
    <w:rsid w:val="000234B0"/>
    <w:pPr>
      <w:tabs>
        <w:tab w:val="right" w:leader="dot" w:pos="9071"/>
      </w:tabs>
      <w:ind w:left="1701"/>
    </w:pPr>
  </w:style>
  <w:style w:type="paragraph" w:customStyle="1" w:styleId="ListAlpha">
    <w:name w:val="List Alpha"/>
    <w:basedOn w:val="List"/>
    <w:rsid w:val="000234B0"/>
    <w:pPr>
      <w:numPr>
        <w:numId w:val="9"/>
      </w:numPr>
    </w:pPr>
  </w:style>
  <w:style w:type="paragraph" w:customStyle="1" w:styleId="ListAlpha2">
    <w:name w:val="List Alpha 2"/>
    <w:basedOn w:val="List2"/>
    <w:rsid w:val="000234B0"/>
    <w:pPr>
      <w:numPr>
        <w:numId w:val="8"/>
      </w:numPr>
    </w:pPr>
  </w:style>
  <w:style w:type="paragraph" w:styleId="List2">
    <w:name w:val="List 2"/>
    <w:basedOn w:val="BodyText"/>
    <w:rsid w:val="000234B0"/>
    <w:pPr>
      <w:tabs>
        <w:tab w:val="left" w:pos="680"/>
      </w:tabs>
      <w:spacing w:before="60" w:after="60"/>
      <w:ind w:left="680" w:hanging="340"/>
    </w:pPr>
  </w:style>
  <w:style w:type="paragraph" w:styleId="List3">
    <w:name w:val="List 3"/>
    <w:basedOn w:val="BodyText"/>
    <w:rsid w:val="000234B0"/>
    <w:pPr>
      <w:tabs>
        <w:tab w:val="left" w:pos="1021"/>
      </w:tabs>
      <w:spacing w:before="60" w:after="60"/>
      <w:ind w:left="1020" w:hanging="340"/>
    </w:pPr>
  </w:style>
  <w:style w:type="paragraph" w:styleId="List4">
    <w:name w:val="List 4"/>
    <w:basedOn w:val="BodyText"/>
    <w:rsid w:val="000234B0"/>
    <w:pPr>
      <w:tabs>
        <w:tab w:val="left" w:pos="1361"/>
      </w:tabs>
      <w:spacing w:before="60" w:after="60"/>
      <w:ind w:left="1361" w:hanging="340"/>
    </w:pPr>
  </w:style>
  <w:style w:type="paragraph" w:styleId="List5">
    <w:name w:val="List 5"/>
    <w:basedOn w:val="BodyText"/>
    <w:rsid w:val="000234B0"/>
    <w:pPr>
      <w:tabs>
        <w:tab w:val="left" w:pos="1701"/>
      </w:tabs>
      <w:spacing w:before="60" w:after="60"/>
      <w:ind w:left="1701" w:hanging="340"/>
    </w:pPr>
  </w:style>
  <w:style w:type="paragraph" w:styleId="ListBullet3">
    <w:name w:val="List Bullet 3"/>
    <w:basedOn w:val="List3"/>
    <w:rsid w:val="000234B0"/>
    <w:pPr>
      <w:numPr>
        <w:numId w:val="15"/>
      </w:numPr>
      <w:tabs>
        <w:tab w:val="clear" w:pos="1021"/>
      </w:tabs>
      <w:ind w:left="1037" w:hanging="357"/>
    </w:pPr>
  </w:style>
  <w:style w:type="paragraph" w:styleId="ListBullet4">
    <w:name w:val="List Bullet 4"/>
    <w:basedOn w:val="List4"/>
    <w:rsid w:val="000234B0"/>
    <w:pPr>
      <w:numPr>
        <w:numId w:val="3"/>
      </w:numPr>
    </w:pPr>
  </w:style>
  <w:style w:type="paragraph" w:styleId="ListBullet5">
    <w:name w:val="List Bullet 5"/>
    <w:basedOn w:val="List5"/>
    <w:rsid w:val="000234B0"/>
    <w:pPr>
      <w:numPr>
        <w:numId w:val="4"/>
      </w:numPr>
    </w:pPr>
  </w:style>
  <w:style w:type="paragraph" w:styleId="ListContinue2">
    <w:name w:val="List Continue 2"/>
    <w:basedOn w:val="List2"/>
    <w:rsid w:val="000234B0"/>
    <w:pPr>
      <w:ind w:firstLine="0"/>
    </w:pPr>
  </w:style>
  <w:style w:type="paragraph" w:styleId="ListContinue3">
    <w:name w:val="List Continue 3"/>
    <w:basedOn w:val="List3"/>
    <w:rsid w:val="000234B0"/>
    <w:pPr>
      <w:ind w:left="1021" w:firstLine="0"/>
    </w:pPr>
  </w:style>
  <w:style w:type="paragraph" w:styleId="ListContinue4">
    <w:name w:val="List Continue 4"/>
    <w:basedOn w:val="List4"/>
    <w:rsid w:val="000234B0"/>
    <w:pPr>
      <w:ind w:firstLine="0"/>
    </w:pPr>
  </w:style>
  <w:style w:type="paragraph" w:styleId="ListContinue5">
    <w:name w:val="List Continue 5"/>
    <w:basedOn w:val="List5"/>
    <w:rsid w:val="000234B0"/>
    <w:pPr>
      <w:ind w:firstLine="0"/>
    </w:pPr>
  </w:style>
  <w:style w:type="paragraph" w:styleId="ListNumber3">
    <w:name w:val="List Number 3"/>
    <w:basedOn w:val="List3"/>
    <w:rsid w:val="000234B0"/>
    <w:pPr>
      <w:numPr>
        <w:numId w:val="5"/>
      </w:numPr>
    </w:pPr>
  </w:style>
  <w:style w:type="paragraph" w:styleId="ListNumber4">
    <w:name w:val="List Number 4"/>
    <w:basedOn w:val="List4"/>
    <w:rsid w:val="000234B0"/>
    <w:pPr>
      <w:numPr>
        <w:numId w:val="6"/>
      </w:numPr>
    </w:pPr>
  </w:style>
  <w:style w:type="paragraph" w:styleId="ListNumber5">
    <w:name w:val="List Number 5"/>
    <w:basedOn w:val="List5"/>
    <w:rsid w:val="000234B0"/>
    <w:pPr>
      <w:numPr>
        <w:numId w:val="7"/>
      </w:numPr>
    </w:pPr>
  </w:style>
  <w:style w:type="paragraph" w:styleId="BlockText">
    <w:name w:val="Block Text"/>
    <w:basedOn w:val="Normal"/>
    <w:rsid w:val="000234B0"/>
    <w:pPr>
      <w:spacing w:after="120"/>
      <w:ind w:left="1440" w:right="1440"/>
    </w:pPr>
  </w:style>
  <w:style w:type="character" w:customStyle="1" w:styleId="Subscript">
    <w:name w:val="Subscript"/>
    <w:basedOn w:val="DefaultParagraphFont"/>
    <w:rsid w:val="000234B0"/>
    <w:rPr>
      <w:sz w:val="16"/>
      <w:vertAlign w:val="subscript"/>
    </w:rPr>
  </w:style>
  <w:style w:type="character" w:customStyle="1" w:styleId="Superscript">
    <w:name w:val="Superscript"/>
    <w:basedOn w:val="DefaultParagraphFont"/>
    <w:rsid w:val="000234B0"/>
    <w:rPr>
      <w:sz w:val="16"/>
      <w:vertAlign w:val="superscript"/>
    </w:rPr>
  </w:style>
  <w:style w:type="character" w:customStyle="1" w:styleId="Symbols">
    <w:name w:val="Symbols"/>
    <w:basedOn w:val="DefaultParagraphFont"/>
    <w:rsid w:val="000234B0"/>
    <w:rPr>
      <w:rFonts w:ascii="Symbol" w:hAnsi="Symbol"/>
    </w:rPr>
  </w:style>
  <w:style w:type="character" w:customStyle="1" w:styleId="MenuOptions">
    <w:name w:val="Menu Options"/>
    <w:basedOn w:val="DefaultParagraphFont"/>
    <w:rsid w:val="000234B0"/>
    <w:rPr>
      <w:rFonts w:ascii="Arial Narrow" w:hAnsi="Arial Narrow"/>
      <w:smallCaps/>
    </w:rPr>
  </w:style>
  <w:style w:type="character" w:customStyle="1" w:styleId="Buttons">
    <w:name w:val="Buttons"/>
    <w:basedOn w:val="DefaultParagraphFont"/>
    <w:rsid w:val="000234B0"/>
    <w:rPr>
      <w:b/>
    </w:rPr>
  </w:style>
  <w:style w:type="character" w:customStyle="1" w:styleId="Underlined">
    <w:name w:val="Underlined"/>
    <w:basedOn w:val="DefaultParagraphFont"/>
    <w:rsid w:val="000234B0"/>
    <w:rPr>
      <w:u w:val="single"/>
    </w:rPr>
  </w:style>
  <w:style w:type="paragraph" w:customStyle="1" w:styleId="TableBodyTextRight">
    <w:name w:val="Table Body Text Right"/>
    <w:basedOn w:val="TableBodyText"/>
    <w:rsid w:val="000234B0"/>
    <w:pPr>
      <w:widowControl w:val="0"/>
      <w:autoSpaceDE w:val="0"/>
      <w:autoSpaceDN w:val="0"/>
      <w:adjustRightInd w:val="0"/>
      <w:jc w:val="right"/>
    </w:pPr>
    <w:rPr>
      <w:rFonts w:cs="Arial"/>
      <w:szCs w:val="18"/>
    </w:rPr>
  </w:style>
  <w:style w:type="paragraph" w:customStyle="1" w:styleId="CopyrightText">
    <w:name w:val="Copyright Text"/>
    <w:basedOn w:val="BodyText"/>
    <w:rsid w:val="000234B0"/>
    <w:rPr>
      <w:sz w:val="18"/>
    </w:rPr>
  </w:style>
  <w:style w:type="paragraph" w:customStyle="1" w:styleId="BodySmallRight">
    <w:name w:val="Body Small Right"/>
    <w:basedOn w:val="BodyTextRight"/>
    <w:rsid w:val="000234B0"/>
    <w:rPr>
      <w:sz w:val="18"/>
      <w:szCs w:val="18"/>
    </w:rPr>
  </w:style>
  <w:style w:type="paragraph" w:customStyle="1" w:styleId="MarginEdition">
    <w:name w:val="Margin Edition"/>
    <w:basedOn w:val="MarginNote"/>
    <w:rsid w:val="000234B0"/>
    <w:pPr>
      <w:spacing w:before="0" w:after="0"/>
    </w:pPr>
    <w:rPr>
      <w:rFonts w:ascii="Times New Roman" w:hAnsi="Times New Roman"/>
      <w:color w:val="999999"/>
    </w:rPr>
  </w:style>
  <w:style w:type="paragraph" w:customStyle="1" w:styleId="Spacer">
    <w:name w:val="Spacer"/>
    <w:basedOn w:val="Normal"/>
    <w:rsid w:val="000234B0"/>
    <w:rPr>
      <w:sz w:val="2"/>
      <w:szCs w:val="2"/>
    </w:rPr>
  </w:style>
  <w:style w:type="character" w:customStyle="1" w:styleId="Small">
    <w:name w:val="Small"/>
    <w:basedOn w:val="DefaultParagraphFont"/>
    <w:rsid w:val="000234B0"/>
    <w:rPr>
      <w:sz w:val="16"/>
    </w:rPr>
  </w:style>
  <w:style w:type="paragraph" w:customStyle="1" w:styleId="WideTable">
    <w:name w:val="Wide Table"/>
    <w:basedOn w:val="Normal"/>
    <w:rsid w:val="000234B0"/>
    <w:pPr>
      <w:ind w:left="-1418"/>
    </w:pPr>
    <w:rPr>
      <w:sz w:val="2"/>
      <w:szCs w:val="2"/>
    </w:rPr>
  </w:style>
  <w:style w:type="character" w:styleId="PageNumber">
    <w:name w:val="page number"/>
    <w:basedOn w:val="DefaultParagraphFont"/>
    <w:rsid w:val="000234B0"/>
  </w:style>
  <w:style w:type="paragraph" w:styleId="Quote">
    <w:name w:val="Quote"/>
    <w:basedOn w:val="Heading1"/>
    <w:link w:val="QuoteChar"/>
    <w:qFormat/>
    <w:rsid w:val="000234B0"/>
    <w:rPr>
      <w:b w:val="0"/>
      <w:sz w:val="72"/>
      <w:szCs w:val="72"/>
      <w:lang w:val="en-NZ"/>
    </w:rPr>
  </w:style>
  <w:style w:type="character" w:customStyle="1" w:styleId="QuoteChar">
    <w:name w:val="Quote Char"/>
    <w:basedOn w:val="DefaultParagraphFont"/>
    <w:link w:val="Quote"/>
    <w:rsid w:val="000234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34B0"/>
    <w:pPr>
      <w:pageBreakBefore/>
    </w:pPr>
  </w:style>
  <w:style w:type="paragraph" w:customStyle="1" w:styleId="Border">
    <w:name w:val="Border"/>
    <w:basedOn w:val="Normal"/>
    <w:qFormat/>
    <w:rsid w:val="000234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34B0"/>
    <w:rPr>
      <w:b/>
      <w:bCs/>
      <w:i/>
      <w:iCs/>
      <w:color w:val="auto"/>
    </w:rPr>
  </w:style>
  <w:style w:type="paragraph" w:styleId="IntenseQuote">
    <w:name w:val="Intense Quote"/>
    <w:basedOn w:val="Normal"/>
    <w:next w:val="Normal"/>
    <w:link w:val="IntenseQuoteChar"/>
    <w:uiPriority w:val="30"/>
    <w:qFormat/>
    <w:rsid w:val="000234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34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234B0"/>
    <w:rPr>
      <w:smallCaps/>
      <w:color w:val="auto"/>
      <w:u w:val="single"/>
    </w:rPr>
  </w:style>
  <w:style w:type="character" w:styleId="IntenseReference">
    <w:name w:val="Intense Reference"/>
    <w:basedOn w:val="DefaultParagraphFont"/>
    <w:uiPriority w:val="32"/>
    <w:qFormat/>
    <w:rsid w:val="000234B0"/>
    <w:rPr>
      <w:b/>
      <w:bCs/>
      <w:smallCaps/>
      <w:color w:val="auto"/>
      <w:spacing w:val="5"/>
      <w:u w:val="single"/>
    </w:rPr>
  </w:style>
  <w:style w:type="paragraph" w:customStyle="1" w:styleId="2ColumnHeading">
    <w:name w:val="2Column Heading"/>
    <w:basedOn w:val="BodyText"/>
    <w:qFormat/>
    <w:rsid w:val="000234B0"/>
    <w:pPr>
      <w:spacing w:after="60"/>
      <w:ind w:left="-2268"/>
    </w:pPr>
    <w:rPr>
      <w:b/>
    </w:rPr>
  </w:style>
  <w:style w:type="paragraph" w:customStyle="1" w:styleId="Heading1TOC">
    <w:name w:val="Heading1 TOC"/>
    <w:basedOn w:val="Normal"/>
    <w:qFormat/>
    <w:rsid w:val="000234B0"/>
    <w:pPr>
      <w:spacing w:before="240" w:after="120"/>
    </w:pPr>
    <w:rPr>
      <w:rFonts w:ascii="Times New Roman" w:hAnsi="Times New Roman"/>
      <w:b/>
      <w:sz w:val="32"/>
    </w:rPr>
  </w:style>
  <w:style w:type="paragraph" w:customStyle="1" w:styleId="Heading2TOC">
    <w:name w:val="Heading2 TOC"/>
    <w:basedOn w:val="Normal"/>
    <w:qFormat/>
    <w:rsid w:val="000234B0"/>
    <w:pPr>
      <w:spacing w:before="240" w:after="60"/>
    </w:pPr>
    <w:rPr>
      <w:rFonts w:ascii="Times New Roman" w:hAnsi="Times New Roman"/>
      <w:b/>
      <w:sz w:val="28"/>
    </w:rPr>
  </w:style>
  <w:style w:type="character" w:customStyle="1" w:styleId="Underline">
    <w:name w:val="Underline"/>
    <w:basedOn w:val="DefaultParagraphFont"/>
    <w:qFormat/>
    <w:rsid w:val="000234B0"/>
    <w:rPr>
      <w:u w:val="single"/>
    </w:rPr>
  </w:style>
  <w:style w:type="character" w:customStyle="1" w:styleId="BoldandItalics">
    <w:name w:val="Bold and Italics"/>
    <w:qFormat/>
    <w:rsid w:val="000234B0"/>
    <w:rPr>
      <w:b/>
      <w:i/>
      <w:u w:val="none"/>
    </w:rPr>
  </w:style>
  <w:style w:type="paragraph" w:styleId="BalloonText">
    <w:name w:val="Balloon Text"/>
    <w:basedOn w:val="Normal"/>
    <w:link w:val="BalloonTextChar"/>
    <w:rsid w:val="000234B0"/>
    <w:rPr>
      <w:rFonts w:ascii="Tahoma" w:hAnsi="Tahoma" w:cs="Tahoma"/>
      <w:sz w:val="16"/>
      <w:szCs w:val="16"/>
    </w:rPr>
  </w:style>
  <w:style w:type="character" w:customStyle="1" w:styleId="BalloonTextChar">
    <w:name w:val="Balloon Text Char"/>
    <w:basedOn w:val="DefaultParagraphFont"/>
    <w:link w:val="BalloonText"/>
    <w:rsid w:val="000234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34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34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1522</Words>
  <Characters>9684</Characters>
  <Application>Microsoft Office Word</Application>
  <DocSecurity>0</DocSecurity>
  <Lines>378</Lines>
  <Paragraphs>201</Paragraphs>
  <ScaleCrop>false</ScaleCrop>
  <Company>Author-it Software Corporation Ltd.</Company>
  <LinksUpToDate>false</LinksUpToDate>
  <CharactersWithSpaces>11135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HLTPAT317C Operate effectively within a pathology testing environment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2012-05-26T17:02:00Z</dcterms:created>
  <dcterms:modified xsi:type="dcterms:W3CDTF">2012-05-26T17:02:00Z</dcterms:modified>
</cp:coreProperties>
</file>