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12DC" w:rsidP="000812DC">
      <w:pPr>
        <w:pStyle w:val="Title"/>
      </w:pPr>
      <w:bookmarkStart w:id="0" w:name="_GoBack"/>
      <w:bookmarkEnd w:id="0"/>
      <w:r>
        <w:fldChar w:fldCharType="begin"/>
      </w:r>
      <w:r>
        <w:instrText xml:space="preserve"> TITLE   \* MERGEFORMAT </w:instrText>
      </w:r>
      <w:r>
        <w:fldChar w:fldCharType="separate"/>
      </w:r>
      <w:r>
        <w:t>HLTOPT401B Perform technical procedures for the production of ophthalmic appliances</w:t>
      </w:r>
      <w:r>
        <w:fldChar w:fldCharType="end"/>
      </w:r>
    </w:p>
    <w:p w:rsidR="000812DC" w:rsidP="000812DC">
      <w:pPr>
        <w:pStyle w:val="Version"/>
        <w:sectPr w:rsidSect="00B8447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84474" w:rsidP="00B84474">
      <w:pPr>
        <w:pStyle w:val="SuperHeading"/>
      </w:pPr>
      <w:r w:rsidRPr="00B84474">
        <w:t>HLTOPT401B Perform technical procedures for the production of ophthalmic appliances</w:t>
      </w:r>
    </w:p>
    <w:p w:rsidR="00000000" w:rsidRPr="00B84474" w:rsidP="00B84474">
      <w:pPr>
        <w:pStyle w:val="Heading1"/>
      </w:pPr>
      <w:bookmarkStart w:id="1" w:name="O_271343"/>
      <w:bookmarkEnd w:id="1"/>
      <w:r w:rsidRPr="00B84474">
        <w:t>Modification History</w:t>
      </w:r>
    </w:p>
    <w:p w:rsidR="00000000" w:rsidRPr="00B84474" w:rsidP="00B84474">
      <w:pPr>
        <w:pStyle w:val="BodyText"/>
      </w:pPr>
      <w:r w:rsidRPr="00B84474">
        <w:t>Not Applicable</w:t>
      </w:r>
    </w:p>
    <w:p w:rsidR="00000000" w:rsidRPr="00B84474" w:rsidP="00B84474">
      <w:pPr>
        <w:pStyle w:val="AllowPageBreak"/>
      </w:pPr>
    </w:p>
    <w:p w:rsidR="00000000" w:rsidRPr="00B84474" w:rsidP="00B84474">
      <w:pPr>
        <w:pStyle w:val="Heading1"/>
      </w:pPr>
      <w:bookmarkStart w:id="2" w:name="O_206402"/>
      <w:bookmarkEnd w:id="2"/>
      <w:r w:rsidRPr="00B84474">
        <w:t>Unit Descript</w:t>
      </w:r>
      <w:r w:rsidRPr="00B84474">
        <w:t>or</w:t>
      </w:r>
    </w:p>
    <w:tbl>
      <w:tblPr>
        <w:tblW w:w="0" w:type="auto"/>
        <w:tblLayout w:type="fixed"/>
        <w:tblCellMar>
          <w:left w:w="62" w:type="dxa"/>
          <w:right w:w="62" w:type="dxa"/>
        </w:tblCellMar>
        <w:tblLook w:val="0000"/>
      </w:tblPr>
      <w:tblGrid>
        <w:gridCol w:w="3339"/>
        <w:gridCol w:w="5217"/>
      </w:tblGrid>
      <w:tr w:rsidTr="000812DC">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B84474">
            <w:pPr>
              <w:pStyle w:val="BodyText"/>
              <w:rPr>
                <w:lang w:val="en-NZ"/>
              </w:rPr>
            </w:pPr>
            <w:r w:rsidRPr="00B84474">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B84474" w:rsidP="00B84474">
            <w:pPr>
              <w:pStyle w:val="BodyText"/>
            </w:pPr>
            <w:r w:rsidRPr="00B84474">
              <w:t>This unit of competency describes the skills and knowledge required perform the required technical procedures to produce ophthalmic lenses</w:t>
            </w:r>
          </w:p>
        </w:tc>
      </w:tr>
    </w:tbl>
    <w:p w:rsidR="000812DC" w:rsidP="00B84474">
      <w:pPr>
        <w:pStyle w:val="BodyText"/>
      </w:pPr>
    </w:p>
    <w:p w:rsidR="000812DC" w:rsidP="00B84474">
      <w:pPr>
        <w:pStyle w:val="BodyText"/>
      </w:pPr>
    </w:p>
    <w:p w:rsidR="00000000" w:rsidRPr="00B84474" w:rsidP="00B84474">
      <w:pPr>
        <w:pStyle w:val="Heading1"/>
      </w:pPr>
      <w:bookmarkStart w:id="3" w:name="O_206404"/>
      <w:bookmarkEnd w:id="3"/>
      <w:r w:rsidRPr="00B84474">
        <w:t>Application of the Unit</w:t>
      </w:r>
    </w:p>
    <w:tbl>
      <w:tblPr>
        <w:tblW w:w="0" w:type="auto"/>
        <w:tblLayout w:type="fixed"/>
        <w:tblCellMar>
          <w:left w:w="62" w:type="dxa"/>
          <w:right w:w="62" w:type="dxa"/>
        </w:tblCellMar>
        <w:tblLook w:val="0000"/>
      </w:tblPr>
      <w:tblGrid>
        <w:gridCol w:w="3348"/>
        <w:gridCol w:w="5208"/>
      </w:tblGrid>
      <w:tr w:rsidTr="000812DC">
        <w:tblPrEx>
          <w:tblW w:w="0" w:type="auto"/>
          <w:tblLayout w:type="fixed"/>
          <w:tblCellMar>
            <w:left w:w="62" w:type="dxa"/>
            <w:right w:w="62" w:type="dxa"/>
          </w:tblCellMar>
          <w:tblLook w:val="0000"/>
        </w:tblPrEx>
        <w:trPr>
          <w:tblHeader/>
        </w:trPr>
        <w:tc>
          <w:tcPr>
            <w:tcW w:w="3348" w:type="dxa"/>
            <w:tcBorders>
              <w:top w:val="nil"/>
              <w:left w:val="nil"/>
              <w:bottom w:val="nil"/>
              <w:right w:val="nil"/>
            </w:tcBorders>
            <w:tcMar>
              <w:top w:w="0" w:type="dxa"/>
              <w:left w:w="62" w:type="dxa"/>
              <w:bottom w:w="0" w:type="dxa"/>
              <w:right w:w="62" w:type="dxa"/>
            </w:tcMar>
          </w:tcPr>
          <w:p w:rsidR="00000000" w:rsidP="00B84474">
            <w:pPr>
              <w:pStyle w:val="BodyText"/>
              <w:rPr>
                <w:lang w:val="en-NZ"/>
              </w:rPr>
            </w:pPr>
            <w:r w:rsidRPr="00B84474">
              <w:rPr>
                <w:rStyle w:val="SpecialBold"/>
              </w:rPr>
              <w:t>Application</w:t>
            </w:r>
          </w:p>
        </w:tc>
        <w:tc>
          <w:tcPr>
            <w:tcW w:w="5208" w:type="dxa"/>
            <w:tcBorders>
              <w:top w:val="nil"/>
              <w:left w:val="nil"/>
              <w:bottom w:val="nil"/>
              <w:right w:val="nil"/>
            </w:tcBorders>
            <w:tcMar>
              <w:top w:w="0" w:type="dxa"/>
              <w:left w:w="62" w:type="dxa"/>
              <w:bottom w:w="0" w:type="dxa"/>
              <w:right w:w="62" w:type="dxa"/>
            </w:tcMar>
          </w:tcPr>
          <w:p w:rsidR="00000000" w:rsidRPr="00B84474" w:rsidP="00B84474">
            <w:pPr>
              <w:pStyle w:val="BodyText"/>
            </w:pPr>
            <w:r w:rsidRPr="00B84474">
              <w:t xml:space="preserve">The application of knowledge and skills described in this competency unit related to functions necessary for working within optical technology  </w:t>
            </w:r>
          </w:p>
          <w:p w:rsidR="00000000" w:rsidRPr="00B84474" w:rsidP="00B84474">
            <w:pPr>
              <w:pStyle w:val="BodyText"/>
            </w:pPr>
            <w:r w:rsidRPr="00B84474">
              <w:t>Work at this level may be undertaken independently or under guidance and/or supervision</w:t>
            </w:r>
          </w:p>
        </w:tc>
      </w:tr>
    </w:tbl>
    <w:p w:rsidR="000812DC" w:rsidP="00B84474">
      <w:pPr>
        <w:pStyle w:val="BodyText"/>
      </w:pPr>
    </w:p>
    <w:p w:rsidR="000812DC" w:rsidP="00B84474">
      <w:pPr>
        <w:pStyle w:val="BodyText"/>
      </w:pPr>
    </w:p>
    <w:p w:rsidR="00000000" w:rsidRPr="00B84474" w:rsidP="00B84474">
      <w:pPr>
        <w:pStyle w:val="Heading1"/>
      </w:pPr>
      <w:bookmarkStart w:id="4" w:name="O_279603"/>
      <w:bookmarkEnd w:id="4"/>
      <w:r w:rsidRPr="00B84474">
        <w:t>L</w:t>
      </w:r>
      <w:r w:rsidRPr="00B84474">
        <w:t>icensing/Regulatory Information</w:t>
      </w:r>
    </w:p>
    <w:p w:rsidR="00000000" w:rsidRPr="00B84474" w:rsidP="00B84474">
      <w:pPr>
        <w:pStyle w:val="BodyText"/>
      </w:pPr>
      <w:r w:rsidRPr="00B84474">
        <w:t>Not Applicable</w:t>
      </w:r>
    </w:p>
    <w:p w:rsidR="00000000" w:rsidRPr="00B84474" w:rsidP="00B84474">
      <w:pPr>
        <w:pStyle w:val="AllowPageBreak"/>
      </w:pPr>
    </w:p>
    <w:p w:rsidR="00000000" w:rsidRPr="00B84474" w:rsidP="00B84474">
      <w:pPr>
        <w:pStyle w:val="Heading1"/>
      </w:pPr>
      <w:bookmarkStart w:id="5" w:name="O_284277"/>
      <w:bookmarkEnd w:id="5"/>
      <w:r w:rsidRPr="00B84474">
        <w:t>Pre-Requisites</w:t>
      </w:r>
    </w:p>
    <w:p w:rsidR="00000000" w:rsidRPr="00B84474" w:rsidP="00B84474">
      <w:pPr>
        <w:pStyle w:val="BodyText"/>
      </w:pPr>
      <w:r w:rsidRPr="00B84474">
        <w:t>Not Applicable</w:t>
      </w:r>
    </w:p>
    <w:p w:rsidR="00000000" w:rsidRPr="00B84474" w:rsidP="00B84474">
      <w:pPr>
        <w:pStyle w:val="AllowPageBreak"/>
      </w:pPr>
    </w:p>
    <w:p w:rsidR="00000000" w:rsidRPr="00B84474" w:rsidP="00B84474">
      <w:pPr>
        <w:pStyle w:val="Heading1"/>
      </w:pPr>
      <w:bookmarkStart w:id="6" w:name="O_206403"/>
      <w:bookmarkEnd w:id="6"/>
      <w:r w:rsidRPr="00B84474">
        <w:t>Employability Skills Information</w:t>
      </w:r>
    </w:p>
    <w:tbl>
      <w:tblPr>
        <w:tblW w:w="0" w:type="auto"/>
        <w:tblLayout w:type="fixed"/>
        <w:tblCellMar>
          <w:left w:w="62" w:type="dxa"/>
          <w:right w:w="62" w:type="dxa"/>
        </w:tblCellMar>
        <w:tblLook w:val="0000"/>
      </w:tblPr>
      <w:tblGrid>
        <w:gridCol w:w="3320"/>
        <w:gridCol w:w="5236"/>
      </w:tblGrid>
      <w:tr w:rsidTr="000812DC">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B84474">
            <w:pPr>
              <w:pStyle w:val="BodyText"/>
              <w:rPr>
                <w:lang w:val="en-NZ"/>
              </w:rPr>
            </w:pPr>
            <w:r w:rsidRPr="00B84474">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B84474" w:rsidP="00B84474">
            <w:pPr>
              <w:pStyle w:val="BodyText"/>
            </w:pPr>
            <w:r w:rsidRPr="00B84474">
              <w:t>This unit contains Employability Skills</w:t>
            </w:r>
          </w:p>
        </w:tc>
      </w:tr>
    </w:tbl>
    <w:p w:rsidR="000812DC" w:rsidP="00B84474">
      <w:pPr>
        <w:pStyle w:val="BodyText"/>
      </w:pPr>
    </w:p>
    <w:p w:rsidR="000812DC" w:rsidP="00B84474">
      <w:pPr>
        <w:pStyle w:val="BodyText"/>
      </w:pPr>
    </w:p>
    <w:p w:rsidR="00000000" w:rsidRPr="00B84474" w:rsidP="00B84474">
      <w:pPr>
        <w:pStyle w:val="Heading1"/>
      </w:pPr>
      <w:bookmarkStart w:id="7" w:name="O_289389"/>
      <w:bookmarkEnd w:id="7"/>
      <w:r w:rsidRPr="00B84474">
        <w:t>Elements and Performance Criteria Pre-Content</w:t>
      </w:r>
    </w:p>
    <w:tbl>
      <w:tblPr>
        <w:tblW w:w="0" w:type="auto"/>
        <w:tblLayout w:type="fixed"/>
        <w:tblCellMar>
          <w:left w:w="62" w:type="dxa"/>
          <w:right w:w="62" w:type="dxa"/>
        </w:tblCellMar>
        <w:tblLook w:val="0000"/>
      </w:tblPr>
      <w:tblGrid>
        <w:gridCol w:w="3369"/>
        <w:gridCol w:w="5702"/>
      </w:tblGrid>
      <w:tr w:rsidTr="000812D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84474">
            <w:pPr>
              <w:pStyle w:val="BodyText"/>
              <w:rPr>
                <w:lang w:val="en-NZ"/>
              </w:rPr>
            </w:pPr>
            <w:r w:rsidRPr="00B84474">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B84474" w:rsidP="00B84474">
            <w:pPr>
              <w:pStyle w:val="BodyText"/>
            </w:pPr>
            <w:r w:rsidRPr="00B84474">
              <w:t>The Performance Criteria specify the level of performance required to demonstrate achievement of the Element. Terms in italics are elaborated in t</w:t>
            </w:r>
            <w:r w:rsidRPr="00B84474">
              <w:t xml:space="preserve">he Range Statement. </w:t>
            </w:r>
          </w:p>
        </w:tc>
      </w:tr>
    </w:tbl>
    <w:p w:rsidR="00000000" w:rsidRPr="00B84474" w:rsidP="00B84474">
      <w:pPr>
        <w:pStyle w:val="BodyText"/>
      </w:pPr>
    </w:p>
    <w:p w:rsidR="00000000" w:rsidRPr="00B84474" w:rsidP="00B84474">
      <w:pPr>
        <w:pStyle w:val="AllowPageBreak"/>
      </w:pPr>
    </w:p>
    <w:p w:rsidR="00000000" w:rsidRPr="00B84474" w:rsidP="00B84474">
      <w:pPr>
        <w:pStyle w:val="Heading1"/>
      </w:pPr>
      <w:bookmarkStart w:id="8" w:name="O_236056"/>
      <w:bookmarkEnd w:id="8"/>
      <w:r w:rsidRPr="00B84474">
        <w:t>Elements and Performance Criteria</w:t>
      </w:r>
    </w:p>
    <w:tbl>
      <w:tblPr>
        <w:tblW w:w="0" w:type="auto"/>
        <w:tblLayout w:type="fixed"/>
        <w:tblCellMar>
          <w:left w:w="62" w:type="dxa"/>
          <w:right w:w="62" w:type="dxa"/>
        </w:tblCellMar>
        <w:tblLook w:val="0000"/>
      </w:tblPr>
      <w:tblGrid>
        <w:gridCol w:w="3369"/>
        <w:gridCol w:w="5702"/>
      </w:tblGrid>
      <w:tr w:rsidTr="000812DC">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B84474" w:rsidP="00B84474">
            <w:pPr>
              <w:pStyle w:val="BodyText"/>
            </w:pPr>
            <w:r w:rsidRPr="00B84474">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B84474">
            <w:pPr>
              <w:pStyle w:val="BodyText"/>
              <w:rPr>
                <w:lang w:val="en-NZ"/>
              </w:rPr>
            </w:pPr>
            <w:r w:rsidRPr="00B84474">
              <w:rPr>
                <w:rStyle w:val="SpecialBold"/>
              </w:rPr>
              <w:t>PERFORMANCE CRITERIA</w:t>
            </w:r>
          </w:p>
        </w:tc>
      </w:tr>
      <w:tr w:rsidTr="000812D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84474">
            <w:pPr>
              <w:pStyle w:val="List"/>
              <w:rPr>
                <w:lang w:val="en-NZ"/>
              </w:rPr>
            </w:pPr>
            <w:r w:rsidRPr="00B84474">
              <w:t>1.</w:t>
            </w:r>
            <w:r w:rsidRPr="00B84474">
              <w:tab/>
              <w:t xml:space="preserve">Interpret </w:t>
            </w:r>
            <w:r w:rsidRPr="00B84474">
              <w:rPr>
                <w:rStyle w:val="Emphasis"/>
              </w:rPr>
              <w:t>prescription</w:t>
            </w:r>
            <w:r w:rsidRPr="00B84474">
              <w:t xml:space="preserve"> details</w:t>
            </w:r>
          </w:p>
        </w:tc>
        <w:tc>
          <w:tcPr>
            <w:tcW w:w="5702" w:type="dxa"/>
            <w:tcBorders>
              <w:top w:val="nil"/>
              <w:left w:val="nil"/>
              <w:bottom w:val="nil"/>
              <w:right w:val="nil"/>
            </w:tcBorders>
            <w:tcMar>
              <w:top w:w="0" w:type="dxa"/>
              <w:left w:w="62" w:type="dxa"/>
              <w:bottom w:w="0" w:type="dxa"/>
              <w:right w:w="62" w:type="dxa"/>
            </w:tcMar>
          </w:tcPr>
          <w:p w:rsidR="00000000" w:rsidRPr="00B84474" w:rsidP="00B84474">
            <w:pPr>
              <w:pStyle w:val="BodyText"/>
            </w:pPr>
            <w:r w:rsidRPr="00B84474">
              <w:t>1.1</w:t>
            </w:r>
            <w:r w:rsidRPr="00B84474">
              <w:tab/>
              <w:t>Perform lens calculations correctly</w:t>
            </w:r>
          </w:p>
          <w:p w:rsidR="00000000" w:rsidRPr="00B84474" w:rsidP="00B84474">
            <w:pPr>
              <w:pStyle w:val="BodyText"/>
            </w:pPr>
            <w:r w:rsidRPr="00B84474">
              <w:t>1.2</w:t>
            </w:r>
            <w:r w:rsidRPr="00B84474">
              <w:tab/>
              <w:t>Check frames against order to ensure correct frame is used</w:t>
            </w:r>
          </w:p>
          <w:p w:rsidR="00000000" w:rsidRPr="00B84474" w:rsidP="00B84474">
            <w:pPr>
              <w:pStyle w:val="BodyText"/>
            </w:pPr>
            <w:r w:rsidRPr="00B84474">
              <w:t>1.3</w:t>
            </w:r>
            <w:r w:rsidRPr="00B84474">
              <w:tab/>
            </w:r>
            <w:r w:rsidRPr="00B84474">
              <w:t>Select appropriate lens blanks</w:t>
            </w:r>
          </w:p>
          <w:p w:rsidR="00000000" w:rsidP="00B84474">
            <w:pPr>
              <w:pStyle w:val="BodyText"/>
              <w:rPr>
                <w:lang w:val="en-NZ"/>
              </w:rPr>
            </w:pPr>
            <w:r w:rsidRPr="00B84474">
              <w:t>1.4</w:t>
            </w:r>
            <w:r w:rsidRPr="00B84474">
              <w:tab/>
              <w:t xml:space="preserve">Perform </w:t>
            </w:r>
            <w:r w:rsidRPr="00B84474">
              <w:rPr>
                <w:rStyle w:val="Emphasis"/>
              </w:rPr>
              <w:t>basic mathematical operations</w:t>
            </w:r>
            <w:r w:rsidRPr="00B84474">
              <w:t xml:space="preserve"> accurately </w:t>
            </w:r>
          </w:p>
        </w:tc>
      </w:tr>
      <w:tr w:rsidTr="000812D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84474">
            <w:pPr>
              <w:pStyle w:val="BodyText"/>
              <w:rPr>
                <w:lang w:val="en-NZ"/>
              </w:rPr>
            </w:pPr>
          </w:p>
        </w:tc>
      </w:tr>
      <w:tr w:rsidTr="000812D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84474">
            <w:pPr>
              <w:pStyle w:val="List"/>
              <w:rPr>
                <w:lang w:val="en-NZ"/>
              </w:rPr>
            </w:pPr>
            <w:r w:rsidRPr="00B84474">
              <w:t>2.</w:t>
            </w:r>
            <w:r w:rsidRPr="00B84474">
              <w:tab/>
              <w:t xml:space="preserve">Operate equipment correctly </w:t>
            </w:r>
          </w:p>
        </w:tc>
        <w:tc>
          <w:tcPr>
            <w:tcW w:w="5702" w:type="dxa"/>
            <w:tcBorders>
              <w:top w:val="nil"/>
              <w:left w:val="nil"/>
              <w:bottom w:val="nil"/>
              <w:right w:val="nil"/>
            </w:tcBorders>
            <w:tcMar>
              <w:top w:w="0" w:type="dxa"/>
              <w:left w:w="62" w:type="dxa"/>
              <w:bottom w:w="0" w:type="dxa"/>
              <w:right w:w="62" w:type="dxa"/>
            </w:tcMar>
          </w:tcPr>
          <w:p w:rsidR="00000000" w:rsidRPr="00B84474" w:rsidP="00B84474">
            <w:pPr>
              <w:pStyle w:val="BodyText"/>
            </w:pPr>
            <w:r w:rsidRPr="00B84474">
              <w:t>2.1</w:t>
            </w:r>
            <w:r w:rsidRPr="00B84474">
              <w:tab/>
              <w:t>Verify lens specifications using a focimeter</w:t>
            </w:r>
          </w:p>
          <w:p w:rsidR="00000000" w:rsidRPr="00B84474" w:rsidP="00B84474">
            <w:pPr>
              <w:pStyle w:val="BodyText"/>
            </w:pPr>
            <w:r w:rsidRPr="00B84474">
              <w:t>2.2</w:t>
            </w:r>
            <w:r w:rsidRPr="00B84474">
              <w:tab/>
              <w:t>Employ correct technique when using marker/blocker</w:t>
            </w:r>
          </w:p>
          <w:p w:rsidR="00000000" w:rsidRPr="00B84474" w:rsidP="00B84474">
            <w:pPr>
              <w:pStyle w:val="BodyText"/>
            </w:pPr>
            <w:r w:rsidRPr="00B84474">
              <w:t>2.3</w:t>
            </w:r>
            <w:r w:rsidRPr="00B84474">
              <w:tab/>
            </w:r>
            <w:r w:rsidRPr="00B84474">
              <w:t xml:space="preserve">Use surfacing equipment correctly and in accordance with the manufacturer's recommendations/instructions </w:t>
            </w:r>
          </w:p>
          <w:p w:rsidR="00000000" w:rsidRPr="00B84474" w:rsidP="00B84474">
            <w:pPr>
              <w:pStyle w:val="BodyText"/>
            </w:pPr>
            <w:r w:rsidRPr="00B84474">
              <w:t>2.4</w:t>
            </w:r>
            <w:r w:rsidRPr="00B84474">
              <w:tab/>
              <w:t>Use hand held tools safely and effectively</w:t>
            </w:r>
          </w:p>
          <w:p w:rsidR="00000000" w:rsidP="00B84474">
            <w:pPr>
              <w:pStyle w:val="BodyText"/>
              <w:rPr>
                <w:lang w:val="en-NZ"/>
              </w:rPr>
            </w:pPr>
            <w:r w:rsidRPr="00B84474">
              <w:t>2.5</w:t>
            </w:r>
            <w:r w:rsidRPr="00B84474">
              <w:tab/>
              <w:t>Locate and organise equipment in a convenient, efficient and safe manner</w:t>
            </w:r>
          </w:p>
        </w:tc>
      </w:tr>
      <w:tr w:rsidTr="000812D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84474">
            <w:pPr>
              <w:pStyle w:val="BodyText"/>
              <w:rPr>
                <w:lang w:val="en-NZ"/>
              </w:rPr>
            </w:pPr>
          </w:p>
        </w:tc>
      </w:tr>
      <w:tr w:rsidTr="000812D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84474">
            <w:pPr>
              <w:pStyle w:val="List"/>
              <w:rPr>
                <w:lang w:val="en-NZ"/>
              </w:rPr>
            </w:pPr>
            <w:r w:rsidRPr="00B84474">
              <w:t>3.</w:t>
            </w:r>
            <w:r w:rsidRPr="00B84474">
              <w:tab/>
              <w:t>Select and/or produ</w:t>
            </w:r>
            <w:r w:rsidRPr="00B84474">
              <w:t>ce prescribed lenses</w:t>
            </w:r>
          </w:p>
        </w:tc>
        <w:tc>
          <w:tcPr>
            <w:tcW w:w="5702" w:type="dxa"/>
            <w:tcBorders>
              <w:top w:val="nil"/>
              <w:left w:val="nil"/>
              <w:bottom w:val="nil"/>
              <w:right w:val="nil"/>
            </w:tcBorders>
            <w:tcMar>
              <w:top w:w="0" w:type="dxa"/>
              <w:left w:w="62" w:type="dxa"/>
              <w:bottom w:w="0" w:type="dxa"/>
              <w:right w:w="62" w:type="dxa"/>
            </w:tcMar>
          </w:tcPr>
          <w:p w:rsidR="00000000" w:rsidRPr="00B84474" w:rsidP="00B84474">
            <w:pPr>
              <w:pStyle w:val="BodyText"/>
            </w:pPr>
            <w:r w:rsidRPr="00B84474">
              <w:t>3.1</w:t>
            </w:r>
            <w:r w:rsidRPr="00B84474">
              <w:tab/>
              <w:t>Perform layout functions effectively</w:t>
            </w:r>
          </w:p>
          <w:p w:rsidR="00000000" w:rsidRPr="00B84474" w:rsidP="00B84474">
            <w:pPr>
              <w:pStyle w:val="BodyText"/>
            </w:pPr>
            <w:r w:rsidRPr="00B84474">
              <w:t>3.2</w:t>
            </w:r>
            <w:r w:rsidRPr="00B84474">
              <w:tab/>
              <w:t>Complete semi-finished lens surface protection</w:t>
            </w:r>
          </w:p>
          <w:p w:rsidR="00000000" w:rsidRPr="00B84474" w:rsidP="00B84474">
            <w:pPr>
              <w:pStyle w:val="BodyText"/>
            </w:pPr>
            <w:r w:rsidRPr="00B84474">
              <w:t>3.3</w:t>
            </w:r>
            <w:r w:rsidRPr="00B84474">
              <w:tab/>
              <w:t>Complete blocking techniques accurately</w:t>
            </w:r>
          </w:p>
          <w:p w:rsidR="00000000" w:rsidRPr="00B84474" w:rsidP="00B84474">
            <w:pPr>
              <w:pStyle w:val="BodyText"/>
            </w:pPr>
            <w:r w:rsidRPr="00B84474">
              <w:t>3.4</w:t>
            </w:r>
            <w:r w:rsidRPr="00B84474">
              <w:tab/>
              <w:t>Inspect surfacing</w:t>
            </w:r>
          </w:p>
          <w:p w:rsidR="00000000" w:rsidRPr="00B84474" w:rsidP="00B84474">
            <w:pPr>
              <w:pStyle w:val="BodyText"/>
            </w:pPr>
            <w:r w:rsidRPr="00B84474">
              <w:t>3.5</w:t>
            </w:r>
            <w:r w:rsidRPr="00B84474">
              <w:tab/>
              <w:t>Generate lenses to correct curve, prism and thickness</w:t>
            </w:r>
          </w:p>
          <w:p w:rsidR="00000000" w:rsidP="00B84474">
            <w:pPr>
              <w:pStyle w:val="BodyText"/>
              <w:rPr>
                <w:lang w:val="en-NZ"/>
              </w:rPr>
            </w:pPr>
            <w:r w:rsidRPr="00B84474">
              <w:t>3.6</w:t>
            </w:r>
            <w:r w:rsidRPr="00B84474">
              <w:tab/>
              <w:t>Conduct surfaci</w:t>
            </w:r>
            <w:r w:rsidRPr="00B84474">
              <w:t>ng procedures with precision</w:t>
            </w:r>
          </w:p>
        </w:tc>
      </w:tr>
      <w:tr w:rsidTr="000812D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84474">
            <w:pPr>
              <w:pStyle w:val="BodyText"/>
              <w:rPr>
                <w:lang w:val="en-NZ"/>
              </w:rPr>
            </w:pPr>
          </w:p>
        </w:tc>
      </w:tr>
      <w:tr w:rsidTr="000812D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84474">
            <w:pPr>
              <w:pStyle w:val="List"/>
              <w:rPr>
                <w:lang w:val="en-NZ"/>
              </w:rPr>
            </w:pPr>
            <w:r w:rsidRPr="00B84474">
              <w:t>4.</w:t>
            </w:r>
            <w:r w:rsidRPr="00B84474">
              <w:tab/>
              <w:t xml:space="preserve">Perform </w:t>
            </w:r>
            <w:r w:rsidRPr="00B84474">
              <w:rPr>
                <w:rStyle w:val="Emphasis"/>
              </w:rPr>
              <w:t>basic lens treatment</w:t>
            </w:r>
          </w:p>
        </w:tc>
        <w:tc>
          <w:tcPr>
            <w:tcW w:w="5702" w:type="dxa"/>
            <w:tcBorders>
              <w:top w:val="nil"/>
              <w:left w:val="nil"/>
              <w:bottom w:val="nil"/>
              <w:right w:val="nil"/>
            </w:tcBorders>
            <w:tcMar>
              <w:top w:w="0" w:type="dxa"/>
              <w:left w:w="62" w:type="dxa"/>
              <w:bottom w:w="0" w:type="dxa"/>
              <w:right w:w="62" w:type="dxa"/>
            </w:tcMar>
          </w:tcPr>
          <w:p w:rsidR="00000000" w:rsidRPr="00B84474" w:rsidP="00B84474">
            <w:pPr>
              <w:pStyle w:val="BodyText"/>
            </w:pPr>
            <w:r w:rsidRPr="00B84474">
              <w:t>4.1</w:t>
            </w:r>
            <w:r w:rsidRPr="00B84474">
              <w:tab/>
              <w:t>Prepare lens prior to treatment</w:t>
            </w:r>
          </w:p>
          <w:p w:rsidR="00000000" w:rsidRPr="00B84474" w:rsidP="00B84474">
            <w:pPr>
              <w:pStyle w:val="BodyText"/>
            </w:pPr>
            <w:r w:rsidRPr="00B84474">
              <w:t>4.2</w:t>
            </w:r>
            <w:r w:rsidRPr="00B84474">
              <w:tab/>
              <w:t>Apply correct technique to lens treatment</w:t>
            </w:r>
          </w:p>
          <w:p w:rsidR="00000000" w:rsidP="00B84474">
            <w:pPr>
              <w:pStyle w:val="BodyText"/>
              <w:rPr>
                <w:lang w:val="en-NZ"/>
              </w:rPr>
            </w:pPr>
            <w:r w:rsidRPr="00B84474">
              <w:t>4.3</w:t>
            </w:r>
            <w:r w:rsidRPr="00B84474">
              <w:tab/>
              <w:t>Ensure lens treatment complies with Australian Standards</w:t>
            </w:r>
          </w:p>
        </w:tc>
      </w:tr>
      <w:tr w:rsidTr="000812D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84474">
            <w:pPr>
              <w:pStyle w:val="BodyText"/>
              <w:rPr>
                <w:lang w:val="en-NZ"/>
              </w:rPr>
            </w:pPr>
          </w:p>
        </w:tc>
      </w:tr>
      <w:tr w:rsidTr="000812D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84474">
            <w:pPr>
              <w:pStyle w:val="List"/>
              <w:rPr>
                <w:lang w:val="en-NZ"/>
              </w:rPr>
            </w:pPr>
            <w:r w:rsidRPr="00B84474">
              <w:t>1.</w:t>
            </w:r>
            <w:r w:rsidRPr="00B84474">
              <w:tab/>
              <w:t>5.</w:t>
            </w:r>
            <w:r w:rsidRPr="00B84474">
              <w:tab/>
              <w:t>Conduct final checking procedures</w:t>
            </w:r>
          </w:p>
        </w:tc>
        <w:tc>
          <w:tcPr>
            <w:tcW w:w="5702" w:type="dxa"/>
            <w:tcBorders>
              <w:top w:val="nil"/>
              <w:left w:val="nil"/>
              <w:bottom w:val="nil"/>
              <w:right w:val="nil"/>
            </w:tcBorders>
            <w:tcMar>
              <w:top w:w="0" w:type="dxa"/>
              <w:left w:w="62" w:type="dxa"/>
              <w:bottom w:w="0" w:type="dxa"/>
              <w:right w:w="62" w:type="dxa"/>
            </w:tcMar>
          </w:tcPr>
          <w:p w:rsidR="00000000" w:rsidRPr="00B84474" w:rsidP="00B84474">
            <w:pPr>
              <w:pStyle w:val="BodyText"/>
            </w:pPr>
            <w:r w:rsidRPr="00B84474">
              <w:t>5.1</w:t>
            </w:r>
            <w:r w:rsidRPr="00B84474">
              <w:tab/>
            </w:r>
            <w:r w:rsidRPr="00B84474">
              <w:t>Confirm the lens specification against the prescription prior to delivery</w:t>
            </w:r>
          </w:p>
          <w:p w:rsidR="00000000" w:rsidRPr="00B84474" w:rsidP="00B84474">
            <w:pPr>
              <w:pStyle w:val="BodyText"/>
            </w:pPr>
            <w:r w:rsidRPr="00B84474">
              <w:t>5.2</w:t>
            </w:r>
            <w:r w:rsidRPr="00B84474">
              <w:tab/>
              <w:t>Check that the correct type and form of lens used in line with client requirements</w:t>
            </w:r>
          </w:p>
          <w:p w:rsidR="00000000" w:rsidRPr="00B84474" w:rsidP="00B84474">
            <w:pPr>
              <w:pStyle w:val="BodyText"/>
            </w:pPr>
            <w:r w:rsidRPr="00B84474">
              <w:t>5.3</w:t>
            </w:r>
            <w:r w:rsidRPr="00B84474">
              <w:tab/>
              <w:t>Check lens treatments for quality</w:t>
            </w:r>
          </w:p>
          <w:p w:rsidR="00000000" w:rsidRPr="00B84474" w:rsidP="00B84474">
            <w:pPr>
              <w:pStyle w:val="BodyText"/>
            </w:pPr>
            <w:r w:rsidRPr="00B84474">
              <w:t>5.4</w:t>
            </w:r>
            <w:r w:rsidRPr="00B84474">
              <w:tab/>
              <w:t>Confirm completion of job</w:t>
            </w:r>
          </w:p>
        </w:tc>
      </w:tr>
    </w:tbl>
    <w:p w:rsidR="000812DC" w:rsidP="00B84474">
      <w:pPr>
        <w:pStyle w:val="BodyText"/>
      </w:pPr>
    </w:p>
    <w:p w:rsidR="000812DC" w:rsidP="00B84474">
      <w:pPr>
        <w:pStyle w:val="BodyText"/>
      </w:pPr>
    </w:p>
    <w:p w:rsidR="00000000" w:rsidRPr="00B84474" w:rsidP="00B84474">
      <w:pPr>
        <w:pStyle w:val="Heading1"/>
      </w:pPr>
      <w:bookmarkStart w:id="9" w:name="O_260006"/>
      <w:bookmarkEnd w:id="9"/>
      <w:r w:rsidRPr="00B84474">
        <w:t>Required Skills and Knowledge</w:t>
      </w:r>
    </w:p>
    <w:tbl>
      <w:tblPr>
        <w:tblW w:w="0" w:type="auto"/>
        <w:tblLayout w:type="fixed"/>
        <w:tblCellMar>
          <w:left w:w="62" w:type="dxa"/>
          <w:right w:w="62" w:type="dxa"/>
        </w:tblCellMar>
        <w:tblLook w:val="0000"/>
      </w:tblPr>
      <w:tblGrid>
        <w:gridCol w:w="9072"/>
      </w:tblGrid>
      <w:tr w:rsidTr="000812DC">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B84474">
            <w:pPr>
              <w:pStyle w:val="BodyText"/>
              <w:rPr>
                <w:lang w:val="en-NZ"/>
              </w:rPr>
            </w:pPr>
            <w:r w:rsidRPr="00B84474">
              <w:rPr>
                <w:rStyle w:val="SpecialBold"/>
              </w:rPr>
              <w:t>REQUIRED SKILLS AND KNOWLEDGE</w:t>
            </w:r>
          </w:p>
        </w:tc>
      </w:tr>
      <w:tr w:rsidTr="000812D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84474">
            <w:pPr>
              <w:pStyle w:val="BodyText"/>
              <w:rPr>
                <w:lang w:val="en-NZ"/>
              </w:rPr>
            </w:pPr>
          </w:p>
        </w:tc>
      </w:tr>
      <w:tr w:rsidTr="000812D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84474">
            <w:pPr>
              <w:pStyle w:val="BodyText"/>
              <w:rPr>
                <w:lang w:val="en-NZ"/>
              </w:rPr>
            </w:pPr>
            <w:r w:rsidRPr="00B84474">
              <w:t>This describes the essential skills and knowledge and their level required for this unit.</w:t>
            </w:r>
          </w:p>
        </w:tc>
      </w:tr>
      <w:tr w:rsidTr="000812D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84474">
            <w:pPr>
              <w:pStyle w:val="BodyText"/>
              <w:rPr>
                <w:lang w:val="en-NZ"/>
              </w:rPr>
            </w:pPr>
          </w:p>
        </w:tc>
      </w:tr>
      <w:tr w:rsidTr="000812D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84474" w:rsidP="00B84474">
            <w:pPr>
              <w:pStyle w:val="BodyText"/>
            </w:pPr>
            <w:r w:rsidRPr="00B84474">
              <w:rPr>
                <w:rStyle w:val="Emphasis"/>
              </w:rPr>
              <w:t>Essential knowledge</w:t>
            </w:r>
            <w:r w:rsidRPr="00B84474">
              <w:t>:</w:t>
            </w:r>
          </w:p>
          <w:p w:rsidR="00000000" w:rsidRPr="00B84474" w:rsidP="00B84474">
            <w:pPr>
              <w:pStyle w:val="BodyText"/>
            </w:pPr>
            <w:r w:rsidRPr="00B84474">
              <w:t>The candidate must be able to demonstrate essential knowledge required to effec</w:t>
            </w:r>
            <w:r w:rsidRPr="00B84474">
              <w:t>tively do the task outlined in elements and performance criteria of this unit, manage the task and manage contingencies in the context of the identified work role</w:t>
            </w:r>
          </w:p>
          <w:p w:rsidR="00000000" w:rsidRPr="00B84474" w:rsidP="00B84474">
            <w:pPr>
              <w:pStyle w:val="BodyText"/>
            </w:pPr>
            <w:r w:rsidRPr="00B84474">
              <w:t>This includes knowledge of:</w:t>
            </w:r>
          </w:p>
          <w:p w:rsidR="00000000" w:rsidRPr="00B84474" w:rsidP="00B84474">
            <w:pPr>
              <w:pStyle w:val="ListBullet"/>
            </w:pPr>
            <w:r w:rsidRPr="00B84474">
              <w:t>Astigmatic lenses including:</w:t>
            </w:r>
          </w:p>
          <w:p w:rsidR="00000000" w:rsidRPr="00B84474" w:rsidP="00B84474">
            <w:pPr>
              <w:pStyle w:val="ListBullet2"/>
            </w:pPr>
            <w:r w:rsidRPr="00B84474">
              <w:t>how to perform calculations related to the application of astigmatic lenses in optical prescriptions</w:t>
            </w:r>
          </w:p>
          <w:p w:rsidR="00000000" w:rsidRPr="00B84474" w:rsidP="00B84474">
            <w:pPr>
              <w:pStyle w:val="ListBullet2"/>
            </w:pPr>
            <w:r w:rsidRPr="00B84474">
              <w:t>nature of astigmatism</w:t>
            </w:r>
          </w:p>
          <w:p w:rsidR="00000000" w:rsidRPr="00B84474" w:rsidP="00B84474">
            <w:pPr>
              <w:pStyle w:val="ListBullet2"/>
            </w:pPr>
            <w:r w:rsidRPr="00B84474">
              <w:t>the difference between cylindrical and astigmatic lenses</w:t>
            </w:r>
          </w:p>
          <w:p w:rsidR="00000000" w:rsidRPr="00B84474" w:rsidP="00B84474">
            <w:pPr>
              <w:pStyle w:val="ListBullet2"/>
            </w:pPr>
            <w:r w:rsidRPr="00B84474">
              <w:t>various forms of astigmatic lenses</w:t>
            </w:r>
          </w:p>
          <w:p w:rsidR="00000000" w:rsidRPr="00B84474" w:rsidP="00B84474">
            <w:pPr>
              <w:pStyle w:val="ListBullet"/>
            </w:pPr>
            <w:r w:rsidRPr="00B84474">
              <w:t>Drilled rimless frames including mounts a</w:t>
            </w:r>
            <w:r w:rsidRPr="00B84474">
              <w:t>nd rimless types and equipment needed</w:t>
            </w:r>
          </w:p>
          <w:p w:rsidR="00000000" w:rsidRPr="00B84474" w:rsidP="00B84474">
            <w:pPr>
              <w:pStyle w:val="ListBullet"/>
            </w:pPr>
            <w:r w:rsidRPr="00B84474">
              <w:t>Filter and tinted lens processes including:</w:t>
            </w:r>
          </w:p>
          <w:p w:rsidR="00000000" w:rsidRPr="00B84474" w:rsidP="00B84474">
            <w:pPr>
              <w:pStyle w:val="ListBullet2"/>
            </w:pPr>
            <w:r w:rsidRPr="00B84474">
              <w:t>Australian Standards</w:t>
            </w:r>
          </w:p>
          <w:p w:rsidR="00000000" w:rsidRPr="00B84474" w:rsidP="00B84474">
            <w:pPr>
              <w:pStyle w:val="ListBullet2"/>
            </w:pPr>
            <w:r w:rsidRPr="00B84474">
              <w:t>plastic lens tinting including dyes and tint types, equipment, preparation, problems and solutions</w:t>
            </w:r>
          </w:p>
          <w:p w:rsidR="00000000" w:rsidRPr="00B84474" w:rsidP="00B84474">
            <w:pPr>
              <w:pStyle w:val="ListBullet2"/>
            </w:pPr>
            <w:r w:rsidRPr="00B84474">
              <w:t>transmission testing including equipment and instrume</w:t>
            </w:r>
            <w:r w:rsidRPr="00B84474">
              <w:t xml:space="preserve">ntation, equipment limitations and Australian Standards </w:t>
            </w:r>
          </w:p>
          <w:p w:rsidR="00000000" w:rsidRPr="00B84474" w:rsidP="00B84474">
            <w:pPr>
              <w:pStyle w:val="ListBullet"/>
            </w:pPr>
            <w:r w:rsidRPr="00B84474">
              <w:t>Frame measurement systems including boxing and datum</w:t>
            </w:r>
          </w:p>
          <w:p w:rsidR="00000000" w:rsidRPr="00B84474" w:rsidP="00B84474">
            <w:pPr>
              <w:pStyle w:val="ListBullet"/>
            </w:pPr>
            <w:r w:rsidRPr="00B84474">
              <w:t>Glazing techniques</w:t>
            </w:r>
          </w:p>
          <w:p w:rsidR="00000000" w:rsidRPr="00B84474" w:rsidP="00B84474">
            <w:pPr>
              <w:pStyle w:val="ListBullet"/>
            </w:pPr>
            <w:r w:rsidRPr="00B84474">
              <w:t>Impact resistant safety lenses including:</w:t>
            </w:r>
          </w:p>
          <w:p w:rsidR="00000000" w:rsidRPr="00B84474" w:rsidP="00B84474">
            <w:pPr>
              <w:pStyle w:val="ListBullet2"/>
            </w:pPr>
            <w:r w:rsidRPr="00B84474">
              <w:t>advantages and disadvantages</w:t>
            </w:r>
          </w:p>
          <w:p w:rsidR="00000000" w:rsidRPr="00B84474" w:rsidP="00B84474">
            <w:pPr>
              <w:pStyle w:val="ListBullet2"/>
            </w:pPr>
            <w:r w:rsidRPr="00B84474">
              <w:t>Australian Standards for both general purpose and indus</w:t>
            </w:r>
            <w:r w:rsidRPr="00B84474">
              <w:t>trial use</w:t>
            </w:r>
          </w:p>
          <w:p w:rsidR="00000000" w:rsidRPr="00B84474" w:rsidP="00B84474">
            <w:pPr>
              <w:pStyle w:val="ListBullet2"/>
            </w:pPr>
            <w:r w:rsidRPr="00B84474">
              <w:t>evaluation of materials including glass, CR39, higher index plastics, polycarbonate and laminates</w:t>
            </w:r>
          </w:p>
          <w:p w:rsidR="00000000" w:rsidRPr="00B84474" w:rsidP="00B84474">
            <w:pPr>
              <w:pStyle w:val="ListBullet2"/>
            </w:pPr>
            <w:r w:rsidRPr="00B84474">
              <w:t>impact resistance</w:t>
            </w:r>
          </w:p>
          <w:p w:rsidR="00000000" w:rsidRPr="00B84474" w:rsidP="00B84474">
            <w:pPr>
              <w:pStyle w:val="ListBullet2"/>
            </w:pPr>
            <w:r w:rsidRPr="00B84474">
              <w:t>impact testing requirements, conditions and procedures</w:t>
            </w:r>
          </w:p>
          <w:p w:rsidR="00000000" w:rsidRPr="00B84474" w:rsidP="00B84474">
            <w:pPr>
              <w:pStyle w:val="ListBullet2"/>
            </w:pPr>
            <w:r w:rsidRPr="00B84474">
              <w:t>principles and processing of thermal and chemical toughening</w:t>
            </w:r>
          </w:p>
          <w:p w:rsidR="00000000" w:rsidRPr="00B84474" w:rsidP="00B84474">
            <w:pPr>
              <w:pStyle w:val="ListBullet2"/>
            </w:pPr>
            <w:r w:rsidRPr="00B84474">
              <w:t>problems and special lens requirements</w:t>
            </w:r>
          </w:p>
          <w:p w:rsidR="00000000" w:rsidRPr="00B84474" w:rsidP="00B84474">
            <w:pPr>
              <w:pStyle w:val="ListBullet"/>
            </w:pPr>
            <w:r w:rsidRPr="00B84474">
              <w:t>Lens thickness including:</w:t>
            </w:r>
          </w:p>
          <w:p w:rsidR="00000000" w:rsidRPr="00B84474" w:rsidP="00B84474">
            <w:pPr>
              <w:pStyle w:val="ListBullet2"/>
            </w:pPr>
            <w:r w:rsidRPr="00B84474">
              <w:t>affect of prism on lens thickness</w:t>
            </w:r>
          </w:p>
          <w:p w:rsidR="00000000" w:rsidRPr="00B84474" w:rsidP="00B84474">
            <w:pPr>
              <w:pStyle w:val="ListBullet2"/>
            </w:pPr>
            <w:r w:rsidRPr="00B84474">
              <w:t>determining meridian thickness and oblique meridian thickness</w:t>
            </w:r>
          </w:p>
          <w:p w:rsidR="00000000" w:rsidRPr="00B84474" w:rsidP="00B84474">
            <w:pPr>
              <w:pStyle w:val="ListBullet2"/>
            </w:pPr>
            <w:r w:rsidRPr="00B84474">
              <w:t>how to perform calculations related to the application of lenses in optical prescriptions</w:t>
            </w:r>
          </w:p>
          <w:p w:rsidR="00000000" w:rsidRPr="00B84474" w:rsidP="00B84474">
            <w:pPr>
              <w:pStyle w:val="ListBullet2"/>
            </w:pPr>
            <w:r w:rsidRPr="00B84474">
              <w:t>natu</w:t>
            </w:r>
            <w:r w:rsidRPr="00B84474">
              <w:t>re of curve variation factor and sagittal thicknesses</w:t>
            </w:r>
          </w:p>
          <w:p w:rsidR="00000000" w:rsidRPr="00B84474" w:rsidP="00B84474">
            <w:pPr>
              <w:pStyle w:val="ListBullet2"/>
            </w:pPr>
            <w:r w:rsidRPr="00B84474">
              <w:t>the different affects of lens indices on thickness</w:t>
            </w:r>
          </w:p>
          <w:p w:rsidR="00000000" w:rsidRPr="00B84474" w:rsidP="00B84474">
            <w:pPr>
              <w:pStyle w:val="ListBullet"/>
            </w:pPr>
            <w:r w:rsidRPr="00B84474">
              <w:t>Light including:</w:t>
            </w:r>
          </w:p>
          <w:p w:rsidR="00000000" w:rsidRPr="00B84474" w:rsidP="00B84474">
            <w:pPr>
              <w:pStyle w:val="ListBullet2"/>
            </w:pPr>
            <w:r w:rsidRPr="00B84474">
              <w:t>calculation of angles of incidence, refraction, deviation and critical angles</w:t>
            </w:r>
          </w:p>
          <w:p w:rsidR="00000000" w:rsidRPr="00B84474" w:rsidP="00B84474">
            <w:pPr>
              <w:pStyle w:val="ListBullet2"/>
            </w:pPr>
            <w:r w:rsidRPr="00B84474">
              <w:t>contemporary theories of light</w:t>
            </w:r>
          </w:p>
          <w:p w:rsidR="00000000" w:rsidRPr="00B84474" w:rsidP="00B84474">
            <w:pPr>
              <w:pStyle w:val="ListBullet2"/>
            </w:pPr>
            <w:r w:rsidRPr="00B84474">
              <w:t xml:space="preserve">how light is propagated </w:t>
            </w:r>
            <w:r w:rsidRPr="00B84474">
              <w:t>and explain how commonly observed effects may occur</w:t>
            </w:r>
          </w:p>
          <w:p w:rsidR="00000000" w:rsidRPr="00B84474" w:rsidP="00B84474">
            <w:pPr>
              <w:pStyle w:val="ListBullet2"/>
            </w:pPr>
            <w:r w:rsidRPr="00B84474">
              <w:t>various light-induced phenomena</w:t>
            </w:r>
          </w:p>
          <w:p w:rsidR="00000000" w:rsidP="00B84474">
            <w:pPr>
              <w:pStyle w:val="BodyText"/>
              <w:rPr>
                <w:lang w:val="en-NZ"/>
              </w:rPr>
            </w:pPr>
            <w:r w:rsidRPr="00B84474">
              <w:rPr>
                <w:rStyle w:val="Emphasis"/>
              </w:rPr>
              <w:t>continued</w:t>
            </w:r>
            <w:r w:rsidRPr="00B84474">
              <w:t xml:space="preserve"> ...</w:t>
            </w:r>
          </w:p>
        </w:tc>
      </w:tr>
      <w:tr w:rsidTr="000812D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84474" w:rsidP="00B84474">
            <w:pPr>
              <w:pStyle w:val="BodyText"/>
            </w:pPr>
            <w:r w:rsidRPr="00B84474">
              <w:rPr>
                <w:rStyle w:val="Emphasis"/>
              </w:rPr>
              <w:t>Essential knowledge</w:t>
            </w:r>
            <w:r w:rsidRPr="00B84474">
              <w:t xml:space="preserve"> (</w:t>
            </w:r>
            <w:r w:rsidRPr="00B84474">
              <w:rPr>
                <w:rStyle w:val="Emphasis"/>
              </w:rPr>
              <w:t>contd</w:t>
            </w:r>
            <w:r w:rsidRPr="00B84474">
              <w:t>):</w:t>
            </w:r>
          </w:p>
          <w:p w:rsidR="00000000" w:rsidRPr="00B84474" w:rsidP="00B84474">
            <w:pPr>
              <w:pStyle w:val="ListBullet"/>
            </w:pPr>
            <w:r w:rsidRPr="00B84474">
              <w:t>Multifocal and progressive lenses including:</w:t>
            </w:r>
          </w:p>
          <w:p w:rsidR="00000000" w:rsidRPr="00B84474" w:rsidP="00B84474">
            <w:pPr>
              <w:pStyle w:val="ListBullet2"/>
            </w:pPr>
            <w:r w:rsidRPr="00B84474">
              <w:t>appropriate formulae when performing calculations related to multifocal and progressive lenses</w:t>
            </w:r>
          </w:p>
          <w:p w:rsidR="00000000" w:rsidRPr="00B84474" w:rsidP="00B84474">
            <w:pPr>
              <w:pStyle w:val="ListBullet2"/>
            </w:pPr>
            <w:r w:rsidRPr="00B84474">
              <w:t>calculation of fused segment and thickness allowance for manufacturing</w:t>
            </w:r>
          </w:p>
          <w:p w:rsidR="00000000" w:rsidRPr="00B84474" w:rsidP="00B84474">
            <w:pPr>
              <w:pStyle w:val="ListBullet2"/>
            </w:pPr>
            <w:r w:rsidRPr="00B84474">
              <w:t>determining addition powers</w:t>
            </w:r>
          </w:p>
          <w:p w:rsidR="00000000" w:rsidRPr="00B84474" w:rsidP="00B84474">
            <w:pPr>
              <w:pStyle w:val="ListBullet2"/>
            </w:pPr>
            <w:r w:rsidRPr="00B84474">
              <w:t>determining powers from radii</w:t>
            </w:r>
          </w:p>
          <w:p w:rsidR="00000000" w:rsidRPr="00B84474" w:rsidP="00B84474">
            <w:pPr>
              <w:pStyle w:val="ListBullet2"/>
            </w:pPr>
            <w:r w:rsidRPr="00B84474">
              <w:t>determining the prismatic effect</w:t>
            </w:r>
            <w:r w:rsidRPr="00B84474">
              <w:t xml:space="preserve"> of multifocal and progressive lenses</w:t>
            </w:r>
          </w:p>
          <w:p w:rsidR="00000000" w:rsidRPr="00B84474" w:rsidP="00B84474">
            <w:pPr>
              <w:pStyle w:val="ListBullet2"/>
            </w:pPr>
            <w:r w:rsidRPr="00B84474">
              <w:t>differences between bifocals, trifocals progressives, and their methods of manufacturing</w:t>
            </w:r>
          </w:p>
          <w:p w:rsidR="00000000" w:rsidRPr="00B84474" w:rsidP="00B84474">
            <w:pPr>
              <w:pStyle w:val="ListBullet2"/>
            </w:pPr>
            <w:r w:rsidRPr="00B84474">
              <w:t>differences between fused and solid multifocals</w:t>
            </w:r>
          </w:p>
          <w:p w:rsidR="00000000" w:rsidRPr="00B84474" w:rsidP="00B84474">
            <w:pPr>
              <w:pStyle w:val="ListBullet2"/>
            </w:pPr>
            <w:r w:rsidRPr="00B84474">
              <w:t>differentiating styles and types of progressive lenses</w:t>
            </w:r>
          </w:p>
          <w:p w:rsidR="00000000" w:rsidRPr="00B84474" w:rsidP="00B84474">
            <w:pPr>
              <w:pStyle w:val="ListBullet2"/>
            </w:pPr>
            <w:r w:rsidRPr="00B84474">
              <w:t>the range of multifocal an</w:t>
            </w:r>
            <w:r w:rsidRPr="00B84474">
              <w:t>d progressive lenses available</w:t>
            </w:r>
          </w:p>
          <w:p w:rsidR="00000000" w:rsidRPr="00B84474" w:rsidP="00B84474">
            <w:pPr>
              <w:pStyle w:val="ListBullet"/>
            </w:pPr>
            <w:r w:rsidRPr="00B84474">
              <w:t>Ophthalmic prism including:</w:t>
            </w:r>
          </w:p>
          <w:p w:rsidR="00000000" w:rsidRPr="00B84474" w:rsidP="00B84474">
            <w:pPr>
              <w:pStyle w:val="ListBullet2"/>
            </w:pPr>
            <w:r w:rsidRPr="00B84474">
              <w:t>effects of ophthalmic prism upon the eyes, and the need for</w:t>
            </w:r>
            <w:r w:rsidRPr="00B84474">
              <w:br/>
              <w:t>ophthalmic prism in prescriptions</w:t>
            </w:r>
          </w:p>
          <w:p w:rsidR="00000000" w:rsidRPr="00B84474" w:rsidP="00B84474">
            <w:pPr>
              <w:pStyle w:val="ListBullet2"/>
            </w:pPr>
            <w:r w:rsidRPr="00B84474">
              <w:t>solving by both calculation and graphical methods, a variety of prism</w:t>
            </w:r>
            <w:r w:rsidRPr="00B84474">
              <w:br/>
              <w:t>problems</w:t>
            </w:r>
          </w:p>
          <w:p w:rsidR="00000000" w:rsidRPr="00B84474" w:rsidP="00B84474">
            <w:pPr>
              <w:pStyle w:val="ListBullet2"/>
            </w:pPr>
            <w:r w:rsidRPr="00B84474">
              <w:t>the relationship between lens power, decentration and prism</w:t>
            </w:r>
          </w:p>
          <w:p w:rsidR="00000000" w:rsidRPr="00B84474" w:rsidP="00B84474">
            <w:pPr>
              <w:pStyle w:val="ListBullet2"/>
            </w:pPr>
            <w:r w:rsidRPr="00B84474">
              <w:t>the use of a tangent scale to measure ophthalmic prism</w:t>
            </w:r>
          </w:p>
          <w:p w:rsidR="00000000" w:rsidRPr="00B84474" w:rsidP="00B84474">
            <w:pPr>
              <w:pStyle w:val="ListBullet"/>
            </w:pPr>
            <w:r w:rsidRPr="00B84474">
              <w:t>Relevant Australian Standards</w:t>
            </w:r>
          </w:p>
          <w:p w:rsidR="00000000" w:rsidRPr="00B84474" w:rsidP="00B84474">
            <w:pPr>
              <w:pStyle w:val="ListBullet"/>
            </w:pPr>
            <w:r w:rsidRPr="00B84474">
              <w:t>Scope of metal and plastic frame material including heating, manipulation, adjusting, handling and  repair</w:t>
            </w:r>
          </w:p>
          <w:p w:rsidR="00000000" w:rsidRPr="00B84474" w:rsidP="00B84474">
            <w:pPr>
              <w:pStyle w:val="ListBullet"/>
            </w:pPr>
            <w:r w:rsidRPr="00B84474">
              <w:t>Sphe</w:t>
            </w:r>
            <w:r w:rsidRPr="00B84474">
              <w:t>rical lenses including:</w:t>
            </w:r>
          </w:p>
          <w:p w:rsidR="00000000" w:rsidRPr="00B84474" w:rsidP="00B84474">
            <w:pPr>
              <w:pStyle w:val="ListBullet2"/>
            </w:pPr>
            <w:r w:rsidRPr="00B84474">
              <w:t>concepts of vergence and demonstration of its use in optical calculations</w:t>
            </w:r>
          </w:p>
          <w:p w:rsidR="00000000" w:rsidRPr="00B84474" w:rsidP="00B84474">
            <w:pPr>
              <w:pStyle w:val="ListBullet2"/>
            </w:pPr>
            <w:r w:rsidRPr="00B84474">
              <w:t>how to construct diagrams to illustrate image formation using simple ray-tracing techniques</w:t>
            </w:r>
          </w:p>
          <w:p w:rsidR="00000000" w:rsidRPr="00B84474" w:rsidP="00B84474">
            <w:pPr>
              <w:pStyle w:val="ListBullet2"/>
            </w:pPr>
            <w:r w:rsidRPr="00B84474">
              <w:t>refractive effects of a lens as the sum of its two surface powers</w:t>
            </w:r>
          </w:p>
          <w:p w:rsidR="00000000" w:rsidRPr="00B84474" w:rsidP="00B84474">
            <w:pPr>
              <w:pStyle w:val="ListBullet2"/>
            </w:pPr>
            <w:r w:rsidRPr="00B84474">
              <w:t>refractive properties of spherical lens surfaces</w:t>
            </w:r>
          </w:p>
          <w:p w:rsidR="00000000" w:rsidRPr="00B84474" w:rsidP="00B84474">
            <w:pPr>
              <w:pStyle w:val="ListBullet"/>
            </w:pPr>
            <w:r w:rsidRPr="00B84474">
              <w:t>The properties of lens</w:t>
            </w:r>
          </w:p>
          <w:p w:rsidR="00000000" w:rsidRPr="00B84474" w:rsidP="00B84474">
            <w:pPr>
              <w:pStyle w:val="ListBullet"/>
            </w:pPr>
            <w:r w:rsidRPr="00B84474">
              <w:t>The use of impact resistant protective lenses</w:t>
            </w:r>
          </w:p>
          <w:p w:rsidR="00000000" w:rsidRPr="00B84474" w:rsidP="00B84474">
            <w:pPr>
              <w:pStyle w:val="ListBullet"/>
            </w:pPr>
            <w:r w:rsidRPr="00B84474">
              <w:t>Types of ophthalmic lenses and spectacle frames and their performance characteristics</w:t>
            </w:r>
          </w:p>
          <w:p w:rsidR="00000000" w:rsidRPr="00B84474" w:rsidP="00B84474">
            <w:pPr>
              <w:pStyle w:val="ListBullet3"/>
            </w:pPr>
            <w:r w:rsidRPr="00B84474">
              <w:t>Vacuum coatings including:</w:t>
            </w:r>
          </w:p>
          <w:p w:rsidR="00000000" w:rsidRPr="00B84474" w:rsidP="00B84474">
            <w:pPr>
              <w:pStyle w:val="ListBullet2"/>
            </w:pPr>
            <w:r w:rsidRPr="00B84474">
              <w:t>absorptive (tinted) coatings</w:t>
            </w:r>
          </w:p>
          <w:p w:rsidR="00000000" w:rsidRPr="00B84474" w:rsidP="00B84474">
            <w:pPr>
              <w:pStyle w:val="ListBullet2"/>
            </w:pPr>
            <w:r w:rsidRPr="00B84474">
              <w:t>handling, cleaning and care of coatings</w:t>
            </w:r>
          </w:p>
          <w:p w:rsidR="00000000" w:rsidRPr="00B84474" w:rsidP="00B84474">
            <w:pPr>
              <w:pStyle w:val="ListBullet2"/>
            </w:pPr>
            <w:r w:rsidRPr="00B84474">
              <w:t>manufacturing processes</w:t>
            </w:r>
          </w:p>
          <w:p w:rsidR="00000000" w:rsidRPr="00B84474" w:rsidP="00B84474">
            <w:pPr>
              <w:pStyle w:val="ListBullet2"/>
            </w:pPr>
            <w:r w:rsidRPr="00B84474">
              <w:t>multiple layer AR coatings</w:t>
            </w:r>
          </w:p>
          <w:p w:rsidR="00000000" w:rsidRPr="00B84474" w:rsidP="00B84474">
            <w:pPr>
              <w:pStyle w:val="ListBullet2"/>
            </w:pPr>
            <w:r w:rsidRPr="00B84474">
              <w:t>single AR coating</w:t>
            </w:r>
          </w:p>
          <w:p w:rsidR="00000000" w:rsidP="00B84474">
            <w:pPr>
              <w:pStyle w:val="ListBullet2"/>
              <w:rPr>
                <w:lang w:val="en-NZ"/>
              </w:rPr>
            </w:pPr>
            <w:r w:rsidRPr="00B84474">
              <w:t>surface reflections and ghost images</w:t>
            </w:r>
          </w:p>
        </w:tc>
      </w:tr>
      <w:tr w:rsidTr="000812D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84474">
            <w:pPr>
              <w:pStyle w:val="BodyText"/>
              <w:rPr>
                <w:lang w:val="en-NZ"/>
              </w:rPr>
            </w:pPr>
          </w:p>
        </w:tc>
      </w:tr>
      <w:tr w:rsidTr="000812D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84474" w:rsidP="00B84474">
            <w:pPr>
              <w:pStyle w:val="BodyText"/>
            </w:pPr>
            <w:r w:rsidRPr="00B84474">
              <w:rPr>
                <w:rStyle w:val="Emphasis"/>
              </w:rPr>
              <w:t>Essential skills</w:t>
            </w:r>
          </w:p>
          <w:p w:rsidR="00000000" w:rsidRPr="00B84474" w:rsidP="00B84474">
            <w:pPr>
              <w:pStyle w:val="BodyText"/>
            </w:pPr>
            <w:r w:rsidRPr="00B84474">
              <w:t>It is critical that the candidate demonstrate the ability to effectively do the task outlined in elements and performance criteria of this unit, manage the task and manage contingencies in the context of the identified work role</w:t>
            </w:r>
          </w:p>
          <w:p w:rsidR="00000000" w:rsidRPr="00B84474" w:rsidP="00B84474">
            <w:pPr>
              <w:pStyle w:val="BodyText"/>
            </w:pPr>
            <w:r w:rsidRPr="00B84474">
              <w:t>This includes the ability t</w:t>
            </w:r>
            <w:r w:rsidRPr="00B84474">
              <w:t>o:</w:t>
            </w:r>
          </w:p>
          <w:p w:rsidR="00000000" w:rsidRPr="00B84474" w:rsidP="00B84474">
            <w:pPr>
              <w:pStyle w:val="ListBullet"/>
            </w:pPr>
            <w:r w:rsidRPr="00B84474">
              <w:t>Calculate minimum size uncut (MSU):</w:t>
            </w:r>
          </w:p>
          <w:p w:rsidR="00000000" w:rsidRPr="00B84474" w:rsidP="00B84474">
            <w:pPr>
              <w:pStyle w:val="ListBullet2"/>
            </w:pPr>
            <w:r w:rsidRPr="00B84474">
              <w:t>MSU using centration chart and by calculation to allow for PD and decentration for prism</w:t>
            </w:r>
          </w:p>
          <w:p w:rsidR="00000000" w:rsidRPr="00B84474" w:rsidP="00B84474">
            <w:pPr>
              <w:pStyle w:val="ListBullet"/>
            </w:pPr>
            <w:r w:rsidRPr="00B84474">
              <w:t>Correctly and accurately use a focimeter (lensmeter) including:</w:t>
            </w:r>
          </w:p>
          <w:p w:rsidR="00000000" w:rsidRPr="00B84474" w:rsidP="00B84474">
            <w:pPr>
              <w:pStyle w:val="ListBullet2"/>
            </w:pPr>
            <w:r w:rsidRPr="00B84474">
              <w:t>correct neutralisation</w:t>
            </w:r>
          </w:p>
          <w:p w:rsidR="00000000" w:rsidRPr="00B84474" w:rsidP="00B84474">
            <w:pPr>
              <w:pStyle w:val="ListBullet2"/>
            </w:pPr>
            <w:r w:rsidRPr="00B84474">
              <w:t>determination of powers</w:t>
            </w:r>
          </w:p>
          <w:p w:rsidR="00000000" w:rsidRPr="00B84474" w:rsidP="00B84474">
            <w:pPr>
              <w:pStyle w:val="ListBullet2"/>
            </w:pPr>
            <w:r w:rsidRPr="00B84474">
              <w:t>determination o</w:t>
            </w:r>
            <w:r w:rsidRPr="00B84474">
              <w:t>f axes</w:t>
            </w:r>
          </w:p>
          <w:p w:rsidR="00000000" w:rsidRPr="00B84474" w:rsidP="00B84474">
            <w:pPr>
              <w:pStyle w:val="ListBullet2"/>
            </w:pPr>
            <w:r w:rsidRPr="00B84474">
              <w:t>determination of prism</w:t>
            </w:r>
          </w:p>
          <w:p w:rsidR="00000000" w:rsidRPr="00B84474" w:rsidP="00B84474">
            <w:pPr>
              <w:pStyle w:val="ListBullet2"/>
            </w:pPr>
            <w:r w:rsidRPr="00B84474">
              <w:t>determination of centration</w:t>
            </w:r>
          </w:p>
          <w:p w:rsidR="00000000" w:rsidRPr="00B84474" w:rsidP="00B84474">
            <w:pPr>
              <w:pStyle w:val="ListBullet2"/>
            </w:pPr>
            <w:r w:rsidRPr="00B84474">
              <w:t>determination of additions</w:t>
            </w:r>
          </w:p>
          <w:p w:rsidR="00000000" w:rsidRPr="00B84474" w:rsidP="00B84474">
            <w:pPr>
              <w:pStyle w:val="ListBullet"/>
            </w:pPr>
            <w:r w:rsidRPr="00B84474">
              <w:t>Complete semi-finished lens surface protection</w:t>
            </w:r>
          </w:p>
          <w:p w:rsidR="00000000" w:rsidRPr="00B84474" w:rsidP="00B84474">
            <w:pPr>
              <w:pStyle w:val="ListBullet"/>
            </w:pPr>
            <w:r w:rsidRPr="00B84474">
              <w:t xml:space="preserve">Generate lens surfaces </w:t>
            </w:r>
          </w:p>
          <w:p w:rsidR="00000000" w:rsidRPr="00B84474" w:rsidP="00B84474">
            <w:pPr>
              <w:pStyle w:val="ListBullet"/>
            </w:pPr>
            <w:r w:rsidRPr="00B84474">
              <w:t>Hand edge using both hand bevelling techniques and safety chamfering</w:t>
            </w:r>
          </w:p>
          <w:p w:rsidR="00000000" w:rsidRPr="00B84474" w:rsidP="00B84474">
            <w:pPr>
              <w:pStyle w:val="ListBullet"/>
            </w:pPr>
            <w:r w:rsidRPr="00B84474">
              <w:t>Handle glass and plastic lens material</w:t>
            </w:r>
          </w:p>
          <w:p w:rsidR="00000000" w:rsidRPr="00B84474" w:rsidP="00B84474">
            <w:pPr>
              <w:pStyle w:val="ListBullet"/>
            </w:pPr>
            <w:r w:rsidRPr="00B84474">
              <w:t>Handle metal and plastic frame material</w:t>
            </w:r>
          </w:p>
          <w:p w:rsidR="00000000" w:rsidRPr="00B84474" w:rsidP="00B84474">
            <w:pPr>
              <w:pStyle w:val="ListBullet"/>
            </w:pPr>
            <w:r w:rsidRPr="00B84474">
              <w:t>Interpret grind card calculations</w:t>
            </w:r>
          </w:p>
          <w:p w:rsidR="00000000" w:rsidRPr="00B84474" w:rsidP="00B84474">
            <w:pPr>
              <w:pStyle w:val="ListBullet"/>
            </w:pPr>
            <w:r w:rsidRPr="00B84474">
              <w:t>Take into account opportunities to address waste minimisation, environmental responsibility and sustainable practice issues</w:t>
            </w:r>
          </w:p>
          <w:p w:rsidR="00000000" w:rsidRPr="00B84474" w:rsidP="00B84474">
            <w:pPr>
              <w:pStyle w:val="ListBullet"/>
            </w:pPr>
            <w:r w:rsidRPr="00B84474">
              <w:t>Transpose a prescri</w:t>
            </w:r>
            <w:r w:rsidRPr="00B84474">
              <w:t>ption</w:t>
            </w:r>
          </w:p>
          <w:p w:rsidR="00000000" w:rsidRPr="00B84474" w:rsidP="00B84474">
            <w:pPr>
              <w:pStyle w:val="ListBullet"/>
            </w:pPr>
            <w:r w:rsidRPr="00B84474">
              <w:t>Undertake a surface inspection</w:t>
            </w:r>
          </w:p>
          <w:p w:rsidR="00000000" w:rsidRPr="00B84474" w:rsidP="00B84474">
            <w:pPr>
              <w:pStyle w:val="ListBullet"/>
            </w:pPr>
            <w:r w:rsidRPr="00B84474">
              <w:t>Undertake digital fame tracing</w:t>
            </w:r>
          </w:p>
          <w:p w:rsidR="00000000" w:rsidRPr="00B84474" w:rsidP="00B84474">
            <w:pPr>
              <w:pStyle w:val="ListBullet"/>
            </w:pPr>
            <w:r w:rsidRPr="00B84474">
              <w:t>Undertake lay out and blocking</w:t>
            </w:r>
          </w:p>
          <w:p w:rsidR="00000000" w:rsidRPr="00B84474" w:rsidP="00B84474">
            <w:pPr>
              <w:pStyle w:val="ListBullet"/>
            </w:pPr>
            <w:r w:rsidRPr="00B84474">
              <w:t>Undertake material selection</w:t>
            </w:r>
          </w:p>
          <w:p w:rsidR="00000000" w:rsidRPr="00B84474" w:rsidP="00B84474">
            <w:pPr>
              <w:pStyle w:val="ListBullet"/>
            </w:pPr>
            <w:r w:rsidRPr="00B84474">
              <w:t>Undertake surface curve finishing</w:t>
            </w:r>
          </w:p>
          <w:p w:rsidR="00000000" w:rsidRPr="00B84474" w:rsidP="00B84474">
            <w:pPr>
              <w:pStyle w:val="ListBullet"/>
            </w:pPr>
            <w:r w:rsidRPr="00B84474">
              <w:t>Use appropriate techniques to inset lens and fit frames</w:t>
            </w:r>
          </w:p>
          <w:p w:rsidR="00000000" w:rsidRPr="00B84474" w:rsidP="00B84474">
            <w:pPr>
              <w:pStyle w:val="ListBullet"/>
            </w:pPr>
            <w:r w:rsidRPr="00B84474">
              <w:t>Use problem solving techniques:</w:t>
            </w:r>
          </w:p>
          <w:p w:rsidR="00000000" w:rsidRPr="00B84474" w:rsidP="00B84474">
            <w:pPr>
              <w:pStyle w:val="ListBullet2"/>
            </w:pPr>
            <w:r w:rsidRPr="00B84474">
              <w:t>reducing unwanted vertical and/or horizontal prism</w:t>
            </w:r>
          </w:p>
          <w:p w:rsidR="00000000" w:rsidRPr="00B84474" w:rsidP="00B84474">
            <w:pPr>
              <w:pStyle w:val="ListBullet2"/>
            </w:pPr>
            <w:r w:rsidRPr="00B84474">
              <w:t>rectifying off-axis lenses</w:t>
            </w:r>
          </w:p>
        </w:tc>
      </w:tr>
    </w:tbl>
    <w:p w:rsidR="000812DC" w:rsidP="00B84474">
      <w:pPr>
        <w:pStyle w:val="BodyText"/>
      </w:pPr>
    </w:p>
    <w:p w:rsidR="000812DC" w:rsidP="00B84474">
      <w:pPr>
        <w:pStyle w:val="BodyText"/>
      </w:pPr>
    </w:p>
    <w:p w:rsidR="00000000" w:rsidRPr="00B84474" w:rsidP="00B84474">
      <w:pPr>
        <w:pStyle w:val="Heading1"/>
      </w:pPr>
      <w:bookmarkStart w:id="10" w:name="O_244040"/>
      <w:bookmarkEnd w:id="10"/>
      <w:r w:rsidRPr="00B84474">
        <w:t>Evidence Guide</w:t>
      </w:r>
    </w:p>
    <w:tbl>
      <w:tblPr>
        <w:tblW w:w="0" w:type="auto"/>
        <w:tblLayout w:type="fixed"/>
        <w:tblCellMar>
          <w:left w:w="62" w:type="dxa"/>
          <w:right w:w="62" w:type="dxa"/>
        </w:tblCellMar>
        <w:tblLook w:val="0000"/>
      </w:tblPr>
      <w:tblGrid>
        <w:gridCol w:w="3402"/>
        <w:gridCol w:w="5670"/>
      </w:tblGrid>
      <w:tr w:rsidTr="000812D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B84474">
            <w:pPr>
              <w:pStyle w:val="BodyText"/>
              <w:rPr>
                <w:lang w:val="en-NZ"/>
              </w:rPr>
            </w:pPr>
            <w:r w:rsidRPr="00B84474">
              <w:rPr>
                <w:rStyle w:val="SpecialBold"/>
              </w:rPr>
              <w:t>EVIDENCE GUIDE</w:t>
            </w:r>
          </w:p>
        </w:tc>
      </w:tr>
      <w:tr w:rsidTr="000812D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84474">
            <w:pPr>
              <w:pStyle w:val="BodyText"/>
              <w:rPr>
                <w:lang w:val="en-NZ"/>
              </w:rPr>
            </w:pPr>
          </w:p>
        </w:tc>
      </w:tr>
      <w:tr w:rsidTr="000812D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84474">
            <w:pPr>
              <w:pStyle w:val="BodyText"/>
              <w:rPr>
                <w:lang w:val="en-NZ"/>
              </w:rPr>
            </w:pPr>
            <w:r w:rsidRPr="00B84474">
              <w:t>The evidence guide provides advice on assessment and must be read in conjunction with the Performance Criteria, Required Skills and Knowledge, the Range Statement and the Assessment Guidelines for this Training Package.</w:t>
            </w:r>
          </w:p>
        </w:tc>
      </w:tr>
      <w:tr w:rsidTr="000812D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84474">
            <w:pPr>
              <w:pStyle w:val="BodyText"/>
              <w:rPr>
                <w:lang w:val="en-NZ"/>
              </w:rPr>
            </w:pPr>
          </w:p>
        </w:tc>
      </w:tr>
      <w:tr w:rsidTr="000812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84474">
            <w:pPr>
              <w:pStyle w:val="BodyText"/>
              <w:rPr>
                <w:lang w:val="en-NZ"/>
              </w:rPr>
            </w:pPr>
            <w:r w:rsidRPr="00B84474">
              <w:rPr>
                <w:rStyle w:val="Emphasis"/>
              </w:rPr>
              <w:t>Critical aspects for assessment</w:t>
            </w:r>
            <w:r w:rsidRPr="00B84474">
              <w:rPr>
                <w:rStyle w:val="Emphasis"/>
              </w:rPr>
              <w:t xml:space="preserve"> and evidence required to demonstrate this competency unit</w:t>
            </w:r>
            <w:r w:rsidRPr="00B84474">
              <w:t xml:space="preserve">: </w:t>
            </w:r>
          </w:p>
        </w:tc>
        <w:tc>
          <w:tcPr>
            <w:tcW w:w="5670" w:type="dxa"/>
            <w:tcBorders>
              <w:top w:val="nil"/>
              <w:left w:val="nil"/>
              <w:bottom w:val="nil"/>
              <w:right w:val="nil"/>
            </w:tcBorders>
            <w:tcMar>
              <w:top w:w="0" w:type="dxa"/>
              <w:left w:w="62" w:type="dxa"/>
              <w:bottom w:w="0" w:type="dxa"/>
              <w:right w:w="62" w:type="dxa"/>
            </w:tcMar>
          </w:tcPr>
          <w:p w:rsidR="00000000" w:rsidRPr="00B84474" w:rsidP="00B84474">
            <w:pPr>
              <w:pStyle w:val="ListBullet"/>
            </w:pPr>
            <w:r w:rsidRPr="00B84474">
              <w:t>The individual being assessed must provide evidence of specified essential knowledge as well as skills</w:t>
            </w:r>
          </w:p>
          <w:p w:rsidR="00000000" w:rsidRPr="00B84474" w:rsidP="00B84474">
            <w:pPr>
              <w:pStyle w:val="ListBullet"/>
            </w:pPr>
            <w:r w:rsidRPr="00B84474">
              <w:t>Observation of actual or simulated workplace performance is essential for assessment of this unit</w:t>
            </w:r>
          </w:p>
          <w:p w:rsidR="00000000" w:rsidRPr="00B84474" w:rsidP="00B84474">
            <w:pPr>
              <w:pStyle w:val="ListBullet"/>
            </w:pPr>
            <w:r w:rsidRPr="00B84474">
              <w:t>Consistency of performance should be demonstrated over the required range of situations relevant to the workplace</w:t>
            </w:r>
          </w:p>
          <w:p w:rsidR="00000000" w:rsidP="00B84474">
            <w:pPr>
              <w:pStyle w:val="ListBullet"/>
              <w:rPr>
                <w:lang w:val="en-NZ"/>
              </w:rPr>
            </w:pPr>
            <w:r w:rsidRPr="00B84474">
              <w:t>Where, for reasons of safety, space, or acce</w:t>
            </w:r>
            <w:r w:rsidRPr="00B84474">
              <w:t>ss to equipment and resources, assessment takes place away from the workplace, the assessment environment should represent workplace conditions as closely as possible</w:t>
            </w:r>
          </w:p>
        </w:tc>
      </w:tr>
      <w:tr w:rsidTr="000812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84474">
            <w:pPr>
              <w:pStyle w:val="BodyText"/>
              <w:rPr>
                <w:lang w:val="en-NZ"/>
              </w:rPr>
            </w:pPr>
          </w:p>
        </w:tc>
      </w:tr>
      <w:tr w:rsidTr="000812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84474">
            <w:pPr>
              <w:pStyle w:val="BodyText"/>
              <w:rPr>
                <w:lang w:val="en-NZ"/>
              </w:rPr>
            </w:pPr>
            <w:r w:rsidRPr="00B84474">
              <w:rPr>
                <w:rStyle w:val="Emphasis"/>
              </w:rPr>
              <w:t>Context of and specific resources for assessment</w:t>
            </w:r>
            <w:r w:rsidRPr="00B84474">
              <w:t xml:space="preserve">: </w:t>
            </w:r>
          </w:p>
        </w:tc>
        <w:tc>
          <w:tcPr>
            <w:tcW w:w="5670" w:type="dxa"/>
            <w:tcBorders>
              <w:top w:val="nil"/>
              <w:left w:val="nil"/>
              <w:bottom w:val="nil"/>
              <w:right w:val="nil"/>
            </w:tcBorders>
            <w:tcMar>
              <w:top w:w="0" w:type="dxa"/>
              <w:left w:w="62" w:type="dxa"/>
              <w:bottom w:w="0" w:type="dxa"/>
              <w:right w:w="62" w:type="dxa"/>
            </w:tcMar>
          </w:tcPr>
          <w:p w:rsidR="00000000" w:rsidRPr="00B84474" w:rsidP="00B84474">
            <w:pPr>
              <w:pStyle w:val="ListBullet"/>
            </w:pPr>
            <w:r w:rsidRPr="00B84474">
              <w:t>Resources essential for assessment</w:t>
            </w:r>
            <w:r w:rsidRPr="00B84474">
              <w:t xml:space="preserve"> include:</w:t>
            </w:r>
          </w:p>
          <w:p w:rsidR="00000000" w:rsidP="00B84474">
            <w:pPr>
              <w:pStyle w:val="ListBullet2"/>
              <w:rPr>
                <w:lang w:val="en-NZ"/>
              </w:rPr>
            </w:pPr>
            <w:r w:rsidRPr="00B84474">
              <w:t>Access to an optical appliance manufacturing workplace</w:t>
            </w:r>
          </w:p>
        </w:tc>
      </w:tr>
      <w:tr w:rsidTr="000812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84474">
            <w:pPr>
              <w:pStyle w:val="BodyText"/>
              <w:rPr>
                <w:lang w:val="en-NZ"/>
              </w:rPr>
            </w:pPr>
          </w:p>
        </w:tc>
      </w:tr>
      <w:tr w:rsidTr="000812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84474">
            <w:pPr>
              <w:pStyle w:val="BodyText"/>
              <w:rPr>
                <w:lang w:val="en-NZ"/>
              </w:rPr>
            </w:pPr>
            <w:r w:rsidRPr="00B84474">
              <w:rPr>
                <w:rStyle w:val="Emphasis"/>
              </w:rPr>
              <w:t>Method of assessment</w:t>
            </w:r>
            <w:r w:rsidRPr="00B84474">
              <w:t xml:space="preserve"> </w:t>
            </w:r>
          </w:p>
        </w:tc>
        <w:tc>
          <w:tcPr>
            <w:tcW w:w="5670" w:type="dxa"/>
            <w:tcBorders>
              <w:top w:val="nil"/>
              <w:left w:val="nil"/>
              <w:bottom w:val="nil"/>
              <w:right w:val="nil"/>
            </w:tcBorders>
            <w:tcMar>
              <w:top w:w="0" w:type="dxa"/>
              <w:left w:w="62" w:type="dxa"/>
              <w:bottom w:w="0" w:type="dxa"/>
              <w:right w:w="62" w:type="dxa"/>
            </w:tcMar>
          </w:tcPr>
          <w:p w:rsidR="00000000" w:rsidRPr="00B84474" w:rsidP="00B84474">
            <w:pPr>
              <w:pStyle w:val="ListBullet"/>
            </w:pPr>
            <w:r w:rsidRPr="00B84474">
              <w:t>Observation in the work place (if possible)</w:t>
            </w:r>
          </w:p>
          <w:p w:rsidR="00000000" w:rsidRPr="00B84474" w:rsidP="00B84474">
            <w:pPr>
              <w:pStyle w:val="ListBullet"/>
            </w:pPr>
            <w:r w:rsidRPr="00B84474">
              <w:t>Written assignments/projects or questioning should be used to assess knowledge</w:t>
            </w:r>
          </w:p>
          <w:p w:rsidR="00000000" w:rsidP="00B84474">
            <w:pPr>
              <w:pStyle w:val="ListBullet"/>
              <w:rPr>
                <w:lang w:val="en-NZ"/>
              </w:rPr>
            </w:pPr>
            <w:r w:rsidRPr="00B84474">
              <w:t>Case study and scenario as a basis for discussion of issues and strategies to contribute to best practice</w:t>
            </w:r>
          </w:p>
        </w:tc>
      </w:tr>
      <w:tr w:rsidTr="000812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84474">
            <w:pPr>
              <w:pStyle w:val="BodyText"/>
              <w:rPr>
                <w:lang w:val="en-NZ"/>
              </w:rPr>
            </w:pPr>
          </w:p>
        </w:tc>
      </w:tr>
      <w:tr w:rsidTr="000812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84474">
            <w:pPr>
              <w:pStyle w:val="BodyText"/>
              <w:rPr>
                <w:lang w:val="en-NZ"/>
              </w:rPr>
            </w:pPr>
            <w:r w:rsidRPr="00B84474">
              <w:rPr>
                <w:rStyle w:val="Emphasis"/>
              </w:rPr>
              <w:t>Access and equity considerations</w:t>
            </w:r>
            <w:r w:rsidRPr="00B84474">
              <w:t>:</w:t>
            </w:r>
          </w:p>
        </w:tc>
        <w:tc>
          <w:tcPr>
            <w:tcW w:w="5670" w:type="dxa"/>
            <w:tcBorders>
              <w:top w:val="nil"/>
              <w:left w:val="nil"/>
              <w:bottom w:val="nil"/>
              <w:right w:val="nil"/>
            </w:tcBorders>
            <w:tcMar>
              <w:top w:w="0" w:type="dxa"/>
              <w:left w:w="62" w:type="dxa"/>
              <w:bottom w:w="0" w:type="dxa"/>
              <w:right w:w="62" w:type="dxa"/>
            </w:tcMar>
          </w:tcPr>
          <w:p w:rsidR="00000000" w:rsidRPr="00B84474" w:rsidP="00B84474">
            <w:pPr>
              <w:pStyle w:val="ListBullet"/>
            </w:pPr>
            <w:r w:rsidRPr="00B84474">
              <w:t xml:space="preserve">All workers in the health industry should be aware of access and equity issues in relation to their own area of </w:t>
            </w:r>
            <w:r w:rsidRPr="00B84474">
              <w:t>work</w:t>
            </w:r>
          </w:p>
          <w:p w:rsidR="00000000" w:rsidRPr="00B84474" w:rsidP="00B84474">
            <w:pPr>
              <w:pStyle w:val="ListBullet"/>
            </w:pPr>
            <w:r w:rsidRPr="00B84474">
              <w:t xml:space="preserve">All workers should develop their ability to work in a culturally diverse environment </w:t>
            </w:r>
          </w:p>
          <w:p w:rsidR="00000000" w:rsidRPr="00B84474" w:rsidP="00B84474">
            <w:pPr>
              <w:pStyle w:val="ListBullet"/>
            </w:pPr>
            <w:r w:rsidRPr="00B84474">
              <w:t>In recognition of particular health issues facing Aboriginal and Torres Strait Islander communities, workers should be aware of cultural, historical and current issu</w:t>
            </w:r>
            <w:r w:rsidRPr="00B84474">
              <w:t>es impacting on health of Aboriginal and Torres Strait Islander people</w:t>
            </w:r>
          </w:p>
          <w:p w:rsidR="00000000" w:rsidP="00B84474">
            <w:pPr>
              <w:pStyle w:val="ListBullet"/>
              <w:rPr>
                <w:lang w:val="en-NZ"/>
              </w:rPr>
            </w:pPr>
            <w:r w:rsidRPr="00B84474">
              <w:t>Assessors and trainers must take into account relevant access and equity issues, in particular relating to factors impacting on health of Aboriginal and/or Torres Strait Islander client</w:t>
            </w:r>
            <w:r w:rsidRPr="00B84474">
              <w:t>s and communities</w:t>
            </w:r>
          </w:p>
        </w:tc>
      </w:tr>
      <w:tr w:rsidTr="000812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84474">
            <w:pPr>
              <w:pStyle w:val="BodyText"/>
              <w:rPr>
                <w:lang w:val="en-NZ"/>
              </w:rPr>
            </w:pPr>
          </w:p>
        </w:tc>
      </w:tr>
      <w:tr w:rsidTr="000812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84474">
            <w:pPr>
              <w:pStyle w:val="BodyText"/>
              <w:rPr>
                <w:lang w:val="en-NZ"/>
              </w:rPr>
            </w:pPr>
            <w:r w:rsidRPr="00B84474">
              <w:rPr>
                <w:rStyle w:val="Emphasis"/>
              </w:rPr>
              <w:t>Related units</w:t>
            </w:r>
            <w:r w:rsidRPr="00B84474">
              <w:t>:</w:t>
            </w:r>
          </w:p>
        </w:tc>
        <w:tc>
          <w:tcPr>
            <w:tcW w:w="5670" w:type="dxa"/>
            <w:tcBorders>
              <w:top w:val="nil"/>
              <w:left w:val="nil"/>
              <w:bottom w:val="nil"/>
              <w:right w:val="nil"/>
            </w:tcBorders>
            <w:tcMar>
              <w:top w:w="0" w:type="dxa"/>
              <w:left w:w="62" w:type="dxa"/>
              <w:bottom w:w="0" w:type="dxa"/>
              <w:right w:w="62" w:type="dxa"/>
            </w:tcMar>
          </w:tcPr>
          <w:p w:rsidR="00000000" w:rsidRPr="00B84474" w:rsidP="00B84474">
            <w:pPr>
              <w:pStyle w:val="BodyText"/>
            </w:pPr>
            <w:r w:rsidRPr="00B84474">
              <w:t>It is recommended that this unit be delivered and assessed in conjunction with:</w:t>
            </w:r>
          </w:p>
          <w:p w:rsidR="00000000" w:rsidRPr="00B84474" w:rsidP="00B84474">
            <w:pPr>
              <w:pStyle w:val="ListBullet"/>
            </w:pPr>
            <w:r w:rsidRPr="00B84474">
              <w:t>HLTOPT406B Edge and fit ophthalmic appliances</w:t>
            </w:r>
          </w:p>
          <w:p w:rsidR="00000000" w:rsidP="00B84474">
            <w:pPr>
              <w:pStyle w:val="ListBullet"/>
              <w:rPr>
                <w:lang w:val="en-NZ"/>
              </w:rPr>
            </w:pPr>
            <w:r w:rsidRPr="00B84474">
              <w:t>HLTOPT407B Apply surface coatings to ophthalmic lenses</w:t>
            </w:r>
          </w:p>
        </w:tc>
      </w:tr>
      <w:tr w:rsidTr="000812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B84474" w:rsidP="00B84474">
            <w:pPr>
              <w:pStyle w:val="BodyText"/>
            </w:pPr>
          </w:p>
        </w:tc>
      </w:tr>
    </w:tbl>
    <w:p w:rsidR="000812DC" w:rsidP="00B84474">
      <w:pPr>
        <w:pStyle w:val="BodyText"/>
      </w:pPr>
    </w:p>
    <w:p w:rsidR="000812DC" w:rsidP="00B84474">
      <w:pPr>
        <w:pStyle w:val="BodyText"/>
      </w:pPr>
    </w:p>
    <w:p w:rsidR="00000000" w:rsidRPr="00B84474" w:rsidP="00B84474">
      <w:pPr>
        <w:pStyle w:val="Heading1"/>
      </w:pPr>
      <w:bookmarkStart w:id="11" w:name="O_252023"/>
      <w:bookmarkEnd w:id="11"/>
      <w:r w:rsidRPr="00B84474">
        <w:t>Range Statement</w:t>
      </w:r>
    </w:p>
    <w:tbl>
      <w:tblPr>
        <w:tblW w:w="0" w:type="auto"/>
        <w:tblLayout w:type="fixed"/>
        <w:tblCellMar>
          <w:left w:w="62" w:type="dxa"/>
          <w:right w:w="62" w:type="dxa"/>
        </w:tblCellMar>
        <w:tblLook w:val="0000"/>
      </w:tblPr>
      <w:tblGrid>
        <w:gridCol w:w="3402"/>
        <w:gridCol w:w="5670"/>
      </w:tblGrid>
      <w:tr w:rsidTr="000812D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B84474">
            <w:pPr>
              <w:pStyle w:val="BodyText"/>
              <w:rPr>
                <w:lang w:val="en-NZ"/>
              </w:rPr>
            </w:pPr>
            <w:r w:rsidRPr="00B84474">
              <w:rPr>
                <w:rStyle w:val="SpecialBold"/>
              </w:rPr>
              <w:t>RANGE STATEMENT</w:t>
            </w:r>
          </w:p>
        </w:tc>
      </w:tr>
      <w:tr w:rsidTr="000812D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84474">
            <w:pPr>
              <w:pStyle w:val="BodyText"/>
              <w:rPr>
                <w:lang w:val="en-NZ"/>
              </w:rPr>
            </w:pPr>
          </w:p>
        </w:tc>
      </w:tr>
      <w:tr w:rsidTr="000812D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84474">
            <w:pPr>
              <w:pStyle w:val="BodyText"/>
              <w:rPr>
                <w:lang w:val="en-NZ"/>
              </w:rPr>
            </w:pPr>
            <w:r w:rsidRPr="00B84474">
              <w:t xml:space="preserve">The Range Statement relates to the unit of competency as a whole.  It allows for different work environments and situations that may affect </w:t>
            </w:r>
            <w:r w:rsidRPr="00B84474">
              <w:t>performance.  Add any essential operating conditions that may be present with training and assessment depending on the work situation, needs of the candidate, accessibility of the item, and local industry and regional contexts.</w:t>
            </w:r>
          </w:p>
        </w:tc>
      </w:tr>
      <w:tr w:rsidTr="000812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84474">
            <w:pPr>
              <w:pStyle w:val="BodyText"/>
              <w:rPr>
                <w:lang w:val="en-NZ"/>
              </w:rPr>
            </w:pPr>
          </w:p>
        </w:tc>
      </w:tr>
      <w:tr w:rsidTr="000812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84474">
            <w:pPr>
              <w:pStyle w:val="BodyText"/>
              <w:rPr>
                <w:lang w:val="en-NZ"/>
              </w:rPr>
            </w:pPr>
            <w:r w:rsidRPr="00B84474">
              <w:rPr>
                <w:rStyle w:val="Emphasis"/>
              </w:rPr>
              <w:t>Prescriptions may inclu</w:t>
            </w:r>
            <w:r w:rsidRPr="00B84474">
              <w:rPr>
                <w:rStyle w:val="Emphasis"/>
              </w:rPr>
              <w:t>de</w:t>
            </w:r>
            <w:r w:rsidRPr="00B84474">
              <w:t>:</w:t>
            </w:r>
          </w:p>
        </w:tc>
        <w:tc>
          <w:tcPr>
            <w:tcW w:w="5670" w:type="dxa"/>
            <w:tcBorders>
              <w:top w:val="nil"/>
              <w:left w:val="nil"/>
              <w:bottom w:val="nil"/>
              <w:right w:val="nil"/>
            </w:tcBorders>
            <w:tcMar>
              <w:top w:w="0" w:type="dxa"/>
              <w:left w:w="62" w:type="dxa"/>
              <w:bottom w:w="0" w:type="dxa"/>
              <w:right w:w="62" w:type="dxa"/>
            </w:tcMar>
          </w:tcPr>
          <w:p w:rsidR="00000000" w:rsidRPr="00B84474" w:rsidP="00B84474">
            <w:pPr>
              <w:pStyle w:val="ListBullet"/>
            </w:pPr>
            <w:r w:rsidRPr="00B84474">
              <w:t>Lens order including electronic, fax, telephone</w:t>
            </w:r>
          </w:p>
          <w:p w:rsidR="00000000" w:rsidP="00B84474">
            <w:pPr>
              <w:pStyle w:val="ListBullet"/>
              <w:rPr>
                <w:lang w:val="en-NZ"/>
              </w:rPr>
            </w:pPr>
            <w:r w:rsidRPr="00B84474">
              <w:t>Optometrist prescription</w:t>
            </w:r>
          </w:p>
        </w:tc>
      </w:tr>
      <w:tr w:rsidTr="000812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84474">
            <w:pPr>
              <w:pStyle w:val="BodyText"/>
              <w:rPr>
                <w:lang w:val="en-NZ"/>
              </w:rPr>
            </w:pPr>
          </w:p>
        </w:tc>
      </w:tr>
      <w:tr w:rsidTr="000812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84474">
            <w:pPr>
              <w:pStyle w:val="BodyText"/>
              <w:rPr>
                <w:lang w:val="en-NZ"/>
              </w:rPr>
            </w:pPr>
            <w:r w:rsidRPr="00B84474">
              <w:rPr>
                <w:rStyle w:val="Emphasis"/>
              </w:rPr>
              <w:t>Basic mathematical operations must</w:t>
            </w:r>
            <w:r w:rsidRPr="00B84474">
              <w:t xml:space="preserve"> </w:t>
            </w:r>
            <w:r w:rsidRPr="00B84474">
              <w:rPr>
                <w:rStyle w:val="Emphasis"/>
              </w:rPr>
              <w:t>include but is not limited to</w:t>
            </w:r>
            <w:r w:rsidRPr="00B84474">
              <w:t>:</w:t>
            </w:r>
          </w:p>
        </w:tc>
        <w:tc>
          <w:tcPr>
            <w:tcW w:w="5670" w:type="dxa"/>
            <w:tcBorders>
              <w:top w:val="nil"/>
              <w:left w:val="nil"/>
              <w:bottom w:val="nil"/>
              <w:right w:val="nil"/>
            </w:tcBorders>
            <w:tcMar>
              <w:top w:w="0" w:type="dxa"/>
              <w:left w:w="62" w:type="dxa"/>
              <w:bottom w:w="0" w:type="dxa"/>
              <w:right w:w="62" w:type="dxa"/>
            </w:tcMar>
          </w:tcPr>
          <w:p w:rsidR="00000000" w:rsidRPr="00B84474" w:rsidP="00B84474">
            <w:pPr>
              <w:pStyle w:val="ListBullet"/>
            </w:pPr>
            <w:r w:rsidRPr="00B84474">
              <w:t>Base curve</w:t>
            </w:r>
          </w:p>
          <w:p w:rsidR="00000000" w:rsidRPr="00B84474" w:rsidP="00B84474">
            <w:pPr>
              <w:pStyle w:val="ListBullet"/>
            </w:pPr>
            <w:r w:rsidRPr="00B84474">
              <w:t>Front curve</w:t>
            </w:r>
          </w:p>
          <w:p w:rsidR="00000000" w:rsidRPr="00B84474" w:rsidP="00B84474">
            <w:pPr>
              <w:pStyle w:val="ListBullet"/>
            </w:pPr>
            <w:r w:rsidRPr="00B84474">
              <w:t>Prism</w:t>
            </w:r>
          </w:p>
          <w:p w:rsidR="00000000" w:rsidRPr="00B84474" w:rsidP="00B84474">
            <w:pPr>
              <w:pStyle w:val="ListBullet"/>
            </w:pPr>
            <w:r w:rsidRPr="00B84474">
              <w:t>Lens power</w:t>
            </w:r>
          </w:p>
          <w:p w:rsidR="00000000" w:rsidRPr="00B84474" w:rsidP="00B84474">
            <w:pPr>
              <w:pStyle w:val="ListBullet"/>
            </w:pPr>
            <w:r w:rsidRPr="00B84474">
              <w:t>Thickness</w:t>
            </w:r>
          </w:p>
          <w:p w:rsidR="00000000" w:rsidRPr="00B84474" w:rsidP="00B84474">
            <w:pPr>
              <w:pStyle w:val="ListBullet"/>
            </w:pPr>
            <w:r w:rsidRPr="00B84474">
              <w:t>Cut out</w:t>
            </w:r>
          </w:p>
          <w:p w:rsidR="00000000" w:rsidP="00B84474">
            <w:pPr>
              <w:pStyle w:val="ListBullet"/>
              <w:rPr>
                <w:lang w:val="en-NZ"/>
              </w:rPr>
            </w:pPr>
            <w:r w:rsidRPr="00B84474">
              <w:t xml:space="preserve">Minimum size uncut </w:t>
            </w:r>
          </w:p>
        </w:tc>
      </w:tr>
      <w:tr w:rsidTr="000812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84474">
            <w:pPr>
              <w:pStyle w:val="BodyText"/>
              <w:rPr>
                <w:lang w:val="en-NZ"/>
              </w:rPr>
            </w:pPr>
          </w:p>
        </w:tc>
      </w:tr>
      <w:tr w:rsidTr="000812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84474">
            <w:pPr>
              <w:pStyle w:val="BodyText"/>
              <w:rPr>
                <w:lang w:val="en-NZ"/>
              </w:rPr>
            </w:pPr>
            <w:r w:rsidRPr="00B84474">
              <w:rPr>
                <w:rStyle w:val="Emphasis"/>
              </w:rPr>
              <w:t>Lens material includes</w:t>
            </w:r>
            <w:r w:rsidRPr="00B84474">
              <w:t>:</w:t>
            </w:r>
          </w:p>
        </w:tc>
        <w:tc>
          <w:tcPr>
            <w:tcW w:w="5670" w:type="dxa"/>
            <w:tcBorders>
              <w:top w:val="nil"/>
              <w:left w:val="nil"/>
              <w:bottom w:val="nil"/>
              <w:right w:val="nil"/>
            </w:tcBorders>
            <w:tcMar>
              <w:top w:w="0" w:type="dxa"/>
              <w:left w:w="62" w:type="dxa"/>
              <w:bottom w:w="0" w:type="dxa"/>
              <w:right w:w="62" w:type="dxa"/>
            </w:tcMar>
          </w:tcPr>
          <w:p w:rsidR="00000000" w:rsidRPr="00B84474" w:rsidP="00B84474">
            <w:pPr>
              <w:pStyle w:val="ListBullet"/>
            </w:pPr>
            <w:r w:rsidRPr="00B84474">
              <w:t>Mineral material</w:t>
            </w:r>
          </w:p>
          <w:p w:rsidR="00000000" w:rsidP="00B84474">
            <w:pPr>
              <w:pStyle w:val="ListBullet"/>
              <w:rPr>
                <w:lang w:val="en-NZ"/>
              </w:rPr>
            </w:pPr>
            <w:r w:rsidRPr="00B84474">
              <w:t>Organic material</w:t>
            </w:r>
          </w:p>
        </w:tc>
      </w:tr>
      <w:tr w:rsidTr="000812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84474">
            <w:pPr>
              <w:pStyle w:val="BodyText"/>
              <w:rPr>
                <w:lang w:val="en-NZ"/>
              </w:rPr>
            </w:pPr>
          </w:p>
        </w:tc>
      </w:tr>
      <w:tr w:rsidTr="000812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84474">
            <w:pPr>
              <w:pStyle w:val="BodyText"/>
              <w:rPr>
                <w:lang w:val="en-NZ"/>
              </w:rPr>
            </w:pPr>
            <w:r w:rsidRPr="00B84474">
              <w:rPr>
                <w:rStyle w:val="Emphasis"/>
              </w:rPr>
              <w:t>Frame material includes</w:t>
            </w:r>
          </w:p>
        </w:tc>
        <w:tc>
          <w:tcPr>
            <w:tcW w:w="5670" w:type="dxa"/>
            <w:tcBorders>
              <w:top w:val="nil"/>
              <w:left w:val="nil"/>
              <w:bottom w:val="nil"/>
              <w:right w:val="nil"/>
            </w:tcBorders>
            <w:tcMar>
              <w:top w:w="0" w:type="dxa"/>
              <w:left w:w="62" w:type="dxa"/>
              <w:bottom w:w="0" w:type="dxa"/>
              <w:right w:w="62" w:type="dxa"/>
            </w:tcMar>
          </w:tcPr>
          <w:p w:rsidR="00000000" w:rsidRPr="00B84474" w:rsidP="00B84474">
            <w:pPr>
              <w:pStyle w:val="ListBullet"/>
            </w:pPr>
            <w:r w:rsidRPr="00B84474">
              <w:t>Metals</w:t>
            </w:r>
          </w:p>
          <w:p w:rsidR="00000000" w:rsidP="00B84474">
            <w:pPr>
              <w:pStyle w:val="ListBullet"/>
              <w:rPr>
                <w:lang w:val="en-NZ"/>
              </w:rPr>
            </w:pPr>
            <w:r w:rsidRPr="00B84474">
              <w:t>Plastics</w:t>
            </w:r>
          </w:p>
        </w:tc>
      </w:tr>
      <w:tr w:rsidTr="000812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84474">
            <w:pPr>
              <w:pStyle w:val="BodyText"/>
              <w:rPr>
                <w:lang w:val="en-NZ"/>
              </w:rPr>
            </w:pPr>
          </w:p>
        </w:tc>
      </w:tr>
      <w:tr w:rsidTr="000812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84474">
            <w:pPr>
              <w:pStyle w:val="BodyText"/>
              <w:rPr>
                <w:lang w:val="en-NZ"/>
              </w:rPr>
            </w:pPr>
            <w:r w:rsidRPr="00B84474">
              <w:rPr>
                <w:rStyle w:val="Emphasis"/>
              </w:rPr>
              <w:t>Manufacture of higher powered prescription lenses may include</w:t>
            </w:r>
            <w:r w:rsidRPr="00B84474">
              <w:t>:</w:t>
            </w:r>
          </w:p>
        </w:tc>
        <w:tc>
          <w:tcPr>
            <w:tcW w:w="5670" w:type="dxa"/>
            <w:tcBorders>
              <w:top w:val="nil"/>
              <w:left w:val="nil"/>
              <w:bottom w:val="nil"/>
              <w:right w:val="nil"/>
            </w:tcBorders>
            <w:tcMar>
              <w:top w:w="0" w:type="dxa"/>
              <w:left w:w="62" w:type="dxa"/>
              <w:bottom w:w="0" w:type="dxa"/>
              <w:right w:w="62" w:type="dxa"/>
            </w:tcMar>
          </w:tcPr>
          <w:p w:rsidR="00000000" w:rsidRPr="00B84474" w:rsidP="00B84474">
            <w:pPr>
              <w:pStyle w:val="ListBullet"/>
            </w:pPr>
            <w:r w:rsidRPr="00B84474">
              <w:t>Surfacing techniques for higher prescription lens surfaces</w:t>
            </w:r>
          </w:p>
          <w:p w:rsidR="00000000" w:rsidP="00B84474">
            <w:pPr>
              <w:pStyle w:val="ListBullet"/>
              <w:rPr>
                <w:lang w:val="en-NZ"/>
              </w:rPr>
            </w:pPr>
            <w:r w:rsidRPr="00B84474">
              <w:t>Surfacing techniques for higher prisms, prescribed and decentered prisms</w:t>
            </w:r>
          </w:p>
        </w:tc>
      </w:tr>
      <w:tr w:rsidTr="000812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84474">
            <w:pPr>
              <w:pStyle w:val="BodyText"/>
              <w:rPr>
                <w:lang w:val="en-NZ"/>
              </w:rPr>
            </w:pPr>
          </w:p>
        </w:tc>
      </w:tr>
      <w:tr w:rsidTr="000812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84474">
            <w:pPr>
              <w:pStyle w:val="BodyText"/>
              <w:rPr>
                <w:lang w:val="en-NZ"/>
              </w:rPr>
            </w:pPr>
            <w:r w:rsidRPr="00B84474">
              <w:rPr>
                <w:rStyle w:val="Emphasis"/>
              </w:rPr>
              <w:t>Routine maintenance may include</w:t>
            </w:r>
            <w:r w:rsidRPr="00B84474">
              <w:t>:</w:t>
            </w:r>
          </w:p>
        </w:tc>
        <w:tc>
          <w:tcPr>
            <w:tcW w:w="5670" w:type="dxa"/>
            <w:tcBorders>
              <w:top w:val="nil"/>
              <w:left w:val="nil"/>
              <w:bottom w:val="nil"/>
              <w:right w:val="nil"/>
            </w:tcBorders>
            <w:tcMar>
              <w:top w:w="0" w:type="dxa"/>
              <w:left w:w="62" w:type="dxa"/>
              <w:bottom w:w="0" w:type="dxa"/>
              <w:right w:w="62" w:type="dxa"/>
            </w:tcMar>
          </w:tcPr>
          <w:p w:rsidR="00000000" w:rsidRPr="00B84474" w:rsidP="00B84474">
            <w:pPr>
              <w:pStyle w:val="ListBullet"/>
            </w:pPr>
            <w:r w:rsidRPr="00B84474">
              <w:t>Regular checking of equipment</w:t>
            </w:r>
          </w:p>
          <w:p w:rsidR="00000000" w:rsidRPr="00B84474" w:rsidP="00B84474">
            <w:pPr>
              <w:pStyle w:val="ListBullet"/>
            </w:pPr>
            <w:r w:rsidRPr="00B84474">
              <w:t>Replacing consumables</w:t>
            </w:r>
          </w:p>
          <w:p w:rsidR="00000000" w:rsidRPr="00B84474" w:rsidP="00B84474">
            <w:pPr>
              <w:pStyle w:val="ListBullet"/>
            </w:pPr>
            <w:r w:rsidRPr="00B84474">
              <w:t>"in-house" cleaning and servicing of equipment according to manufacturer's guidelines</w:t>
            </w:r>
          </w:p>
          <w:p w:rsidR="00000000" w:rsidP="00B84474">
            <w:pPr>
              <w:pStyle w:val="ListBullet"/>
              <w:rPr>
                <w:lang w:val="en-NZ"/>
              </w:rPr>
            </w:pPr>
            <w:r w:rsidRPr="00B84474">
              <w:t>Periodic servicing by qualified or manufacturer approved technician</w:t>
            </w:r>
          </w:p>
        </w:tc>
      </w:tr>
      <w:tr w:rsidTr="000812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84474">
            <w:pPr>
              <w:pStyle w:val="BodyText"/>
              <w:rPr>
                <w:lang w:val="en-NZ"/>
              </w:rPr>
            </w:pPr>
          </w:p>
        </w:tc>
      </w:tr>
      <w:tr w:rsidTr="000812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84474">
            <w:pPr>
              <w:pStyle w:val="BodyText"/>
              <w:rPr>
                <w:lang w:val="en-NZ"/>
              </w:rPr>
            </w:pPr>
            <w:r w:rsidRPr="00B84474">
              <w:rPr>
                <w:rStyle w:val="Emphasis"/>
              </w:rPr>
              <w:t>Equipment faults or problems may be identified or anticipated by</w:t>
            </w:r>
            <w:r w:rsidRPr="00B84474">
              <w:t>:</w:t>
            </w:r>
          </w:p>
        </w:tc>
        <w:tc>
          <w:tcPr>
            <w:tcW w:w="5670" w:type="dxa"/>
            <w:tcBorders>
              <w:top w:val="nil"/>
              <w:left w:val="nil"/>
              <w:bottom w:val="nil"/>
              <w:right w:val="nil"/>
            </w:tcBorders>
            <w:tcMar>
              <w:top w:w="0" w:type="dxa"/>
              <w:left w:w="62" w:type="dxa"/>
              <w:bottom w:w="0" w:type="dxa"/>
              <w:right w:w="62" w:type="dxa"/>
            </w:tcMar>
          </w:tcPr>
          <w:p w:rsidR="00000000" w:rsidRPr="00B84474" w:rsidP="00B84474">
            <w:pPr>
              <w:pStyle w:val="ListBullet"/>
            </w:pPr>
            <w:r w:rsidRPr="00B84474">
              <w:t>Routine checking of equipment</w:t>
            </w:r>
          </w:p>
          <w:p w:rsidR="00000000" w:rsidRPr="00B84474" w:rsidP="00B84474">
            <w:pPr>
              <w:pStyle w:val="ListBullet"/>
            </w:pPr>
            <w:r w:rsidRPr="00B84474">
              <w:t>Preparation of a maintenance program</w:t>
            </w:r>
          </w:p>
          <w:p w:rsidR="00000000" w:rsidRPr="00B84474" w:rsidP="00B84474">
            <w:pPr>
              <w:pStyle w:val="ListBullet"/>
            </w:pPr>
            <w:r w:rsidRPr="00B84474">
              <w:t>Encouraging feedback from work colleagues</w:t>
            </w:r>
          </w:p>
          <w:p w:rsidR="00000000" w:rsidRPr="00B84474" w:rsidP="00B84474">
            <w:pPr>
              <w:pStyle w:val="ListBullet"/>
            </w:pPr>
            <w:r w:rsidRPr="00B84474">
              <w:t>Regular b</w:t>
            </w:r>
            <w:r w:rsidRPr="00B84474">
              <w:t>ack-ups of data</w:t>
            </w:r>
          </w:p>
          <w:p w:rsidR="00000000" w:rsidRPr="00B84474" w:rsidP="00B84474">
            <w:pPr>
              <w:pStyle w:val="ListBullet"/>
            </w:pPr>
            <w:r w:rsidRPr="00B84474">
              <w:t>Keeping a log book of detected faults</w:t>
            </w:r>
          </w:p>
          <w:p w:rsidR="00000000" w:rsidRPr="00B84474" w:rsidP="00B84474">
            <w:pPr>
              <w:pStyle w:val="ListBullet"/>
            </w:pPr>
            <w:r w:rsidRPr="00B84474">
              <w:t>Regular occupational health and safety inspections</w:t>
            </w:r>
          </w:p>
          <w:p w:rsidR="00000000" w:rsidP="00B84474">
            <w:pPr>
              <w:pStyle w:val="ListBullet"/>
              <w:rPr>
                <w:lang w:val="en-NZ"/>
              </w:rPr>
            </w:pPr>
            <w:r w:rsidRPr="00B84474">
              <w:t>Checking that repairs have been carried out</w:t>
            </w:r>
          </w:p>
        </w:tc>
      </w:tr>
      <w:tr w:rsidTr="000812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84474">
            <w:pPr>
              <w:pStyle w:val="BodyText"/>
              <w:rPr>
                <w:lang w:val="en-NZ"/>
              </w:rPr>
            </w:pPr>
          </w:p>
        </w:tc>
      </w:tr>
      <w:tr w:rsidTr="000812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84474">
            <w:pPr>
              <w:pStyle w:val="BodyText"/>
              <w:rPr>
                <w:lang w:val="en-NZ"/>
              </w:rPr>
            </w:pPr>
            <w:r w:rsidRPr="00B84474">
              <w:rPr>
                <w:rStyle w:val="Emphasis"/>
              </w:rPr>
              <w:t>Basic lens treatment may include</w:t>
            </w:r>
            <w:r w:rsidRPr="00B84474">
              <w:t>:</w:t>
            </w:r>
          </w:p>
        </w:tc>
        <w:tc>
          <w:tcPr>
            <w:tcW w:w="5670" w:type="dxa"/>
            <w:tcBorders>
              <w:top w:val="nil"/>
              <w:left w:val="nil"/>
              <w:bottom w:val="nil"/>
              <w:right w:val="nil"/>
            </w:tcBorders>
            <w:tcMar>
              <w:top w:w="0" w:type="dxa"/>
              <w:left w:w="62" w:type="dxa"/>
              <w:bottom w:w="0" w:type="dxa"/>
              <w:right w:w="62" w:type="dxa"/>
            </w:tcMar>
          </w:tcPr>
          <w:p w:rsidR="00000000" w:rsidRPr="00B84474" w:rsidP="00B84474">
            <w:pPr>
              <w:pStyle w:val="ListBullet"/>
            </w:pPr>
            <w:r w:rsidRPr="00B84474">
              <w:t>Tinting including colour and UV</w:t>
            </w:r>
          </w:p>
          <w:p w:rsidR="00000000" w:rsidP="00B84474">
            <w:pPr>
              <w:pStyle w:val="ListBullet"/>
              <w:rPr>
                <w:lang w:val="en-NZ"/>
              </w:rPr>
            </w:pPr>
            <w:r w:rsidRPr="00B84474">
              <w:t>Glass toughening</w:t>
            </w:r>
          </w:p>
        </w:tc>
      </w:tr>
      <w:tr w:rsidTr="000812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B84474" w:rsidP="00B84474">
            <w:pPr>
              <w:pStyle w:val="BodyText"/>
            </w:pPr>
          </w:p>
        </w:tc>
      </w:tr>
    </w:tbl>
    <w:p w:rsidR="000812DC" w:rsidP="00B84474">
      <w:pPr>
        <w:pStyle w:val="BodyText"/>
      </w:pPr>
    </w:p>
    <w:p w:rsidR="000812DC" w:rsidP="00B84474">
      <w:pPr>
        <w:pStyle w:val="BodyText"/>
      </w:pPr>
    </w:p>
    <w:p w:rsidR="00000000" w:rsidRPr="00B84474" w:rsidP="00B84474">
      <w:pPr>
        <w:pStyle w:val="Heading1"/>
      </w:pPr>
      <w:bookmarkStart w:id="12" w:name="O_295249"/>
      <w:bookmarkEnd w:id="12"/>
      <w:r w:rsidRPr="00B84474">
        <w:t>Unit Sector(s)</w:t>
      </w:r>
    </w:p>
    <w:p w:rsidR="00000000" w:rsidRPr="00B84474" w:rsidP="00B84474">
      <w:pPr>
        <w:pStyle w:val="BodyText"/>
      </w:pPr>
      <w:r w:rsidRPr="00B84474">
        <w:t>Not Applicable</w:t>
      </w:r>
    </w:p>
    <w:p w:rsidR="00000000" w:rsidRPr="00B84474" w:rsidP="00B84474"/>
    <w:sectPr w:rsidSect="00B8447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4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812DC" w:rsidP="000812D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4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2DC" w:rsidP="00B8447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0812DC" w:rsidP="00B8447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0812DC" w:rsidP="00B8447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4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474" w:rsidRPr="000812DC" w:rsidP="000812D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4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2DC" w:rsidRPr="002D2AF8" w:rsidP="00B84474">
    <w:pPr>
      <w:pStyle w:val="Header"/>
      <w:framePr w:wrap="around"/>
    </w:pPr>
    <w:r>
      <w:fldChar w:fldCharType="begin"/>
    </w:r>
    <w:r>
      <w:instrText xml:space="preserve"> TITLE   \* MERGEFORMAT </w:instrText>
    </w:r>
    <w:r>
      <w:fldChar w:fldCharType="separate"/>
    </w:r>
    <w:r>
      <w:t>HLTOPT401B Perform technical procedures for the production of ophthalmic appliances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0812DC" w:rsidP="00B8447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EA604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31E4F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AC092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447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84474"/>
    <w:pPr>
      <w:spacing w:before="360" w:after="60"/>
      <w:outlineLvl w:val="0"/>
    </w:pPr>
    <w:rPr>
      <w:sz w:val="32"/>
    </w:rPr>
  </w:style>
  <w:style w:type="paragraph" w:styleId="Heading2">
    <w:name w:val="heading 2"/>
    <w:basedOn w:val="HeadingBase"/>
    <w:next w:val="BodyText"/>
    <w:link w:val="Heading2Char"/>
    <w:qFormat/>
    <w:rsid w:val="00B84474"/>
    <w:pPr>
      <w:keepLines/>
      <w:spacing w:before="240" w:after="120"/>
      <w:outlineLvl w:val="1"/>
    </w:pPr>
    <w:rPr>
      <w:sz w:val="28"/>
      <w:szCs w:val="40"/>
    </w:rPr>
  </w:style>
  <w:style w:type="paragraph" w:styleId="Heading3">
    <w:name w:val="heading 3"/>
    <w:basedOn w:val="HeadingBase"/>
    <w:next w:val="BodyText"/>
    <w:link w:val="Heading3Char"/>
    <w:qFormat/>
    <w:rsid w:val="00B84474"/>
    <w:pPr>
      <w:spacing w:before="180" w:after="120"/>
      <w:outlineLvl w:val="2"/>
    </w:pPr>
    <w:rPr>
      <w:spacing w:val="-10"/>
      <w:kern w:val="32"/>
    </w:rPr>
  </w:style>
  <w:style w:type="paragraph" w:styleId="Heading4">
    <w:name w:val="heading 4"/>
    <w:basedOn w:val="HeadingBase"/>
    <w:next w:val="BodyText"/>
    <w:link w:val="Heading4Char"/>
    <w:qFormat/>
    <w:rsid w:val="00B84474"/>
    <w:pPr>
      <w:spacing w:before="160" w:after="120"/>
      <w:outlineLvl w:val="3"/>
    </w:pPr>
    <w:rPr>
      <w:sz w:val="22"/>
    </w:rPr>
  </w:style>
  <w:style w:type="paragraph" w:styleId="Heading5">
    <w:name w:val="heading 5"/>
    <w:basedOn w:val="HeadingBase"/>
    <w:next w:val="Normal"/>
    <w:link w:val="Heading5Char"/>
    <w:qFormat/>
    <w:rsid w:val="00B84474"/>
    <w:pPr>
      <w:spacing w:before="80"/>
      <w:outlineLvl w:val="4"/>
    </w:pPr>
    <w:rPr>
      <w:color w:val="918585"/>
      <w:sz w:val="20"/>
    </w:rPr>
  </w:style>
  <w:style w:type="paragraph" w:styleId="Heading6">
    <w:name w:val="heading 6"/>
    <w:basedOn w:val="HeadingBase"/>
    <w:next w:val="Normal"/>
    <w:link w:val="Heading6Char"/>
    <w:qFormat/>
    <w:rsid w:val="00B84474"/>
    <w:pPr>
      <w:spacing w:before="60"/>
      <w:outlineLvl w:val="5"/>
    </w:pPr>
    <w:rPr>
      <w:color w:val="918585"/>
      <w:sz w:val="20"/>
    </w:rPr>
  </w:style>
  <w:style w:type="paragraph" w:styleId="Heading7">
    <w:name w:val="heading 7"/>
    <w:basedOn w:val="Normal"/>
    <w:next w:val="Normal"/>
    <w:link w:val="Heading7Char"/>
    <w:qFormat/>
    <w:rsid w:val="00B84474"/>
    <w:pPr>
      <w:ind w:left="720"/>
      <w:outlineLvl w:val="6"/>
    </w:pPr>
    <w:rPr>
      <w:i/>
    </w:rPr>
  </w:style>
  <w:style w:type="paragraph" w:styleId="Heading8">
    <w:name w:val="heading 8"/>
    <w:basedOn w:val="Normal"/>
    <w:next w:val="Normal"/>
    <w:link w:val="Heading8Char"/>
    <w:qFormat/>
    <w:rsid w:val="00B84474"/>
    <w:pPr>
      <w:ind w:left="720"/>
      <w:outlineLvl w:val="7"/>
    </w:pPr>
    <w:rPr>
      <w:i/>
    </w:rPr>
  </w:style>
  <w:style w:type="paragraph" w:styleId="Heading9">
    <w:name w:val="heading 9"/>
    <w:basedOn w:val="Normal"/>
    <w:next w:val="Normal"/>
    <w:link w:val="Heading9Char"/>
    <w:qFormat/>
    <w:rsid w:val="00B84474"/>
    <w:pPr>
      <w:ind w:left="720"/>
      <w:outlineLvl w:val="8"/>
    </w:pPr>
    <w:rPr>
      <w:i/>
    </w:rPr>
  </w:style>
  <w:style w:type="character" w:default="1" w:styleId="DefaultParagraphFont">
    <w:name w:val="Default Paragraph Font"/>
    <w:uiPriority w:val="1"/>
    <w:unhideWhenUsed/>
    <w:rsid w:val="00B844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4474"/>
  </w:style>
  <w:style w:type="character" w:customStyle="1" w:styleId="Heading1Char">
    <w:name w:val="Heading 1 Char"/>
    <w:basedOn w:val="DefaultParagraphFont"/>
    <w:link w:val="Heading1"/>
    <w:rsid w:val="00B84474"/>
    <w:rPr>
      <w:rFonts w:ascii="Times New Roman" w:eastAsia="Times New Roman" w:hAnsi="Times New Roman" w:cs="Times New Roman"/>
      <w:b/>
      <w:sz w:val="32"/>
      <w:szCs w:val="20"/>
      <w:lang w:eastAsia="en-US"/>
    </w:rPr>
  </w:style>
  <w:style w:type="paragraph" w:styleId="BodyText">
    <w:name w:val="Body Text"/>
    <w:basedOn w:val="Normal"/>
    <w:link w:val="BodyTextChar"/>
    <w:rsid w:val="00B8447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84474"/>
    <w:rPr>
      <w:rFonts w:ascii="Times New Roman" w:eastAsia="Times New Roman" w:hAnsi="Times New Roman" w:cs="Times New Roman"/>
      <w:sz w:val="24"/>
      <w:lang w:eastAsia="en-US"/>
    </w:rPr>
  </w:style>
  <w:style w:type="paragraph" w:styleId="Footer">
    <w:name w:val="footer"/>
    <w:basedOn w:val="Normal"/>
    <w:link w:val="FooterChar"/>
    <w:rsid w:val="00B844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4474"/>
    <w:rPr>
      <w:rFonts w:ascii="Times New Roman" w:eastAsia="Times New Roman" w:hAnsi="Times New Roman" w:cs="Times New Roman"/>
      <w:sz w:val="16"/>
      <w:lang w:eastAsia="en-US"/>
    </w:rPr>
  </w:style>
  <w:style w:type="paragraph" w:styleId="List">
    <w:name w:val="List"/>
    <w:basedOn w:val="BodyText"/>
    <w:next w:val="BodyText"/>
    <w:rsid w:val="00B84474"/>
    <w:pPr>
      <w:tabs>
        <w:tab w:val="left" w:pos="340"/>
      </w:tabs>
      <w:spacing w:before="60" w:after="60"/>
      <w:ind w:left="340" w:hanging="340"/>
    </w:pPr>
  </w:style>
  <w:style w:type="paragraph" w:styleId="ListBullet">
    <w:name w:val="List Bullet"/>
    <w:basedOn w:val="List"/>
    <w:rsid w:val="00B84474"/>
    <w:pPr>
      <w:numPr>
        <w:numId w:val="14"/>
      </w:numPr>
      <w:tabs>
        <w:tab w:val="clear" w:pos="340"/>
      </w:tabs>
      <w:spacing w:before="40" w:after="40"/>
    </w:pPr>
  </w:style>
  <w:style w:type="character" w:customStyle="1" w:styleId="SpecialBold">
    <w:name w:val="Special Bold"/>
    <w:basedOn w:val="DefaultParagraphFont"/>
    <w:rsid w:val="00B84474"/>
    <w:rPr>
      <w:b/>
      <w:spacing w:val="0"/>
    </w:rPr>
  </w:style>
  <w:style w:type="paragraph" w:styleId="ListBullet2">
    <w:name w:val="List Bullet 2"/>
    <w:basedOn w:val="List2"/>
    <w:rsid w:val="00B84474"/>
    <w:pPr>
      <w:numPr>
        <w:numId w:val="15"/>
      </w:numPr>
      <w:tabs>
        <w:tab w:val="clear" w:pos="680"/>
      </w:tabs>
    </w:pPr>
  </w:style>
  <w:style w:type="character" w:styleId="Emphasis">
    <w:name w:val="Emphasis"/>
    <w:basedOn w:val="DefaultParagraphFont"/>
    <w:qFormat/>
    <w:rsid w:val="00B84474"/>
    <w:rPr>
      <w:i/>
    </w:rPr>
  </w:style>
  <w:style w:type="paragraph" w:customStyle="1" w:styleId="SuperHeading">
    <w:name w:val="SuperHeading"/>
    <w:basedOn w:val="Normal"/>
    <w:rsid w:val="00B84474"/>
    <w:pPr>
      <w:spacing w:before="240" w:after="120"/>
      <w:outlineLvl w:val="0"/>
    </w:pPr>
    <w:rPr>
      <w:rFonts w:ascii="Times New Roman" w:hAnsi="Times New Roman"/>
      <w:b/>
      <w:sz w:val="28"/>
    </w:rPr>
  </w:style>
  <w:style w:type="paragraph" w:customStyle="1" w:styleId="AllowPageBreak">
    <w:name w:val="AllowPageBreak"/>
    <w:rsid w:val="00B8447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84474"/>
    <w:pPr>
      <w:numPr>
        <w:numId w:val="3"/>
      </w:numPr>
      <w:tabs>
        <w:tab w:val="clear" w:pos="1021"/>
      </w:tabs>
      <w:ind w:left="1037" w:hanging="357"/>
    </w:pPr>
  </w:style>
  <w:style w:type="character" w:customStyle="1" w:styleId="Heading2Char">
    <w:name w:val="Heading 2 Char"/>
    <w:basedOn w:val="DefaultParagraphFont"/>
    <w:link w:val="Heading2"/>
    <w:rsid w:val="00B844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44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44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44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44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447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8447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84474"/>
    <w:rPr>
      <w:rFonts w:ascii="Courier New" w:eastAsia="Times New Roman" w:hAnsi="Courier New" w:cs="Times New Roman"/>
      <w:i/>
      <w:szCs w:val="20"/>
      <w:lang w:eastAsia="en-US"/>
    </w:rPr>
  </w:style>
  <w:style w:type="paragraph" w:customStyle="1" w:styleId="HeadingBase">
    <w:name w:val="Heading Base"/>
    <w:rsid w:val="00B844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4474"/>
    <w:pPr>
      <w:tabs>
        <w:tab w:val="right" w:leader="dot" w:pos="9072"/>
      </w:tabs>
      <w:ind w:left="567"/>
    </w:pPr>
    <w:rPr>
      <w:szCs w:val="22"/>
    </w:rPr>
  </w:style>
  <w:style w:type="paragraph" w:customStyle="1" w:styleId="TOCBase">
    <w:name w:val="TOC Base"/>
    <w:rsid w:val="00B844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4474"/>
    <w:pPr>
      <w:tabs>
        <w:tab w:val="right" w:leader="dot" w:pos="9072"/>
      </w:tabs>
      <w:spacing w:before="40" w:after="40"/>
      <w:ind w:left="284"/>
    </w:pPr>
    <w:rPr>
      <w:rFonts w:ascii="Times New Roman" w:hAnsi="Times New Roman"/>
    </w:rPr>
  </w:style>
  <w:style w:type="paragraph" w:styleId="TOC1">
    <w:name w:val="toc 1"/>
    <w:basedOn w:val="TOCBase"/>
    <w:next w:val="Normal"/>
    <w:rsid w:val="00B8447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84474"/>
    <w:pPr>
      <w:spacing w:before="5040"/>
      <w:jc w:val="center"/>
    </w:pPr>
    <w:rPr>
      <w:sz w:val="48"/>
      <w:szCs w:val="72"/>
      <w:lang w:val="en-US"/>
    </w:rPr>
  </w:style>
  <w:style w:type="character" w:customStyle="1" w:styleId="TitleChar">
    <w:name w:val="Title Char"/>
    <w:basedOn w:val="DefaultParagraphFont"/>
    <w:link w:val="Title"/>
    <w:rsid w:val="00B844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4474"/>
    <w:pPr>
      <w:tabs>
        <w:tab w:val="left" w:pos="3600"/>
        <w:tab w:val="left" w:pos="3958"/>
      </w:tabs>
    </w:pPr>
  </w:style>
  <w:style w:type="paragraph" w:customStyle="1" w:styleId="Note">
    <w:name w:val="Note"/>
    <w:basedOn w:val="BodyText"/>
    <w:rsid w:val="00B844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4474"/>
    <w:pPr>
      <w:framePr w:wrap="auto" w:hAnchor="text" w:y="6049"/>
    </w:pPr>
    <w:rPr>
      <w:color w:val="000000"/>
      <w:sz w:val="40"/>
    </w:rPr>
  </w:style>
  <w:style w:type="paragraph" w:customStyle="1" w:styleId="TOCTitle">
    <w:name w:val="TOCTitle"/>
    <w:basedOn w:val="Heading1"/>
    <w:rsid w:val="00B84474"/>
    <w:pPr>
      <w:spacing w:after="240"/>
      <w:jc w:val="center"/>
      <w:outlineLvl w:val="9"/>
    </w:pPr>
    <w:rPr>
      <w:caps/>
    </w:rPr>
  </w:style>
  <w:style w:type="paragraph" w:customStyle="1" w:styleId="Version">
    <w:name w:val="Version"/>
    <w:rsid w:val="00B8447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84474"/>
    <w:pPr>
      <w:keepNext w:val="0"/>
      <w:tabs>
        <w:tab w:val="right" w:pos="4176"/>
      </w:tabs>
      <w:ind w:left="198" w:hanging="198"/>
    </w:pPr>
    <w:rPr>
      <w:rFonts w:ascii="Garamond" w:hAnsi="Garamond"/>
    </w:rPr>
  </w:style>
  <w:style w:type="paragraph" w:styleId="IndexHeading">
    <w:name w:val="index heading"/>
    <w:basedOn w:val="Normal"/>
    <w:next w:val="Index1"/>
    <w:semiHidden/>
    <w:rsid w:val="00B84474"/>
    <w:pPr>
      <w:spacing w:before="120" w:after="120"/>
    </w:pPr>
    <w:rPr>
      <w:rFonts w:ascii="Arial" w:hAnsi="Arial"/>
      <w:b/>
      <w:color w:val="918585"/>
      <w:sz w:val="24"/>
    </w:rPr>
  </w:style>
  <w:style w:type="paragraph" w:styleId="Header">
    <w:name w:val="header"/>
    <w:basedOn w:val="Normal"/>
    <w:link w:val="HeaderChar"/>
    <w:rsid w:val="00B844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4474"/>
    <w:rPr>
      <w:rFonts w:ascii="Times New Roman" w:eastAsia="Times New Roman" w:hAnsi="Times New Roman" w:cs="Times New Roman"/>
      <w:sz w:val="16"/>
      <w:szCs w:val="20"/>
      <w:lang w:val="en-GB" w:eastAsia="en-US"/>
    </w:rPr>
  </w:style>
  <w:style w:type="paragraph" w:customStyle="1" w:styleId="Chapter">
    <w:name w:val="Chapter"/>
    <w:basedOn w:val="Normal"/>
    <w:rsid w:val="00B84474"/>
    <w:pPr>
      <w:spacing w:before="240"/>
    </w:pPr>
    <w:rPr>
      <w:rFonts w:ascii="Times New Roman" w:hAnsi="Times New Roman"/>
      <w:smallCaps/>
      <w:spacing w:val="80"/>
      <w:sz w:val="28"/>
    </w:rPr>
  </w:style>
  <w:style w:type="paragraph" w:customStyle="1" w:styleId="InChapter">
    <w:name w:val="InChapter"/>
    <w:basedOn w:val="Heading3"/>
    <w:rsid w:val="00B84474"/>
    <w:pPr>
      <w:spacing w:after="240"/>
      <w:outlineLvl w:val="9"/>
    </w:pPr>
    <w:rPr>
      <w:noProof/>
    </w:rPr>
  </w:style>
  <w:style w:type="paragraph" w:styleId="Index2">
    <w:name w:val="index 2"/>
    <w:basedOn w:val="Normal"/>
    <w:next w:val="Normal"/>
    <w:semiHidden/>
    <w:rsid w:val="00B84474"/>
    <w:pPr>
      <w:tabs>
        <w:tab w:val="right" w:pos="4176"/>
      </w:tabs>
      <w:ind w:left="568" w:hanging="284"/>
    </w:pPr>
    <w:rPr>
      <w:rFonts w:ascii="Garamond" w:hAnsi="Garamond"/>
    </w:rPr>
  </w:style>
  <w:style w:type="paragraph" w:customStyle="1" w:styleId="Byline">
    <w:name w:val="Byline"/>
    <w:rsid w:val="00B844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4474"/>
    <w:pPr>
      <w:tabs>
        <w:tab w:val="clear" w:pos="3600"/>
        <w:tab w:val="clear" w:pos="3958"/>
      </w:tabs>
      <w:jc w:val="right"/>
    </w:pPr>
  </w:style>
  <w:style w:type="paragraph" w:styleId="Caption">
    <w:name w:val="caption"/>
    <w:basedOn w:val="BodyText"/>
    <w:next w:val="Normal"/>
    <w:qFormat/>
    <w:rsid w:val="00B84474"/>
    <w:pPr>
      <w:framePr w:w="2268" w:hSpace="181" w:vSpace="181" w:wrap="around" w:vAnchor="text" w:hAnchor="page" w:x="1135" w:y="285" w:anchorLock="1"/>
    </w:pPr>
    <w:rPr>
      <w:i/>
    </w:rPr>
  </w:style>
  <w:style w:type="paragraph" w:customStyle="1" w:styleId="MiniTOCTitle">
    <w:name w:val="MiniTOCTitle"/>
    <w:basedOn w:val="Heading4"/>
    <w:rsid w:val="00B84474"/>
    <w:pPr>
      <w:spacing w:before="240"/>
      <w:outlineLvl w:val="9"/>
    </w:pPr>
    <w:rPr>
      <w:noProof/>
      <w:sz w:val="24"/>
    </w:rPr>
  </w:style>
  <w:style w:type="paragraph" w:customStyle="1" w:styleId="MiniTOCItem">
    <w:name w:val="MiniTOCItem"/>
    <w:basedOn w:val="ListBullet"/>
    <w:rsid w:val="00B84474"/>
    <w:pPr>
      <w:numPr>
        <w:numId w:val="0"/>
      </w:numPr>
      <w:tabs>
        <w:tab w:val="right" w:leader="dot" w:pos="6521"/>
      </w:tabs>
      <w:spacing w:before="0" w:after="0"/>
    </w:pPr>
  </w:style>
  <w:style w:type="paragraph" w:customStyle="1" w:styleId="TOFTitle">
    <w:name w:val="TOFTitle"/>
    <w:basedOn w:val="TOCTitle"/>
    <w:rsid w:val="00B84474"/>
  </w:style>
  <w:style w:type="paragraph" w:styleId="TableofFigures">
    <w:name w:val="table of figures"/>
    <w:basedOn w:val="Normal"/>
    <w:next w:val="Normal"/>
    <w:semiHidden/>
    <w:rsid w:val="00B84474"/>
    <w:pPr>
      <w:tabs>
        <w:tab w:val="right" w:leader="dot" w:pos="9072"/>
      </w:tabs>
      <w:ind w:left="970" w:hanging="403"/>
    </w:pPr>
    <w:rPr>
      <w:rFonts w:ascii="Times New Roman" w:hAnsi="Times New Roman"/>
      <w:b/>
    </w:rPr>
  </w:style>
  <w:style w:type="paragraph" w:styleId="ListNumber">
    <w:name w:val="List Number"/>
    <w:basedOn w:val="List"/>
    <w:rsid w:val="00B84474"/>
    <w:pPr>
      <w:numPr>
        <w:numId w:val="12"/>
      </w:numPr>
    </w:pPr>
  </w:style>
  <w:style w:type="character" w:customStyle="1" w:styleId="WingdingSymbols">
    <w:name w:val="Wingding Symbols"/>
    <w:rsid w:val="00B84474"/>
    <w:rPr>
      <w:rFonts w:ascii="Wingdings" w:hAnsi="Wingdings"/>
    </w:rPr>
  </w:style>
  <w:style w:type="paragraph" w:customStyle="1" w:styleId="TableHeading">
    <w:name w:val="Table Heading"/>
    <w:basedOn w:val="HeadingBase"/>
    <w:rsid w:val="00B84474"/>
    <w:pPr>
      <w:keepLines/>
      <w:pBdr>
        <w:bottom w:val="single" w:sz="6" w:space="1" w:color="918585"/>
      </w:pBdr>
      <w:spacing w:before="240"/>
    </w:pPr>
  </w:style>
  <w:style w:type="character" w:customStyle="1" w:styleId="HotSpot">
    <w:name w:val="HotSpot"/>
    <w:rsid w:val="00B84474"/>
    <w:rPr>
      <w:color w:val="0033CC"/>
      <w:u w:val="none"/>
    </w:rPr>
  </w:style>
  <w:style w:type="paragraph" w:customStyle="1" w:styleId="BodyTextRight">
    <w:name w:val="Body Text Right"/>
    <w:basedOn w:val="BodyText"/>
    <w:rsid w:val="00B84474"/>
    <w:pPr>
      <w:spacing w:before="0" w:after="0"/>
      <w:jc w:val="right"/>
    </w:pPr>
  </w:style>
  <w:style w:type="paragraph" w:styleId="Index3">
    <w:name w:val="index 3"/>
    <w:basedOn w:val="ListNumber2"/>
    <w:next w:val="Normal"/>
    <w:semiHidden/>
    <w:rsid w:val="00B84474"/>
    <w:pPr>
      <w:numPr>
        <w:numId w:val="0"/>
      </w:numPr>
      <w:tabs>
        <w:tab w:val="right" w:leader="dot" w:pos="4176"/>
      </w:tabs>
    </w:pPr>
  </w:style>
  <w:style w:type="paragraph" w:styleId="ListNumber2">
    <w:name w:val="List Number 2"/>
    <w:basedOn w:val="List2"/>
    <w:rsid w:val="00B84474"/>
    <w:pPr>
      <w:numPr>
        <w:numId w:val="11"/>
      </w:numPr>
      <w:tabs>
        <w:tab w:val="clear" w:pos="1060"/>
      </w:tabs>
    </w:pPr>
  </w:style>
  <w:style w:type="paragraph" w:customStyle="1" w:styleId="MarginNote">
    <w:name w:val="Margin Note"/>
    <w:basedOn w:val="BodyText"/>
    <w:rsid w:val="00B844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44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447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84474"/>
    <w:rPr>
      <w:sz w:val="32"/>
    </w:rPr>
  </w:style>
  <w:style w:type="paragraph" w:customStyle="1" w:styleId="HeadingProcedure">
    <w:name w:val="Heading Procedure"/>
    <w:basedOn w:val="HeadingBase"/>
    <w:next w:val="Normal"/>
    <w:rsid w:val="00B84474"/>
    <w:pPr>
      <w:tabs>
        <w:tab w:val="left" w:pos="0"/>
      </w:tabs>
      <w:spacing w:before="120" w:after="60"/>
    </w:pPr>
    <w:rPr>
      <w:i/>
      <w:color w:val="918585"/>
      <w:sz w:val="22"/>
    </w:rPr>
  </w:style>
  <w:style w:type="paragraph" w:customStyle="1" w:styleId="TableBodyText">
    <w:name w:val="Table Body Text"/>
    <w:basedOn w:val="BodyText"/>
    <w:rsid w:val="00B84474"/>
    <w:pPr>
      <w:spacing w:before="60" w:after="60"/>
    </w:pPr>
  </w:style>
  <w:style w:type="paragraph" w:styleId="ListContinue">
    <w:name w:val="List Continue"/>
    <w:basedOn w:val="List"/>
    <w:rsid w:val="00B84474"/>
    <w:pPr>
      <w:ind w:firstLine="0"/>
    </w:pPr>
  </w:style>
  <w:style w:type="paragraph" w:customStyle="1" w:styleId="ListNote">
    <w:name w:val="List Note"/>
    <w:basedOn w:val="List"/>
    <w:rsid w:val="00B84474"/>
    <w:pPr>
      <w:pBdr>
        <w:top w:val="single" w:sz="6" w:space="2" w:color="918585"/>
        <w:bottom w:val="single" w:sz="6" w:space="2" w:color="918585"/>
      </w:pBdr>
      <w:tabs>
        <w:tab w:val="left" w:pos="1021"/>
      </w:tabs>
      <w:ind w:firstLine="0"/>
    </w:pPr>
  </w:style>
  <w:style w:type="paragraph" w:customStyle="1" w:styleId="Warning">
    <w:name w:val="Warning"/>
    <w:basedOn w:val="BodyText"/>
    <w:rsid w:val="00B84474"/>
    <w:pPr>
      <w:shd w:val="clear" w:color="auto" w:fill="D9D9D9"/>
      <w:tabs>
        <w:tab w:val="left" w:pos="992"/>
      </w:tabs>
      <w:ind w:left="119" w:right="119"/>
    </w:pPr>
    <w:rPr>
      <w:sz w:val="20"/>
    </w:rPr>
  </w:style>
  <w:style w:type="paragraph" w:customStyle="1" w:styleId="MarginIcons">
    <w:name w:val="Margin Icons"/>
    <w:basedOn w:val="BodyText"/>
    <w:rsid w:val="00B844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4474"/>
    <w:rPr>
      <w:rFonts w:ascii="Courier New" w:hAnsi="Courier New"/>
    </w:rPr>
  </w:style>
  <w:style w:type="paragraph" w:customStyle="1" w:styleId="NoteBullet">
    <w:name w:val="Note Bullet"/>
    <w:basedOn w:val="Note"/>
    <w:rsid w:val="00B84474"/>
    <w:pPr>
      <w:tabs>
        <w:tab w:val="clear" w:pos="680"/>
      </w:tabs>
      <w:spacing w:before="60" w:after="60"/>
    </w:pPr>
  </w:style>
  <w:style w:type="paragraph" w:customStyle="1" w:styleId="SubHeading2">
    <w:name w:val="SubHeading2"/>
    <w:basedOn w:val="HeadingBase"/>
    <w:rsid w:val="00B84474"/>
    <w:pPr>
      <w:spacing w:before="240" w:after="60"/>
    </w:pPr>
    <w:rPr>
      <w:sz w:val="20"/>
    </w:rPr>
  </w:style>
  <w:style w:type="paragraph" w:customStyle="1" w:styleId="SubHeading1">
    <w:name w:val="SubHeading1"/>
    <w:basedOn w:val="HeadingBase"/>
    <w:rsid w:val="00B84474"/>
    <w:pPr>
      <w:spacing w:before="240" w:after="60"/>
    </w:pPr>
    <w:rPr>
      <w:color w:val="918585"/>
      <w:sz w:val="22"/>
    </w:rPr>
  </w:style>
  <w:style w:type="paragraph" w:customStyle="1" w:styleId="SideHeading">
    <w:name w:val="Side Heading"/>
    <w:basedOn w:val="HeadingBase"/>
    <w:rsid w:val="00B844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4474"/>
    <w:pPr>
      <w:numPr>
        <w:numId w:val="13"/>
      </w:numPr>
    </w:pPr>
  </w:style>
  <w:style w:type="paragraph" w:styleId="PlainText">
    <w:name w:val="Plain Text"/>
    <w:basedOn w:val="Normal"/>
    <w:link w:val="PlainTextChar"/>
    <w:rsid w:val="00B84474"/>
    <w:rPr>
      <w:sz w:val="20"/>
    </w:rPr>
  </w:style>
  <w:style w:type="character" w:customStyle="1" w:styleId="PlainTextChar">
    <w:name w:val="Plain Text Char"/>
    <w:basedOn w:val="DefaultParagraphFont"/>
    <w:link w:val="PlainText"/>
    <w:rsid w:val="00B84474"/>
    <w:rPr>
      <w:rFonts w:ascii="Courier New" w:eastAsia="Times New Roman" w:hAnsi="Courier New" w:cs="Times New Roman"/>
      <w:sz w:val="20"/>
      <w:szCs w:val="20"/>
      <w:lang w:eastAsia="en-US"/>
    </w:rPr>
  </w:style>
  <w:style w:type="character" w:customStyle="1" w:styleId="MenuOption">
    <w:name w:val="Menu Option"/>
    <w:basedOn w:val="DefaultParagraphFont"/>
    <w:rsid w:val="00B84474"/>
    <w:rPr>
      <w:b/>
      <w:smallCaps/>
    </w:rPr>
  </w:style>
  <w:style w:type="paragraph" w:customStyle="1" w:styleId="TableListNumber">
    <w:name w:val="Table List Number"/>
    <w:basedOn w:val="ListNumber"/>
    <w:rsid w:val="00B84474"/>
    <w:pPr>
      <w:numPr>
        <w:numId w:val="0"/>
      </w:numPr>
    </w:pPr>
  </w:style>
  <w:style w:type="paragraph" w:styleId="TOC4">
    <w:name w:val="toc 4"/>
    <w:basedOn w:val="TOCBase"/>
    <w:next w:val="Normal"/>
    <w:semiHidden/>
    <w:rsid w:val="00B84474"/>
    <w:pPr>
      <w:tabs>
        <w:tab w:val="right" w:leader="dot" w:pos="9071"/>
      </w:tabs>
      <w:ind w:left="1701"/>
    </w:pPr>
  </w:style>
  <w:style w:type="paragraph" w:customStyle="1" w:styleId="ListAlpha">
    <w:name w:val="List Alpha"/>
    <w:basedOn w:val="List"/>
    <w:rsid w:val="00B84474"/>
    <w:pPr>
      <w:numPr>
        <w:numId w:val="10"/>
      </w:numPr>
    </w:pPr>
  </w:style>
  <w:style w:type="paragraph" w:customStyle="1" w:styleId="ListAlpha2">
    <w:name w:val="List Alpha 2"/>
    <w:basedOn w:val="List2"/>
    <w:rsid w:val="00B84474"/>
    <w:pPr>
      <w:numPr>
        <w:numId w:val="9"/>
      </w:numPr>
    </w:pPr>
  </w:style>
  <w:style w:type="paragraph" w:styleId="List2">
    <w:name w:val="List 2"/>
    <w:basedOn w:val="BodyText"/>
    <w:rsid w:val="00B84474"/>
    <w:pPr>
      <w:tabs>
        <w:tab w:val="left" w:pos="680"/>
      </w:tabs>
      <w:spacing w:before="60" w:after="60"/>
      <w:ind w:left="680" w:hanging="340"/>
    </w:pPr>
  </w:style>
  <w:style w:type="paragraph" w:styleId="List3">
    <w:name w:val="List 3"/>
    <w:basedOn w:val="BodyText"/>
    <w:rsid w:val="00B84474"/>
    <w:pPr>
      <w:tabs>
        <w:tab w:val="left" w:pos="1021"/>
      </w:tabs>
      <w:spacing w:before="60" w:after="60"/>
      <w:ind w:left="1020" w:hanging="340"/>
    </w:pPr>
  </w:style>
  <w:style w:type="paragraph" w:styleId="List4">
    <w:name w:val="List 4"/>
    <w:basedOn w:val="BodyText"/>
    <w:rsid w:val="00B84474"/>
    <w:pPr>
      <w:tabs>
        <w:tab w:val="left" w:pos="1361"/>
      </w:tabs>
      <w:spacing w:before="60" w:after="60"/>
      <w:ind w:left="1361" w:hanging="340"/>
    </w:pPr>
  </w:style>
  <w:style w:type="paragraph" w:styleId="List5">
    <w:name w:val="List 5"/>
    <w:basedOn w:val="BodyText"/>
    <w:rsid w:val="00B84474"/>
    <w:pPr>
      <w:tabs>
        <w:tab w:val="left" w:pos="1701"/>
      </w:tabs>
      <w:spacing w:before="60" w:after="60"/>
      <w:ind w:left="1701" w:hanging="340"/>
    </w:pPr>
  </w:style>
  <w:style w:type="paragraph" w:styleId="ListBullet4">
    <w:name w:val="List Bullet 4"/>
    <w:basedOn w:val="List4"/>
    <w:rsid w:val="00B84474"/>
    <w:pPr>
      <w:numPr>
        <w:numId w:val="4"/>
      </w:numPr>
    </w:pPr>
  </w:style>
  <w:style w:type="paragraph" w:styleId="ListBullet5">
    <w:name w:val="List Bullet 5"/>
    <w:basedOn w:val="List5"/>
    <w:rsid w:val="00B84474"/>
    <w:pPr>
      <w:numPr>
        <w:numId w:val="5"/>
      </w:numPr>
    </w:pPr>
  </w:style>
  <w:style w:type="paragraph" w:styleId="ListContinue2">
    <w:name w:val="List Continue 2"/>
    <w:basedOn w:val="List2"/>
    <w:rsid w:val="00B84474"/>
    <w:pPr>
      <w:ind w:firstLine="0"/>
    </w:pPr>
  </w:style>
  <w:style w:type="paragraph" w:styleId="ListContinue3">
    <w:name w:val="List Continue 3"/>
    <w:basedOn w:val="List3"/>
    <w:rsid w:val="00B84474"/>
    <w:pPr>
      <w:ind w:left="1021" w:firstLine="0"/>
    </w:pPr>
  </w:style>
  <w:style w:type="paragraph" w:styleId="ListContinue4">
    <w:name w:val="List Continue 4"/>
    <w:basedOn w:val="List4"/>
    <w:rsid w:val="00B84474"/>
    <w:pPr>
      <w:ind w:firstLine="0"/>
    </w:pPr>
  </w:style>
  <w:style w:type="paragraph" w:styleId="ListContinue5">
    <w:name w:val="List Continue 5"/>
    <w:basedOn w:val="List5"/>
    <w:rsid w:val="00B84474"/>
    <w:pPr>
      <w:ind w:firstLine="0"/>
    </w:pPr>
  </w:style>
  <w:style w:type="paragraph" w:styleId="ListNumber3">
    <w:name w:val="List Number 3"/>
    <w:basedOn w:val="List3"/>
    <w:rsid w:val="00B84474"/>
    <w:pPr>
      <w:numPr>
        <w:numId w:val="6"/>
      </w:numPr>
    </w:pPr>
  </w:style>
  <w:style w:type="paragraph" w:styleId="ListNumber4">
    <w:name w:val="List Number 4"/>
    <w:basedOn w:val="List4"/>
    <w:rsid w:val="00B84474"/>
    <w:pPr>
      <w:numPr>
        <w:numId w:val="7"/>
      </w:numPr>
    </w:pPr>
  </w:style>
  <w:style w:type="paragraph" w:styleId="ListNumber5">
    <w:name w:val="List Number 5"/>
    <w:basedOn w:val="List5"/>
    <w:rsid w:val="00B84474"/>
    <w:pPr>
      <w:numPr>
        <w:numId w:val="8"/>
      </w:numPr>
    </w:pPr>
  </w:style>
  <w:style w:type="paragraph" w:styleId="BlockText">
    <w:name w:val="Block Text"/>
    <w:basedOn w:val="Normal"/>
    <w:rsid w:val="00B84474"/>
    <w:pPr>
      <w:spacing w:after="120"/>
      <w:ind w:left="1440" w:right="1440"/>
    </w:pPr>
  </w:style>
  <w:style w:type="character" w:customStyle="1" w:styleId="Subscript">
    <w:name w:val="Subscript"/>
    <w:basedOn w:val="DefaultParagraphFont"/>
    <w:rsid w:val="00B84474"/>
    <w:rPr>
      <w:sz w:val="16"/>
      <w:vertAlign w:val="subscript"/>
    </w:rPr>
  </w:style>
  <w:style w:type="character" w:customStyle="1" w:styleId="Superscript">
    <w:name w:val="Superscript"/>
    <w:basedOn w:val="DefaultParagraphFont"/>
    <w:rsid w:val="00B84474"/>
    <w:rPr>
      <w:sz w:val="16"/>
      <w:vertAlign w:val="superscript"/>
    </w:rPr>
  </w:style>
  <w:style w:type="character" w:customStyle="1" w:styleId="Symbols">
    <w:name w:val="Symbols"/>
    <w:basedOn w:val="DefaultParagraphFont"/>
    <w:rsid w:val="00B84474"/>
    <w:rPr>
      <w:rFonts w:ascii="Symbol" w:hAnsi="Symbol"/>
    </w:rPr>
  </w:style>
  <w:style w:type="character" w:customStyle="1" w:styleId="MenuOptions">
    <w:name w:val="Menu Options"/>
    <w:basedOn w:val="DefaultParagraphFont"/>
    <w:rsid w:val="00B84474"/>
    <w:rPr>
      <w:rFonts w:ascii="Arial Narrow" w:hAnsi="Arial Narrow"/>
      <w:smallCaps/>
    </w:rPr>
  </w:style>
  <w:style w:type="character" w:customStyle="1" w:styleId="Buttons">
    <w:name w:val="Buttons"/>
    <w:basedOn w:val="DefaultParagraphFont"/>
    <w:rsid w:val="00B84474"/>
    <w:rPr>
      <w:b/>
    </w:rPr>
  </w:style>
  <w:style w:type="character" w:customStyle="1" w:styleId="Underlined">
    <w:name w:val="Underlined"/>
    <w:basedOn w:val="DefaultParagraphFont"/>
    <w:rsid w:val="00B84474"/>
    <w:rPr>
      <w:u w:val="single"/>
    </w:rPr>
  </w:style>
  <w:style w:type="paragraph" w:customStyle="1" w:styleId="TableBodyTextRight">
    <w:name w:val="Table Body Text Right"/>
    <w:basedOn w:val="TableBodyText"/>
    <w:rsid w:val="00B84474"/>
    <w:pPr>
      <w:widowControl w:val="0"/>
      <w:autoSpaceDE w:val="0"/>
      <w:autoSpaceDN w:val="0"/>
      <w:adjustRightInd w:val="0"/>
      <w:jc w:val="right"/>
    </w:pPr>
    <w:rPr>
      <w:rFonts w:cs="Arial"/>
      <w:szCs w:val="18"/>
    </w:rPr>
  </w:style>
  <w:style w:type="paragraph" w:customStyle="1" w:styleId="CopyrightText">
    <w:name w:val="Copyright Text"/>
    <w:basedOn w:val="BodyText"/>
    <w:rsid w:val="00B84474"/>
    <w:rPr>
      <w:sz w:val="18"/>
    </w:rPr>
  </w:style>
  <w:style w:type="paragraph" w:customStyle="1" w:styleId="BodySmallRight">
    <w:name w:val="Body Small Right"/>
    <w:basedOn w:val="BodyTextRight"/>
    <w:rsid w:val="00B84474"/>
    <w:rPr>
      <w:sz w:val="18"/>
      <w:szCs w:val="18"/>
    </w:rPr>
  </w:style>
  <w:style w:type="paragraph" w:customStyle="1" w:styleId="MarginEdition">
    <w:name w:val="Margin Edition"/>
    <w:basedOn w:val="MarginNote"/>
    <w:rsid w:val="00B84474"/>
    <w:pPr>
      <w:spacing w:before="0" w:after="0"/>
    </w:pPr>
    <w:rPr>
      <w:rFonts w:ascii="Times New Roman" w:hAnsi="Times New Roman"/>
      <w:color w:val="999999"/>
    </w:rPr>
  </w:style>
  <w:style w:type="paragraph" w:customStyle="1" w:styleId="Spacer">
    <w:name w:val="Spacer"/>
    <w:basedOn w:val="Normal"/>
    <w:rsid w:val="00B84474"/>
    <w:rPr>
      <w:sz w:val="2"/>
      <w:szCs w:val="2"/>
    </w:rPr>
  </w:style>
  <w:style w:type="character" w:customStyle="1" w:styleId="Small">
    <w:name w:val="Small"/>
    <w:basedOn w:val="DefaultParagraphFont"/>
    <w:rsid w:val="00B84474"/>
    <w:rPr>
      <w:sz w:val="16"/>
    </w:rPr>
  </w:style>
  <w:style w:type="paragraph" w:customStyle="1" w:styleId="WideTable">
    <w:name w:val="Wide Table"/>
    <w:basedOn w:val="Normal"/>
    <w:rsid w:val="00B84474"/>
    <w:pPr>
      <w:ind w:left="-1418"/>
    </w:pPr>
    <w:rPr>
      <w:sz w:val="2"/>
      <w:szCs w:val="2"/>
    </w:rPr>
  </w:style>
  <w:style w:type="character" w:styleId="PageNumber">
    <w:name w:val="page number"/>
    <w:basedOn w:val="DefaultParagraphFont"/>
    <w:rsid w:val="00B84474"/>
  </w:style>
  <w:style w:type="paragraph" w:styleId="Quote">
    <w:name w:val="Quote"/>
    <w:basedOn w:val="Heading1"/>
    <w:link w:val="QuoteChar"/>
    <w:qFormat/>
    <w:rsid w:val="00B84474"/>
    <w:rPr>
      <w:b w:val="0"/>
      <w:sz w:val="72"/>
      <w:szCs w:val="72"/>
      <w:lang w:val="en-NZ"/>
    </w:rPr>
  </w:style>
  <w:style w:type="character" w:customStyle="1" w:styleId="QuoteChar">
    <w:name w:val="Quote Char"/>
    <w:basedOn w:val="DefaultParagraphFont"/>
    <w:link w:val="Quote"/>
    <w:rsid w:val="00B844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4474"/>
    <w:pPr>
      <w:pageBreakBefore/>
    </w:pPr>
  </w:style>
  <w:style w:type="paragraph" w:customStyle="1" w:styleId="Border">
    <w:name w:val="Border"/>
    <w:basedOn w:val="Normal"/>
    <w:qFormat/>
    <w:rsid w:val="00B844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4474"/>
    <w:rPr>
      <w:b/>
      <w:bCs/>
      <w:i/>
      <w:iCs/>
      <w:color w:val="auto"/>
    </w:rPr>
  </w:style>
  <w:style w:type="paragraph" w:styleId="IntenseQuote">
    <w:name w:val="Intense Quote"/>
    <w:basedOn w:val="Normal"/>
    <w:next w:val="Normal"/>
    <w:link w:val="IntenseQuoteChar"/>
    <w:uiPriority w:val="30"/>
    <w:qFormat/>
    <w:rsid w:val="00B844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447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84474"/>
    <w:rPr>
      <w:smallCaps/>
      <w:color w:val="auto"/>
      <w:u w:val="single"/>
    </w:rPr>
  </w:style>
  <w:style w:type="character" w:styleId="IntenseReference">
    <w:name w:val="Intense Reference"/>
    <w:basedOn w:val="DefaultParagraphFont"/>
    <w:uiPriority w:val="32"/>
    <w:qFormat/>
    <w:rsid w:val="00B84474"/>
    <w:rPr>
      <w:b/>
      <w:bCs/>
      <w:smallCaps/>
      <w:color w:val="auto"/>
      <w:spacing w:val="5"/>
      <w:u w:val="single"/>
    </w:rPr>
  </w:style>
  <w:style w:type="paragraph" w:customStyle="1" w:styleId="2ColumnHeading">
    <w:name w:val="2Column Heading"/>
    <w:basedOn w:val="BodyText"/>
    <w:qFormat/>
    <w:rsid w:val="00B84474"/>
    <w:pPr>
      <w:spacing w:after="60"/>
      <w:ind w:left="-2268"/>
    </w:pPr>
    <w:rPr>
      <w:b/>
    </w:rPr>
  </w:style>
  <w:style w:type="paragraph" w:customStyle="1" w:styleId="Heading1TOC">
    <w:name w:val="Heading1 TOC"/>
    <w:basedOn w:val="Normal"/>
    <w:qFormat/>
    <w:rsid w:val="00B84474"/>
    <w:pPr>
      <w:spacing w:before="240" w:after="120"/>
    </w:pPr>
    <w:rPr>
      <w:rFonts w:ascii="Times New Roman" w:hAnsi="Times New Roman"/>
      <w:b/>
      <w:sz w:val="32"/>
    </w:rPr>
  </w:style>
  <w:style w:type="paragraph" w:customStyle="1" w:styleId="Heading2TOC">
    <w:name w:val="Heading2 TOC"/>
    <w:basedOn w:val="Normal"/>
    <w:qFormat/>
    <w:rsid w:val="00B84474"/>
    <w:pPr>
      <w:spacing w:before="240" w:after="60"/>
    </w:pPr>
    <w:rPr>
      <w:rFonts w:ascii="Times New Roman" w:hAnsi="Times New Roman"/>
      <w:b/>
      <w:sz w:val="28"/>
    </w:rPr>
  </w:style>
  <w:style w:type="character" w:customStyle="1" w:styleId="Underline">
    <w:name w:val="Underline"/>
    <w:basedOn w:val="DefaultParagraphFont"/>
    <w:qFormat/>
    <w:rsid w:val="00B84474"/>
    <w:rPr>
      <w:u w:val="single"/>
    </w:rPr>
  </w:style>
  <w:style w:type="character" w:customStyle="1" w:styleId="BoldandItalics">
    <w:name w:val="Bold and Italics"/>
    <w:qFormat/>
    <w:rsid w:val="00B84474"/>
    <w:rPr>
      <w:b/>
      <w:i/>
      <w:u w:val="none"/>
    </w:rPr>
  </w:style>
  <w:style w:type="paragraph" w:styleId="BalloonText">
    <w:name w:val="Balloon Text"/>
    <w:basedOn w:val="Normal"/>
    <w:link w:val="BalloonTextChar"/>
    <w:rsid w:val="00B84474"/>
    <w:rPr>
      <w:rFonts w:ascii="Tahoma" w:hAnsi="Tahoma" w:cs="Tahoma"/>
      <w:sz w:val="16"/>
      <w:szCs w:val="16"/>
    </w:rPr>
  </w:style>
  <w:style w:type="character" w:customStyle="1" w:styleId="BalloonTextChar">
    <w:name w:val="Balloon Text Char"/>
    <w:basedOn w:val="DefaultParagraphFont"/>
    <w:link w:val="BalloonText"/>
    <w:rsid w:val="00B8447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8447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8447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84474"/>
    <w:rPr>
      <w:b/>
      <w:color w:val="660033"/>
      <w:spacing w:val="0"/>
    </w:rPr>
  </w:style>
  <w:style w:type="paragraph" w:customStyle="1" w:styleId="Nameditemlist">
    <w:name w:val="Named item list"/>
    <w:basedOn w:val="BodyText"/>
    <w:qFormat/>
    <w:rsid w:val="00B8447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1564</Words>
  <Characters>9986</Characters>
  <Application>Microsoft Office Word</Application>
  <DocSecurity>0</DocSecurity>
  <Lines>362</Lines>
  <Paragraphs>217</Paragraphs>
  <ScaleCrop>false</ScaleCrop>
  <Company>Author-it Software Corporation Ltd.</Company>
  <LinksUpToDate>false</LinksUpToDate>
  <CharactersWithSpaces>11480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HLTOPT401B Perform technical procedures for the production of ophthalmic appliances</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2012-10-05T15:44:00Z</dcterms:created>
  <dcterms:modified xsi:type="dcterms:W3CDTF">2012-10-05T15:44:00Z</dcterms:modified>
</cp:coreProperties>
</file>