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2E82" w:rsidP="007C2E82">
      <w:pPr>
        <w:pStyle w:val="Title"/>
      </w:pPr>
      <w:r>
        <w:fldChar w:fldCharType="begin"/>
      </w:r>
      <w:r>
        <w:instrText xml:space="preserve"> TITLE   \* MERGEFORMAT </w:instrText>
      </w:r>
      <w:r>
        <w:fldChar w:fldCharType="separate"/>
      </w:r>
      <w:r>
        <w:t>HLTOPD403B Dispense optical appliances and services</w:t>
      </w:r>
      <w:r>
        <w:fldChar w:fldCharType="end"/>
      </w:r>
    </w:p>
    <w:p w:rsidR="007C2E82" w:rsidP="007C2E82">
      <w:pPr>
        <w:pStyle w:val="Version"/>
        <w:sectPr w:rsidSect="000A16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168C" w:rsidP="000A168C">
      <w:pPr>
        <w:pStyle w:val="SuperHeading"/>
      </w:pPr>
      <w:r w:rsidRPr="000A168C">
        <w:t>HLTOPD403B Dispense optical appliances and services</w:t>
      </w:r>
    </w:p>
    <w:p w:rsidR="00000000" w:rsidRPr="000A168C" w:rsidP="000A168C">
      <w:pPr>
        <w:pStyle w:val="Heading1"/>
      </w:pPr>
      <w:bookmarkStart w:id="1" w:name="O_271339"/>
      <w:bookmarkEnd w:id="1"/>
      <w:r w:rsidRPr="000A168C">
        <w:t>Modification History</w:t>
      </w:r>
    </w:p>
    <w:p w:rsidR="00000000" w:rsidRPr="000A168C" w:rsidP="000A168C">
      <w:pPr>
        <w:pStyle w:val="BodyText"/>
      </w:pPr>
      <w:r w:rsidRPr="000A168C">
        <w:t>Not Applicable</w:t>
      </w:r>
    </w:p>
    <w:p w:rsidR="00000000" w:rsidRPr="000A168C" w:rsidP="000A168C">
      <w:pPr>
        <w:pStyle w:val="AllowPageBreak"/>
      </w:pPr>
    </w:p>
    <w:p w:rsidR="00000000" w:rsidRPr="000A168C" w:rsidP="000A168C">
      <w:pPr>
        <w:pStyle w:val="Heading1"/>
      </w:pPr>
      <w:bookmarkStart w:id="2" w:name="O_206389"/>
      <w:bookmarkEnd w:id="2"/>
      <w:r w:rsidRPr="000A168C">
        <w:t>Unit Descriptor</w:t>
      </w:r>
    </w:p>
    <w:tbl>
      <w:tblPr>
        <w:tblW w:w="0" w:type="auto"/>
        <w:tblLayout w:type="fixed"/>
        <w:tblCellMar>
          <w:left w:w="62" w:type="dxa"/>
          <w:right w:w="62" w:type="dxa"/>
        </w:tblCellMar>
        <w:tblLook w:val="0000"/>
      </w:tblPr>
      <w:tblGrid>
        <w:gridCol w:w="3339"/>
        <w:gridCol w:w="5217"/>
      </w:tblGrid>
      <w:tr w:rsidTr="007C2E8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r w:rsidRPr="000A168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A168C" w:rsidP="000A168C">
            <w:pPr>
              <w:pStyle w:val="BodyText"/>
            </w:pPr>
            <w:r w:rsidRPr="000A168C">
              <w:t>This unit of competency describes the skills and knowledge required to dispense optical appliances and s</w:t>
            </w:r>
            <w:r w:rsidRPr="000A168C">
              <w:t>ervices</w:t>
            </w:r>
          </w:p>
        </w:tc>
      </w:tr>
    </w:tbl>
    <w:p w:rsidR="007C2E82" w:rsidP="000A168C">
      <w:pPr>
        <w:pStyle w:val="BodyText"/>
      </w:pPr>
    </w:p>
    <w:p w:rsidR="007C2E82" w:rsidP="000A168C">
      <w:pPr>
        <w:pStyle w:val="BodyText"/>
      </w:pPr>
    </w:p>
    <w:p w:rsidR="00000000" w:rsidRPr="000A168C" w:rsidP="000A168C">
      <w:pPr>
        <w:pStyle w:val="Heading1"/>
      </w:pPr>
      <w:bookmarkStart w:id="3" w:name="O_206391"/>
      <w:bookmarkEnd w:id="3"/>
      <w:r w:rsidRPr="000A168C">
        <w:t>Application of the Unit</w:t>
      </w:r>
    </w:p>
    <w:tbl>
      <w:tblPr>
        <w:tblW w:w="0" w:type="auto"/>
        <w:tblLayout w:type="fixed"/>
        <w:tblCellMar>
          <w:left w:w="62" w:type="dxa"/>
          <w:right w:w="62" w:type="dxa"/>
        </w:tblCellMar>
        <w:tblLook w:val="0000"/>
      </w:tblPr>
      <w:tblGrid>
        <w:gridCol w:w="3346"/>
        <w:gridCol w:w="5210"/>
      </w:tblGrid>
      <w:tr w:rsidTr="007C2E82">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r w:rsidRPr="000A168C">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0A168C" w:rsidP="000A168C">
            <w:pPr>
              <w:pStyle w:val="BodyText"/>
            </w:pPr>
            <w:r w:rsidRPr="000A168C">
              <w:t>Work performed may include fitting optical appliances and undertaking minor corrections to optical appliances</w:t>
            </w:r>
          </w:p>
          <w:p w:rsidR="00000000" w:rsidRPr="000A168C" w:rsidP="000A168C">
            <w:pPr>
              <w:pStyle w:val="BodyText"/>
            </w:pPr>
            <w:r w:rsidRPr="000A168C">
              <w:t>All tasks are conducted in accordance with industry standards, organisation policies and procedures, and infection control guidelines</w:t>
            </w:r>
          </w:p>
        </w:tc>
      </w:tr>
    </w:tbl>
    <w:p w:rsidR="007C2E82" w:rsidP="000A168C">
      <w:pPr>
        <w:pStyle w:val="BodyText"/>
      </w:pPr>
    </w:p>
    <w:p w:rsidR="007C2E82" w:rsidP="000A168C">
      <w:pPr>
        <w:pStyle w:val="BodyText"/>
      </w:pPr>
    </w:p>
    <w:p w:rsidR="00000000" w:rsidRPr="000A168C" w:rsidP="000A168C">
      <w:pPr>
        <w:pStyle w:val="Heading1"/>
      </w:pPr>
      <w:bookmarkStart w:id="4" w:name="O_279599"/>
      <w:bookmarkEnd w:id="4"/>
      <w:r w:rsidRPr="000A168C">
        <w:t>Licensing/Regulatory Information</w:t>
      </w:r>
    </w:p>
    <w:p w:rsidR="00000000" w:rsidRPr="000A168C" w:rsidP="000A168C">
      <w:pPr>
        <w:pStyle w:val="BodyText"/>
      </w:pPr>
      <w:r w:rsidRPr="000A168C">
        <w:t>Not Applicable</w:t>
      </w:r>
    </w:p>
    <w:p w:rsidR="00000000" w:rsidRPr="000A168C" w:rsidP="000A168C">
      <w:pPr>
        <w:pStyle w:val="AllowPageBreak"/>
      </w:pPr>
    </w:p>
    <w:p w:rsidR="00000000" w:rsidRPr="000A168C" w:rsidP="000A168C">
      <w:pPr>
        <w:pStyle w:val="Heading1"/>
      </w:pPr>
      <w:bookmarkStart w:id="5" w:name="O_284274"/>
      <w:bookmarkEnd w:id="5"/>
      <w:r w:rsidRPr="000A168C">
        <w:t>Pre-Requisites</w:t>
      </w:r>
    </w:p>
    <w:p w:rsidR="00000000" w:rsidRPr="000A168C" w:rsidP="000A168C">
      <w:pPr>
        <w:pStyle w:val="BodyText"/>
      </w:pPr>
      <w:r w:rsidRPr="000A168C">
        <w:t>Not Applicable</w:t>
      </w:r>
    </w:p>
    <w:p w:rsidR="00000000" w:rsidRPr="000A168C" w:rsidP="000A168C">
      <w:pPr>
        <w:pStyle w:val="AllowPageBreak"/>
      </w:pPr>
    </w:p>
    <w:p w:rsidR="00000000" w:rsidRPr="000A168C" w:rsidP="000A168C">
      <w:pPr>
        <w:pStyle w:val="Heading1"/>
      </w:pPr>
      <w:bookmarkStart w:id="6" w:name="O_206390"/>
      <w:bookmarkEnd w:id="6"/>
      <w:r w:rsidRPr="000A168C">
        <w:t>Employability Skills Information</w:t>
      </w:r>
    </w:p>
    <w:tbl>
      <w:tblPr>
        <w:tblW w:w="0" w:type="auto"/>
        <w:tblLayout w:type="fixed"/>
        <w:tblCellMar>
          <w:left w:w="62" w:type="dxa"/>
          <w:right w:w="62" w:type="dxa"/>
        </w:tblCellMar>
        <w:tblLook w:val="0000"/>
      </w:tblPr>
      <w:tblGrid>
        <w:gridCol w:w="3320"/>
        <w:gridCol w:w="5236"/>
      </w:tblGrid>
      <w:tr w:rsidTr="007C2E8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r w:rsidRPr="000A168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A168C" w:rsidP="000A168C">
            <w:pPr>
              <w:pStyle w:val="BodyText"/>
            </w:pPr>
            <w:r w:rsidRPr="000A168C">
              <w:t>This unit contains Employability Skills</w:t>
            </w:r>
          </w:p>
        </w:tc>
      </w:tr>
    </w:tbl>
    <w:p w:rsidR="007C2E82" w:rsidP="000A168C">
      <w:pPr>
        <w:pStyle w:val="BodyText"/>
      </w:pPr>
    </w:p>
    <w:p w:rsidR="007C2E82" w:rsidP="000A168C">
      <w:pPr>
        <w:pStyle w:val="BodyText"/>
      </w:pPr>
    </w:p>
    <w:p w:rsidR="00000000" w:rsidRPr="000A168C" w:rsidP="000A168C">
      <w:pPr>
        <w:pStyle w:val="Heading1"/>
      </w:pPr>
      <w:bookmarkStart w:id="7" w:name="O_289385"/>
      <w:bookmarkEnd w:id="7"/>
      <w:r w:rsidRPr="000A168C">
        <w:t>Elements and Performance Criteria Pre-Content</w:t>
      </w:r>
    </w:p>
    <w:tbl>
      <w:tblPr>
        <w:tblW w:w="0" w:type="auto"/>
        <w:tblLayout w:type="fixed"/>
        <w:tblCellMar>
          <w:left w:w="62" w:type="dxa"/>
          <w:right w:w="62" w:type="dxa"/>
        </w:tblCellMar>
        <w:tblLook w:val="0000"/>
      </w:tblPr>
      <w:tblGrid>
        <w:gridCol w:w="3369"/>
        <w:gridCol w:w="5702"/>
      </w:tblGrid>
      <w:tr w:rsidTr="007C2E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r w:rsidRPr="000A168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A168C" w:rsidP="000A168C">
            <w:pPr>
              <w:pStyle w:val="BodyText"/>
            </w:pPr>
            <w:r w:rsidRPr="000A168C">
              <w:t xml:space="preserve">The Performance </w:t>
            </w:r>
            <w:r w:rsidRPr="000A168C">
              <w:t xml:space="preserve">Criteria specify the level of performance required to demonstrate achievement of the Element. Terms in italics are elaborated in the Range Statement. </w:t>
            </w:r>
          </w:p>
        </w:tc>
      </w:tr>
    </w:tbl>
    <w:p w:rsidR="00000000" w:rsidRPr="000A168C" w:rsidP="000A168C">
      <w:pPr>
        <w:pStyle w:val="BodyText"/>
      </w:pPr>
    </w:p>
    <w:p w:rsidR="00000000" w:rsidRPr="000A168C" w:rsidP="000A168C">
      <w:pPr>
        <w:pStyle w:val="AllowPageBreak"/>
      </w:pPr>
    </w:p>
    <w:p w:rsidR="00000000" w:rsidRPr="000A168C" w:rsidP="000A168C">
      <w:pPr>
        <w:pStyle w:val="Heading1"/>
      </w:pPr>
      <w:bookmarkStart w:id="8" w:name="O_236052"/>
      <w:bookmarkEnd w:id="8"/>
      <w:r w:rsidRPr="000A168C">
        <w:t>Elements and Performance Criteria</w:t>
      </w:r>
    </w:p>
    <w:tbl>
      <w:tblPr>
        <w:tblW w:w="0" w:type="auto"/>
        <w:tblLayout w:type="fixed"/>
        <w:tblCellMar>
          <w:left w:w="62" w:type="dxa"/>
          <w:right w:w="62" w:type="dxa"/>
        </w:tblCellMar>
        <w:tblLook w:val="0000"/>
      </w:tblPr>
      <w:tblGrid>
        <w:gridCol w:w="3369"/>
        <w:gridCol w:w="5702"/>
      </w:tblGrid>
      <w:tr w:rsidTr="007C2E8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A168C" w:rsidP="000A168C">
            <w:pPr>
              <w:pStyle w:val="List"/>
            </w:pPr>
            <w:r w:rsidRPr="000A168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A168C">
            <w:pPr>
              <w:pStyle w:val="List"/>
              <w:rPr>
                <w:lang w:val="en-NZ"/>
              </w:rPr>
            </w:pPr>
            <w:r w:rsidRPr="000A168C">
              <w:rPr>
                <w:rStyle w:val="SpecialBold"/>
              </w:rPr>
              <w:t>PERFORMANCE CRITERIA</w:t>
            </w:r>
          </w:p>
        </w:tc>
      </w:tr>
      <w:tr w:rsidTr="007C2E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p>
        </w:tc>
      </w:tr>
      <w:tr w:rsidTr="007C2E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168C">
            <w:pPr>
              <w:pStyle w:val="List"/>
              <w:rPr>
                <w:lang w:val="en-NZ"/>
              </w:rPr>
            </w:pPr>
            <w:r w:rsidRPr="000A168C">
              <w:t>1.</w:t>
            </w:r>
            <w:r w:rsidRPr="000A168C">
              <w:tab/>
            </w:r>
            <w:r w:rsidRPr="000A168C">
              <w:t xml:space="preserve">Establish a positive relationship with the </w:t>
            </w:r>
            <w:r w:rsidRPr="000A168C">
              <w:rPr>
                <w:rStyle w:val="Emphasis"/>
              </w:rPr>
              <w:t>client</w:t>
            </w:r>
            <w:r w:rsidRPr="000A168C">
              <w:t xml:space="preserve"> </w:t>
            </w:r>
          </w:p>
        </w:tc>
        <w:tc>
          <w:tcPr>
            <w:tcW w:w="5702" w:type="dxa"/>
            <w:tcBorders>
              <w:top w:val="nil"/>
              <w:left w:val="nil"/>
              <w:bottom w:val="nil"/>
              <w:right w:val="nil"/>
            </w:tcBorders>
            <w:tcMar>
              <w:top w:w="0" w:type="dxa"/>
              <w:left w:w="62" w:type="dxa"/>
              <w:bottom w:w="0" w:type="dxa"/>
              <w:right w:w="62" w:type="dxa"/>
            </w:tcMar>
          </w:tcPr>
          <w:p w:rsidR="00000000" w:rsidRPr="000A168C" w:rsidP="000A168C">
            <w:pPr>
              <w:pStyle w:val="List"/>
            </w:pPr>
            <w:r w:rsidRPr="000A168C">
              <w:t>1.1</w:t>
            </w:r>
            <w:r w:rsidRPr="000A168C">
              <w:tab/>
              <w:t>Review prescription or customer record and explain procedures to the client</w:t>
            </w:r>
          </w:p>
          <w:p w:rsidR="00000000" w:rsidRPr="000A168C" w:rsidP="000A168C">
            <w:pPr>
              <w:pStyle w:val="List"/>
            </w:pPr>
            <w:r w:rsidRPr="000A168C">
              <w:t>1.2</w:t>
            </w:r>
            <w:r w:rsidRPr="000A168C">
              <w:tab/>
              <w:t xml:space="preserve">Determine client's needs and expectations </w:t>
            </w:r>
          </w:p>
          <w:p w:rsidR="00000000" w:rsidRPr="000A168C" w:rsidP="000A168C">
            <w:pPr>
              <w:pStyle w:val="List"/>
            </w:pPr>
            <w:r w:rsidRPr="000A168C">
              <w:t>1.3</w:t>
            </w:r>
            <w:r w:rsidRPr="000A168C">
              <w:tab/>
              <w:t xml:space="preserve">Give client the opportunity to ask questions and discuss concerns </w:t>
            </w:r>
          </w:p>
          <w:p w:rsidR="00000000" w:rsidRPr="000A168C" w:rsidP="000A168C">
            <w:pPr>
              <w:pStyle w:val="List"/>
            </w:pPr>
            <w:r w:rsidRPr="000A168C">
              <w:t>1.4</w:t>
            </w:r>
            <w:r w:rsidRPr="000A168C">
              <w:tab/>
            </w:r>
            <w:r w:rsidRPr="000A168C">
              <w:t xml:space="preserve">Gain </w:t>
            </w:r>
            <w:r w:rsidRPr="000A168C">
              <w:rPr>
                <w:rStyle w:val="Emphasis"/>
              </w:rPr>
              <w:t>informed consent</w:t>
            </w:r>
            <w:r w:rsidRPr="000A168C">
              <w:t xml:space="preserve"> from client where applicable</w:t>
            </w:r>
          </w:p>
          <w:p w:rsidR="00000000" w:rsidRPr="000A168C" w:rsidP="000A168C">
            <w:pPr>
              <w:pStyle w:val="List"/>
            </w:pPr>
            <w:r w:rsidRPr="000A168C">
              <w:t>1.5</w:t>
            </w:r>
            <w:r w:rsidRPr="000A168C">
              <w:tab/>
              <w:t>Identify and meet special needs of client</w:t>
            </w:r>
          </w:p>
          <w:p w:rsidR="00000000" w:rsidRPr="000A168C" w:rsidP="000A168C">
            <w:pPr>
              <w:pStyle w:val="List"/>
            </w:pPr>
            <w:r w:rsidRPr="000A168C">
              <w:t>1.6</w:t>
            </w:r>
            <w:r w:rsidRPr="000A168C">
              <w:tab/>
              <w:t xml:space="preserve">Maintain </w:t>
            </w:r>
            <w:r w:rsidRPr="000A168C">
              <w:rPr>
                <w:rStyle w:val="Emphasis"/>
              </w:rPr>
              <w:t>confidentiality of client information</w:t>
            </w:r>
          </w:p>
          <w:p w:rsidR="00000000" w:rsidRPr="000A168C" w:rsidP="000A168C">
            <w:pPr>
              <w:pStyle w:val="List"/>
            </w:pPr>
            <w:r w:rsidRPr="000A168C">
              <w:t>1.7</w:t>
            </w:r>
            <w:r w:rsidRPr="000A168C">
              <w:tab/>
              <w:t>Build rapport with the client</w:t>
            </w:r>
          </w:p>
          <w:p w:rsidR="00000000" w:rsidRPr="000A168C" w:rsidP="000A168C">
            <w:pPr>
              <w:pStyle w:val="List"/>
            </w:pPr>
            <w:r w:rsidRPr="000A168C">
              <w:t xml:space="preserve">1.8 </w:t>
            </w:r>
            <w:r w:rsidRPr="000A168C">
              <w:tab/>
              <w:t>Communicate clearly with the client throughout the discussion</w:t>
            </w:r>
          </w:p>
          <w:p w:rsidR="00000000" w:rsidRPr="000A168C" w:rsidP="000A168C">
            <w:pPr>
              <w:pStyle w:val="List"/>
            </w:pPr>
            <w:r w:rsidRPr="000A168C">
              <w:t>1.9</w:t>
            </w:r>
            <w:r w:rsidRPr="000A168C">
              <w:tab/>
              <w:t>Pro</w:t>
            </w:r>
            <w:r w:rsidRPr="000A168C">
              <w:t>vide feedback to the client</w:t>
            </w:r>
          </w:p>
          <w:p w:rsidR="00000000" w:rsidP="000A168C">
            <w:pPr>
              <w:pStyle w:val="List"/>
              <w:rPr>
                <w:lang w:val="en-NZ"/>
              </w:rPr>
            </w:pPr>
            <w:r w:rsidRPr="000A168C">
              <w:t>1.10</w:t>
            </w:r>
            <w:r w:rsidRPr="000A168C">
              <w:tab/>
              <w:t>Involve the client in the decision making process</w:t>
            </w:r>
          </w:p>
        </w:tc>
      </w:tr>
      <w:tr w:rsidTr="007C2E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p>
        </w:tc>
      </w:tr>
      <w:tr w:rsidTr="007C2E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168C">
            <w:pPr>
              <w:pStyle w:val="List"/>
              <w:rPr>
                <w:lang w:val="en-NZ"/>
              </w:rPr>
            </w:pPr>
            <w:r w:rsidRPr="000A168C">
              <w:t>2.</w:t>
            </w:r>
            <w:r w:rsidRPr="000A168C">
              <w:tab/>
              <w:t>Fit optical appliances to client</w:t>
            </w:r>
          </w:p>
        </w:tc>
        <w:tc>
          <w:tcPr>
            <w:tcW w:w="5702" w:type="dxa"/>
            <w:tcBorders>
              <w:top w:val="nil"/>
              <w:left w:val="nil"/>
              <w:bottom w:val="nil"/>
              <w:right w:val="nil"/>
            </w:tcBorders>
            <w:tcMar>
              <w:top w:w="0" w:type="dxa"/>
              <w:left w:w="62" w:type="dxa"/>
              <w:bottom w:w="0" w:type="dxa"/>
              <w:right w:w="62" w:type="dxa"/>
            </w:tcMar>
          </w:tcPr>
          <w:p w:rsidR="00000000" w:rsidRPr="000A168C" w:rsidP="000A168C">
            <w:pPr>
              <w:pStyle w:val="List"/>
            </w:pPr>
            <w:r w:rsidRPr="000A168C">
              <w:t>2.1</w:t>
            </w:r>
            <w:r w:rsidRPr="000A168C">
              <w:tab/>
              <w:t>Interpret prescription to determine the product most suited to the client's needs</w:t>
            </w:r>
          </w:p>
          <w:p w:rsidR="00000000" w:rsidRPr="000A168C" w:rsidP="000A168C">
            <w:pPr>
              <w:pStyle w:val="List"/>
            </w:pPr>
            <w:r w:rsidRPr="000A168C">
              <w:t>2.2</w:t>
            </w:r>
            <w:r w:rsidRPr="000A168C">
              <w:tab/>
              <w:t xml:space="preserve">Neutralise spectacles and take </w:t>
            </w:r>
            <w:r w:rsidRPr="000A168C">
              <w:rPr>
                <w:rStyle w:val="Emphasis"/>
              </w:rPr>
              <w:t>measurements</w:t>
            </w:r>
          </w:p>
          <w:p w:rsidR="00000000" w:rsidRPr="000A168C" w:rsidP="000A168C">
            <w:pPr>
              <w:pStyle w:val="List"/>
            </w:pPr>
            <w:r w:rsidRPr="000A168C">
              <w:t>2.3</w:t>
            </w:r>
            <w:r w:rsidRPr="000A168C">
              <w:tab/>
              <w:t>Determine the style and performance requirements of the optical appliance in consultation with the client and in accordance with manufacturer's recommended procedures and industry best practice</w:t>
            </w:r>
          </w:p>
          <w:p w:rsidR="00000000" w:rsidRPr="000A168C" w:rsidP="000A168C">
            <w:pPr>
              <w:pStyle w:val="List"/>
            </w:pPr>
            <w:r w:rsidRPr="000A168C">
              <w:t>2.4</w:t>
            </w:r>
            <w:r w:rsidRPr="000A168C">
              <w:tab/>
              <w:t xml:space="preserve">Explain to the client how the optical appliance will </w:t>
            </w:r>
            <w:r w:rsidRPr="000A168C">
              <w:t>meet the client's visual, functional and cosmetic needs</w:t>
            </w:r>
          </w:p>
          <w:p w:rsidR="00000000" w:rsidRPr="000A168C" w:rsidP="000A168C">
            <w:pPr>
              <w:pStyle w:val="List"/>
            </w:pPr>
            <w:r w:rsidRPr="000A168C">
              <w:t>2.5</w:t>
            </w:r>
            <w:r w:rsidRPr="000A168C">
              <w:tab/>
              <w:t>Take special needs of client into account in the fitting of optical appliances</w:t>
            </w:r>
          </w:p>
          <w:p w:rsidR="00000000" w:rsidRPr="000A168C" w:rsidP="000A168C">
            <w:pPr>
              <w:pStyle w:val="List"/>
            </w:pPr>
            <w:r w:rsidRPr="000A168C">
              <w:t>2.6</w:t>
            </w:r>
            <w:r w:rsidRPr="000A168C">
              <w:tab/>
              <w:t>Adjust frames to client to optimise visual performance</w:t>
            </w:r>
          </w:p>
          <w:p w:rsidR="00000000" w:rsidRPr="000A168C" w:rsidP="000A168C">
            <w:pPr>
              <w:pStyle w:val="List"/>
            </w:pPr>
            <w:r w:rsidRPr="000A168C">
              <w:t>2.7</w:t>
            </w:r>
            <w:r w:rsidRPr="000A168C">
              <w:tab/>
              <w:t>Ensure optical appliances meet acceptable hygiene stan</w:t>
            </w:r>
            <w:r w:rsidRPr="000A168C">
              <w:t>dards</w:t>
            </w:r>
          </w:p>
          <w:p w:rsidR="00000000" w:rsidRPr="000A168C" w:rsidP="000A168C">
            <w:pPr>
              <w:pStyle w:val="List"/>
            </w:pPr>
            <w:r w:rsidRPr="000A168C">
              <w:t>2.8</w:t>
            </w:r>
            <w:r w:rsidRPr="000A168C">
              <w:tab/>
              <w:t>Instruct client on correct use and care of appliance</w:t>
            </w:r>
          </w:p>
          <w:p w:rsidR="00000000" w:rsidP="000A168C">
            <w:pPr>
              <w:pStyle w:val="List"/>
              <w:rPr>
                <w:lang w:val="en-NZ"/>
              </w:rPr>
            </w:pPr>
            <w:r w:rsidRPr="000A168C">
              <w:t>2.9</w:t>
            </w:r>
            <w:r w:rsidRPr="000A168C">
              <w:tab/>
              <w:t>Give the client the opportunity to voice concerns in relation to optical appliance</w:t>
            </w:r>
          </w:p>
        </w:tc>
      </w:tr>
      <w:tr w:rsidTr="007C2E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p>
        </w:tc>
      </w:tr>
      <w:tr w:rsidTr="007C2E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168C">
            <w:pPr>
              <w:pStyle w:val="List"/>
              <w:rPr>
                <w:lang w:val="en-NZ"/>
              </w:rPr>
            </w:pPr>
            <w:r w:rsidRPr="000A168C">
              <w:t>3.</w:t>
            </w:r>
            <w:r w:rsidRPr="000A168C">
              <w:tab/>
              <w:t xml:space="preserve">Complete the </w:t>
            </w:r>
            <w:r w:rsidRPr="000A168C">
              <w:rPr>
                <w:rStyle w:val="Emphasis"/>
              </w:rPr>
              <w:t>transaction</w:t>
            </w:r>
          </w:p>
        </w:tc>
        <w:tc>
          <w:tcPr>
            <w:tcW w:w="5702" w:type="dxa"/>
            <w:tcBorders>
              <w:top w:val="nil"/>
              <w:left w:val="nil"/>
              <w:bottom w:val="nil"/>
              <w:right w:val="nil"/>
            </w:tcBorders>
            <w:tcMar>
              <w:top w:w="0" w:type="dxa"/>
              <w:left w:w="62" w:type="dxa"/>
              <w:bottom w:w="0" w:type="dxa"/>
              <w:right w:w="62" w:type="dxa"/>
            </w:tcMar>
          </w:tcPr>
          <w:p w:rsidR="00000000" w:rsidRPr="000A168C" w:rsidP="000A168C">
            <w:pPr>
              <w:pStyle w:val="List"/>
            </w:pPr>
            <w:r w:rsidRPr="000A168C">
              <w:t>3.1</w:t>
            </w:r>
            <w:r w:rsidRPr="000A168C">
              <w:tab/>
              <w:t xml:space="preserve">Complete financial transaction in accordance with </w:t>
            </w:r>
            <w:r w:rsidRPr="000A168C">
              <w:rPr>
                <w:rStyle w:val="Emphasis"/>
              </w:rPr>
              <w:t>relevant policies and procedures</w:t>
            </w:r>
          </w:p>
          <w:p w:rsidR="00000000" w:rsidRPr="000A168C" w:rsidP="000A168C">
            <w:pPr>
              <w:pStyle w:val="List"/>
            </w:pPr>
            <w:r w:rsidRPr="000A168C">
              <w:t>3.2</w:t>
            </w:r>
            <w:r w:rsidRPr="000A168C">
              <w:tab/>
              <w:t>Complete records in accordance with relevant policies and procedures</w:t>
            </w:r>
          </w:p>
          <w:p w:rsidR="00000000" w:rsidRPr="000A168C" w:rsidP="000A168C">
            <w:pPr>
              <w:pStyle w:val="List"/>
            </w:pPr>
            <w:r w:rsidRPr="000A168C">
              <w:t>3.3</w:t>
            </w:r>
            <w:r w:rsidRPr="000A168C">
              <w:tab/>
              <w:t>Present and store records in accordance with organisation and legal requirements</w:t>
            </w:r>
          </w:p>
          <w:p w:rsidR="00000000" w:rsidP="000A168C">
            <w:pPr>
              <w:pStyle w:val="List"/>
              <w:rPr>
                <w:lang w:val="en-NZ"/>
              </w:rPr>
            </w:pPr>
            <w:r w:rsidRPr="000A168C">
              <w:t>3.4</w:t>
            </w:r>
            <w:r w:rsidRPr="000A168C">
              <w:tab/>
              <w:t>Complete documentation in accordance with organisation requir</w:t>
            </w:r>
            <w:r w:rsidRPr="000A168C">
              <w:t>ements and with industry standards</w:t>
            </w:r>
          </w:p>
        </w:tc>
      </w:tr>
      <w:tr w:rsidTr="007C2E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p>
        </w:tc>
      </w:tr>
      <w:tr w:rsidTr="007C2E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168C">
            <w:pPr>
              <w:pStyle w:val="List"/>
              <w:rPr>
                <w:lang w:val="en-NZ"/>
              </w:rPr>
            </w:pPr>
            <w:r w:rsidRPr="000A168C">
              <w:t>4.</w:t>
            </w:r>
            <w:r w:rsidRPr="000A168C">
              <w:tab/>
              <w:t>Provide follow up service to client</w:t>
            </w:r>
          </w:p>
        </w:tc>
        <w:tc>
          <w:tcPr>
            <w:tcW w:w="5702" w:type="dxa"/>
            <w:tcBorders>
              <w:top w:val="nil"/>
              <w:left w:val="nil"/>
              <w:bottom w:val="nil"/>
              <w:right w:val="nil"/>
            </w:tcBorders>
            <w:tcMar>
              <w:top w:w="0" w:type="dxa"/>
              <w:left w:w="62" w:type="dxa"/>
              <w:bottom w:w="0" w:type="dxa"/>
              <w:right w:w="62" w:type="dxa"/>
            </w:tcMar>
          </w:tcPr>
          <w:p w:rsidR="00000000" w:rsidRPr="000A168C" w:rsidP="000A168C">
            <w:pPr>
              <w:pStyle w:val="List"/>
            </w:pPr>
            <w:r w:rsidRPr="000A168C">
              <w:t>4.1</w:t>
            </w:r>
            <w:r w:rsidRPr="000A168C">
              <w:tab/>
              <w:t xml:space="preserve">Recommend client follow up </w:t>
            </w:r>
          </w:p>
          <w:p w:rsidR="00000000" w:rsidRPr="000A168C" w:rsidP="000A168C">
            <w:pPr>
              <w:pStyle w:val="List"/>
            </w:pPr>
            <w:r w:rsidRPr="000A168C">
              <w:t>4.2</w:t>
            </w:r>
            <w:r w:rsidRPr="000A168C">
              <w:tab/>
              <w:t xml:space="preserve">Modify fit as required </w:t>
            </w:r>
          </w:p>
          <w:p w:rsidR="00000000" w:rsidRPr="000A168C" w:rsidP="000A168C">
            <w:pPr>
              <w:pStyle w:val="List"/>
            </w:pPr>
            <w:r w:rsidRPr="000A168C">
              <w:t>4.3</w:t>
            </w:r>
            <w:r w:rsidRPr="000A168C">
              <w:tab/>
              <w:t xml:space="preserve">Review client outcomes and compare to client's goals </w:t>
            </w:r>
          </w:p>
          <w:p w:rsidR="00000000" w:rsidRPr="000A168C" w:rsidP="000A168C">
            <w:pPr>
              <w:pStyle w:val="List"/>
            </w:pPr>
            <w:r w:rsidRPr="000A168C">
              <w:t>4.4</w:t>
            </w:r>
            <w:r w:rsidRPr="000A168C">
              <w:tab/>
              <w:t>Provide information in relation to additional support se</w:t>
            </w:r>
            <w:r w:rsidRPr="000A168C">
              <w:t xml:space="preserve">rvices are provided to the client </w:t>
            </w:r>
          </w:p>
        </w:tc>
      </w:tr>
    </w:tbl>
    <w:p w:rsidR="007C2E82" w:rsidP="000A168C">
      <w:pPr>
        <w:pStyle w:val="BodyText"/>
      </w:pPr>
    </w:p>
    <w:p w:rsidR="007C2E82" w:rsidP="000A168C">
      <w:pPr>
        <w:pStyle w:val="BodyText"/>
      </w:pPr>
    </w:p>
    <w:p w:rsidR="00000000" w:rsidRPr="000A168C" w:rsidP="000A168C">
      <w:pPr>
        <w:pStyle w:val="Heading1"/>
      </w:pPr>
      <w:bookmarkStart w:id="9" w:name="O_260002"/>
      <w:bookmarkEnd w:id="9"/>
      <w:r w:rsidRPr="000A168C">
        <w:t>Required Skills and Knowledge</w:t>
      </w:r>
    </w:p>
    <w:tbl>
      <w:tblPr>
        <w:tblW w:w="0" w:type="auto"/>
        <w:tblLayout w:type="fixed"/>
        <w:tblCellMar>
          <w:left w:w="62" w:type="dxa"/>
          <w:right w:w="62" w:type="dxa"/>
        </w:tblCellMar>
        <w:tblLook w:val="0000"/>
      </w:tblPr>
      <w:tblGrid>
        <w:gridCol w:w="9072"/>
      </w:tblGrid>
      <w:tr w:rsidTr="007C2E8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r w:rsidRPr="000A168C">
              <w:rPr>
                <w:rStyle w:val="SpecialBold"/>
              </w:rPr>
              <w:t>REQUIRED SKILLS AND KNOWLEDGE</w:t>
            </w:r>
          </w:p>
        </w:tc>
      </w:tr>
      <w:tr w:rsidTr="007C2E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p>
        </w:tc>
      </w:tr>
      <w:tr w:rsidTr="007C2E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r w:rsidRPr="000A168C">
              <w:t>This describes the essential skills and knowledge and their level required for this unit.</w:t>
            </w:r>
          </w:p>
        </w:tc>
      </w:tr>
      <w:tr w:rsidTr="007C2E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p>
        </w:tc>
      </w:tr>
      <w:tr w:rsidTr="007C2E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A168C" w:rsidP="000A168C">
            <w:pPr>
              <w:pStyle w:val="BodyText"/>
            </w:pPr>
            <w:r w:rsidRPr="000A168C">
              <w:rPr>
                <w:rStyle w:val="Emphasis"/>
              </w:rPr>
              <w:t>Essential knowledge</w:t>
            </w:r>
            <w:r w:rsidRPr="000A168C">
              <w:t>:</w:t>
            </w:r>
          </w:p>
          <w:p w:rsidR="00000000" w:rsidRPr="000A168C" w:rsidP="000A168C">
            <w:pPr>
              <w:pStyle w:val="BodyText"/>
            </w:pPr>
            <w:r w:rsidRPr="000A168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A168C" w:rsidP="000A168C">
            <w:pPr>
              <w:pStyle w:val="BodyText"/>
            </w:pPr>
            <w:r w:rsidRPr="000A168C">
              <w:t xml:space="preserve">This includes </w:t>
            </w:r>
            <w:r w:rsidRPr="000A168C">
              <w:t>knowledge of:</w:t>
            </w:r>
          </w:p>
          <w:p w:rsidR="00000000" w:rsidRPr="000A168C" w:rsidP="000A168C">
            <w:pPr>
              <w:pStyle w:val="ListBullet"/>
            </w:pPr>
            <w:r w:rsidRPr="000A168C">
              <w:t>Astigmatic lenses including:</w:t>
            </w:r>
          </w:p>
          <w:p w:rsidR="00000000" w:rsidRPr="000A168C" w:rsidP="000A168C">
            <w:pPr>
              <w:pStyle w:val="ListBullet2"/>
            </w:pPr>
            <w:r w:rsidRPr="000A168C">
              <w:t>how to perform calculations related to the application of astigmatic lenses in optical prescriptions</w:t>
            </w:r>
          </w:p>
          <w:p w:rsidR="00000000" w:rsidRPr="000A168C" w:rsidP="000A168C">
            <w:pPr>
              <w:pStyle w:val="ListBullet2"/>
            </w:pPr>
            <w:r w:rsidRPr="000A168C">
              <w:t>nature of astigmatism</w:t>
            </w:r>
          </w:p>
          <w:p w:rsidR="00000000" w:rsidRPr="000A168C" w:rsidP="000A168C">
            <w:pPr>
              <w:pStyle w:val="ListBullet2"/>
            </w:pPr>
            <w:r w:rsidRPr="000A168C">
              <w:t>the difference between cylindrical and astigmatic lenses</w:t>
            </w:r>
          </w:p>
          <w:p w:rsidR="00000000" w:rsidRPr="000A168C" w:rsidP="000A168C">
            <w:pPr>
              <w:pStyle w:val="ListBullet2"/>
            </w:pPr>
            <w:r w:rsidRPr="000A168C">
              <w:t>various forms of astigmatic lenses</w:t>
            </w:r>
          </w:p>
          <w:p w:rsidR="00000000" w:rsidRPr="000A168C" w:rsidP="000A168C">
            <w:pPr>
              <w:pStyle w:val="ListBullet"/>
            </w:pPr>
            <w:r w:rsidRPr="000A168C">
              <w:t>Contact lenses including:</w:t>
            </w:r>
          </w:p>
          <w:p w:rsidR="00000000" w:rsidRPr="000A168C" w:rsidP="000A168C">
            <w:pPr>
              <w:pStyle w:val="ListBullet2"/>
            </w:pPr>
            <w:r w:rsidRPr="000A168C">
              <w:t>acceptable hygiene standards</w:t>
            </w:r>
          </w:p>
          <w:p w:rsidR="00000000" w:rsidRPr="000A168C" w:rsidP="000A168C">
            <w:pPr>
              <w:pStyle w:val="ListBullet2"/>
            </w:pPr>
            <w:r w:rsidRPr="000A168C">
              <w:t xml:space="preserve">Australian Standards for completed spectacles </w:t>
            </w:r>
          </w:p>
          <w:p w:rsidR="00000000" w:rsidRPr="000A168C" w:rsidP="000A168C">
            <w:pPr>
              <w:pStyle w:val="ListBullet2"/>
            </w:pPr>
            <w:r w:rsidRPr="000A168C">
              <w:t>examples of causes of wearing problems and demonstrate an awareness of appropriate referral protocol and procedures</w:t>
            </w:r>
          </w:p>
          <w:p w:rsidR="00000000" w:rsidRPr="000A168C" w:rsidP="000A168C">
            <w:pPr>
              <w:pStyle w:val="ListBullet2"/>
            </w:pPr>
            <w:r w:rsidRPr="000A168C">
              <w:t>h</w:t>
            </w:r>
            <w:r w:rsidRPr="000A168C">
              <w:t>ealth fund and rebate requirements</w:t>
            </w:r>
          </w:p>
          <w:p w:rsidR="00000000" w:rsidRPr="000A168C" w:rsidP="000A168C">
            <w:pPr>
              <w:pStyle w:val="ListBullet2"/>
            </w:pPr>
            <w:r w:rsidRPr="000A168C">
              <w:t>lens hygiene and the correct procedures for lens maintenance</w:t>
            </w:r>
          </w:p>
          <w:p w:rsidR="00000000" w:rsidRPr="000A168C" w:rsidP="000A168C">
            <w:pPr>
              <w:pStyle w:val="ListBullet2"/>
            </w:pPr>
            <w:r w:rsidRPr="000A168C">
              <w:t>relevant Quality Assurance Standards</w:t>
            </w:r>
          </w:p>
          <w:p w:rsidR="00000000" w:rsidRPr="000A168C" w:rsidP="000A168C">
            <w:pPr>
              <w:pStyle w:val="ListBullet2"/>
            </w:pPr>
            <w:r w:rsidRPr="000A168C">
              <w:t>the correct methods of contact lens handling, insertion and removal</w:t>
            </w:r>
          </w:p>
          <w:p w:rsidR="00000000" w:rsidRPr="000A168C" w:rsidP="000A168C">
            <w:pPr>
              <w:pStyle w:val="ListBullet2"/>
            </w:pPr>
            <w:r w:rsidRPr="000A168C">
              <w:t>the parameters of contact lenses from prescription data</w:t>
            </w:r>
            <w:r w:rsidRPr="000A168C">
              <w:t xml:space="preserve"> supplied and describing how lenses are manufactured</w:t>
            </w:r>
          </w:p>
          <w:p w:rsidR="00000000" w:rsidRPr="000A168C" w:rsidP="000A168C">
            <w:pPr>
              <w:pStyle w:val="ListBullet"/>
            </w:pPr>
            <w:r w:rsidRPr="000A168C">
              <w:t xml:space="preserve">Commonly occurring problems and potential solutions in a dispensing situation </w:t>
            </w:r>
          </w:p>
          <w:p w:rsidR="00000000" w:rsidRPr="000A168C" w:rsidP="000A168C">
            <w:pPr>
              <w:pStyle w:val="ListBullet"/>
            </w:pPr>
            <w:r w:rsidRPr="000A168C">
              <w:t>How to determine criteria influencing dispensing procedures necessary for aspherics</w:t>
            </w:r>
          </w:p>
          <w:p w:rsidR="00000000" w:rsidRPr="000A168C" w:rsidP="000A168C">
            <w:pPr>
              <w:pStyle w:val="ListBullet"/>
            </w:pPr>
            <w:r w:rsidRPr="000A168C">
              <w:t>Light including:</w:t>
            </w:r>
          </w:p>
          <w:p w:rsidR="00000000" w:rsidRPr="000A168C" w:rsidP="000A168C">
            <w:pPr>
              <w:pStyle w:val="ListBullet2"/>
            </w:pPr>
            <w:r w:rsidRPr="000A168C">
              <w:t>calculation of angles of incidence, refraction, deviation and critical angles</w:t>
            </w:r>
          </w:p>
          <w:p w:rsidR="00000000" w:rsidRPr="000A168C" w:rsidP="000A168C">
            <w:pPr>
              <w:pStyle w:val="ListBullet2"/>
            </w:pPr>
            <w:r w:rsidRPr="000A168C">
              <w:t>contemporary theories of light</w:t>
            </w:r>
          </w:p>
          <w:p w:rsidR="00000000" w:rsidRPr="000A168C" w:rsidP="000A168C">
            <w:pPr>
              <w:pStyle w:val="ListBullet2"/>
            </w:pPr>
            <w:r w:rsidRPr="000A168C">
              <w:t>how light is propagated and explain how commonly observed effects may occur</w:t>
            </w:r>
          </w:p>
          <w:p w:rsidR="00000000" w:rsidRPr="000A168C" w:rsidP="000A168C">
            <w:pPr>
              <w:pStyle w:val="ListBullet2"/>
            </w:pPr>
            <w:r w:rsidRPr="000A168C">
              <w:t>various light-induced phenomena</w:t>
            </w:r>
          </w:p>
          <w:p w:rsidR="00000000" w:rsidRPr="000A168C" w:rsidP="000A168C">
            <w:pPr>
              <w:pStyle w:val="ListBullet"/>
            </w:pPr>
            <w:r w:rsidRPr="000A168C">
              <w:t>Multifocal and progressive lenses incl</w:t>
            </w:r>
            <w:r w:rsidRPr="000A168C">
              <w:t>uding:</w:t>
            </w:r>
          </w:p>
          <w:p w:rsidR="00000000" w:rsidRPr="000A168C" w:rsidP="000A168C">
            <w:pPr>
              <w:pStyle w:val="ListBullet2"/>
            </w:pPr>
            <w:r w:rsidRPr="000A168C">
              <w:t>appropriate formulae when performing calculations related to multifocal and progressive lenses</w:t>
            </w:r>
          </w:p>
          <w:p w:rsidR="00000000" w:rsidRPr="000A168C" w:rsidP="000A168C">
            <w:pPr>
              <w:pStyle w:val="ListBullet2"/>
            </w:pPr>
            <w:r w:rsidRPr="000A168C">
              <w:t>the range of multifocal and progressive lenses available</w:t>
            </w:r>
          </w:p>
          <w:p w:rsidR="00000000" w:rsidRPr="000A168C" w:rsidP="000A168C">
            <w:pPr>
              <w:pStyle w:val="ListBullet"/>
            </w:pPr>
            <w:r w:rsidRPr="000A168C">
              <w:t>Ophthalmic prism including:</w:t>
            </w:r>
          </w:p>
          <w:p w:rsidR="00000000" w:rsidRPr="000A168C" w:rsidP="000A168C">
            <w:pPr>
              <w:pStyle w:val="ListBullet2"/>
            </w:pPr>
            <w:r w:rsidRPr="000A168C">
              <w:t>effects of ophthalmic prism upon the eyes, and the need for</w:t>
            </w:r>
            <w:r w:rsidRPr="000A168C">
              <w:br/>
              <w:t>ophtha</w:t>
            </w:r>
            <w:r w:rsidRPr="000A168C">
              <w:t>lmic prism in prescriptions</w:t>
            </w:r>
          </w:p>
          <w:p w:rsidR="00000000" w:rsidRPr="000A168C" w:rsidP="000A168C">
            <w:pPr>
              <w:pStyle w:val="ListBullet2"/>
            </w:pPr>
            <w:r w:rsidRPr="000A168C">
              <w:t>solving by both calculation and graphical methods, a variety of prism</w:t>
            </w:r>
            <w:r w:rsidRPr="000A168C">
              <w:br/>
              <w:t>problems</w:t>
            </w:r>
          </w:p>
          <w:p w:rsidR="00000000" w:rsidRPr="000A168C" w:rsidP="000A168C">
            <w:pPr>
              <w:pStyle w:val="ListBullet2"/>
            </w:pPr>
            <w:r w:rsidRPr="000A168C">
              <w:t>the relationship between lens power, decentration and prism</w:t>
            </w:r>
          </w:p>
          <w:p w:rsidR="00000000" w:rsidRPr="000A168C" w:rsidP="000A168C">
            <w:pPr>
              <w:pStyle w:val="ListBullet2"/>
            </w:pPr>
            <w:r w:rsidRPr="000A168C">
              <w:t>the use of a tangent scale to measure ophthalmic prism</w:t>
            </w:r>
          </w:p>
          <w:p w:rsidR="00000000" w:rsidP="000A168C">
            <w:pPr>
              <w:pStyle w:val="BodyText"/>
              <w:rPr>
                <w:lang w:val="en-NZ"/>
              </w:rPr>
            </w:pPr>
            <w:r w:rsidRPr="000A168C">
              <w:rPr>
                <w:rStyle w:val="Emphasis"/>
              </w:rPr>
              <w:t>continued</w:t>
            </w:r>
            <w:r w:rsidRPr="000A168C">
              <w:t xml:space="preserve"> ...</w:t>
            </w:r>
          </w:p>
        </w:tc>
      </w:tr>
      <w:tr w:rsidTr="007C2E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A168C" w:rsidP="000A168C">
            <w:pPr>
              <w:pStyle w:val="BodyText"/>
            </w:pPr>
            <w:r w:rsidRPr="000A168C">
              <w:rPr>
                <w:rStyle w:val="Emphasis"/>
              </w:rPr>
              <w:t>Essential knowledge</w:t>
            </w:r>
            <w:r w:rsidRPr="000A168C">
              <w:t xml:space="preserve"> (</w:t>
            </w:r>
            <w:r w:rsidRPr="000A168C">
              <w:rPr>
                <w:rStyle w:val="Emphasis"/>
              </w:rPr>
              <w:t>contd</w:t>
            </w:r>
            <w:r w:rsidRPr="000A168C">
              <w:t>):</w:t>
            </w:r>
          </w:p>
          <w:p w:rsidR="00000000" w:rsidRPr="000A168C" w:rsidP="000A168C">
            <w:pPr>
              <w:pStyle w:val="ListBullet"/>
            </w:pPr>
            <w:r w:rsidRPr="000A168C">
              <w:t>Spherical lenses including:</w:t>
            </w:r>
          </w:p>
          <w:p w:rsidR="00000000" w:rsidRPr="000A168C" w:rsidP="000A168C">
            <w:pPr>
              <w:pStyle w:val="ListBullet2"/>
            </w:pPr>
            <w:r w:rsidRPr="000A168C">
              <w:t>concepts of vergence and demonstration of its use in optical calculations</w:t>
            </w:r>
          </w:p>
          <w:p w:rsidR="00000000" w:rsidRPr="000A168C" w:rsidP="000A168C">
            <w:pPr>
              <w:pStyle w:val="ListBullet2"/>
            </w:pPr>
            <w:r w:rsidRPr="000A168C">
              <w:t>how to construct diagrams to illustrate image formation using simple ray-tracing techniques</w:t>
            </w:r>
          </w:p>
          <w:p w:rsidR="00000000" w:rsidRPr="000A168C" w:rsidP="000A168C">
            <w:pPr>
              <w:pStyle w:val="ListBullet2"/>
            </w:pPr>
            <w:r w:rsidRPr="000A168C">
              <w:t>refractive effects of a lens as the sum of its two surface powers</w:t>
            </w:r>
          </w:p>
          <w:p w:rsidR="00000000" w:rsidRPr="000A168C" w:rsidP="000A168C">
            <w:pPr>
              <w:pStyle w:val="ListBullet2"/>
            </w:pPr>
            <w:r w:rsidRPr="000A168C">
              <w:t>refractive properties of spherical lens surfaces</w:t>
            </w:r>
          </w:p>
          <w:p w:rsidR="00000000" w:rsidRPr="000A168C" w:rsidP="000A168C">
            <w:pPr>
              <w:pStyle w:val="ListBullet"/>
            </w:pPr>
            <w:r w:rsidRPr="000A168C">
              <w:t>The effect produced by varying the index, diameter, prismatic specifications, or form of a lens</w:t>
            </w:r>
          </w:p>
          <w:p w:rsidR="00000000" w:rsidRPr="000A168C" w:rsidP="000A168C">
            <w:pPr>
              <w:pStyle w:val="ListBullet"/>
            </w:pPr>
            <w:r w:rsidRPr="000A168C">
              <w:t>The requirements of dispensing spectacles to</w:t>
            </w:r>
            <w:r w:rsidRPr="000A168C">
              <w:t xml:space="preserve"> clients with special</w:t>
            </w:r>
            <w:r w:rsidRPr="000A168C">
              <w:br/>
              <w:t>or complex needs, including:</w:t>
            </w:r>
          </w:p>
          <w:p w:rsidR="00000000" w:rsidRPr="000A168C" w:rsidP="000A168C">
            <w:pPr>
              <w:pStyle w:val="ListBullet2"/>
            </w:pPr>
            <w:r w:rsidRPr="000A168C">
              <w:t>commonly occurring problems in a dispensing situation and outline possible solutions</w:t>
            </w:r>
          </w:p>
          <w:p w:rsidR="00000000" w:rsidRPr="000A168C" w:rsidP="000A168C">
            <w:pPr>
              <w:pStyle w:val="ListBullet2"/>
            </w:pPr>
            <w:r w:rsidRPr="000A168C">
              <w:t>the appropriate action to be taken according to prescription requirements and the special needs of the client</w:t>
            </w:r>
          </w:p>
          <w:p w:rsidR="00000000" w:rsidRPr="000A168C" w:rsidP="000A168C">
            <w:pPr>
              <w:pStyle w:val="ListBullet2"/>
            </w:pPr>
            <w:r w:rsidRPr="000A168C">
              <w:t>the low v</w:t>
            </w:r>
            <w:r w:rsidRPr="000A168C">
              <w:t>ision and how various aids may be used to assist</w:t>
            </w:r>
            <w:r w:rsidRPr="000A168C">
              <w:br/>
              <w:t>such clients</w:t>
            </w:r>
          </w:p>
          <w:p w:rsidR="00000000" w:rsidRPr="000A168C" w:rsidP="000A168C">
            <w:pPr>
              <w:pStyle w:val="ListBullet2"/>
            </w:pPr>
            <w:r w:rsidRPr="000A168C">
              <w:t>visual screening and define visual occupational health and safety requirements in industry</w:t>
            </w:r>
          </w:p>
          <w:p w:rsidR="00000000" w:rsidRPr="000A168C" w:rsidP="000A168C">
            <w:pPr>
              <w:pStyle w:val="ListBullet"/>
            </w:pPr>
            <w:r w:rsidRPr="000A168C">
              <w:t>Types of ophthalmic lenses and spectacle frames and their performance characteristics</w:t>
            </w:r>
          </w:p>
          <w:p w:rsidR="00000000" w:rsidRPr="000A168C" w:rsidP="000A168C">
            <w:pPr>
              <w:pStyle w:val="ListBullet"/>
            </w:pPr>
            <w:r w:rsidRPr="000A168C">
              <w:t>The concepts and</w:t>
            </w:r>
            <w:r w:rsidRPr="000A168C">
              <w:t xml:space="preserve"> principles behind the design of spectacle lenses including:</w:t>
            </w:r>
          </w:p>
          <w:p w:rsidR="00000000" w:rsidRPr="000A168C" w:rsidP="000A168C">
            <w:pPr>
              <w:pStyle w:val="ListBullet2"/>
            </w:pPr>
            <w:r w:rsidRPr="000A168C">
              <w:t>examples of current lens designs</w:t>
            </w:r>
          </w:p>
          <w:p w:rsidR="00000000" w:rsidRPr="000A168C" w:rsidP="000A168C">
            <w:pPr>
              <w:pStyle w:val="ListBullet2"/>
            </w:pPr>
            <w:r w:rsidRPr="000A168C">
              <w:t>how lens aberrations can be corrected or reduced</w:t>
            </w:r>
          </w:p>
          <w:p w:rsidR="00000000" w:rsidRPr="000A168C" w:rsidP="000A168C">
            <w:pPr>
              <w:pStyle w:val="ListBullet2"/>
            </w:pPr>
            <w:r w:rsidRPr="000A168C">
              <w:t>how to determine and specify appropriate lens design</w:t>
            </w:r>
          </w:p>
          <w:p w:rsidR="00000000" w:rsidRPr="000A168C" w:rsidP="000A168C">
            <w:pPr>
              <w:pStyle w:val="ListBullet2"/>
            </w:pPr>
            <w:r w:rsidRPr="000A168C">
              <w:t>the design and performance of spectacle lenses</w:t>
            </w:r>
          </w:p>
          <w:p w:rsidR="00000000" w:rsidRPr="000A168C" w:rsidP="000A168C">
            <w:pPr>
              <w:pStyle w:val="ListBullet2"/>
            </w:pPr>
            <w:r w:rsidRPr="000A168C">
              <w:t>the function of aspheric lens designs</w:t>
            </w:r>
          </w:p>
          <w:p w:rsidR="00000000" w:rsidRPr="000A168C" w:rsidP="000A168C">
            <w:pPr>
              <w:pStyle w:val="ListBullet2"/>
            </w:pPr>
            <w:r w:rsidRPr="000A168C">
              <w:t>the six main types of aberrations which are encountered in specific lenses</w:t>
            </w:r>
          </w:p>
          <w:p w:rsidR="00000000" w:rsidRPr="000A168C" w:rsidP="000A168C">
            <w:pPr>
              <w:pStyle w:val="ListBullet"/>
            </w:pPr>
            <w:r w:rsidRPr="000A168C">
              <w:t>Understand the criteria influencing dispensing procedures for aspherics</w:t>
            </w:r>
          </w:p>
          <w:p w:rsidR="00000000" w:rsidRPr="000A168C" w:rsidP="000A168C">
            <w:pPr>
              <w:pStyle w:val="ListBullet"/>
            </w:pPr>
            <w:r w:rsidRPr="000A168C">
              <w:t>Understand the rationale for the design of a range of available multif</w:t>
            </w:r>
            <w:r w:rsidRPr="000A168C">
              <w:t>ocals</w:t>
            </w:r>
          </w:p>
          <w:p w:rsidR="00000000" w:rsidRPr="000A168C" w:rsidP="000A168C">
            <w:pPr>
              <w:pStyle w:val="ListBullet"/>
            </w:pPr>
            <w:r w:rsidRPr="000A168C">
              <w:t>Visual physiology including:</w:t>
            </w:r>
          </w:p>
          <w:p w:rsidR="00000000" w:rsidRPr="000A168C" w:rsidP="000A168C">
            <w:pPr>
              <w:pStyle w:val="ListBullet2"/>
            </w:pPr>
            <w:r w:rsidRPr="000A168C">
              <w:t>common disorders of the eye</w:t>
            </w:r>
          </w:p>
          <w:p w:rsidR="00000000" w:rsidRPr="000A168C" w:rsidP="000A168C">
            <w:pPr>
              <w:pStyle w:val="ListBullet2"/>
            </w:pPr>
            <w:r w:rsidRPr="000A168C">
              <w:t>structure of the human eye and its physiological functioning</w:t>
            </w:r>
          </w:p>
          <w:p w:rsidR="00000000" w:rsidRPr="000A168C" w:rsidP="000A168C">
            <w:pPr>
              <w:pStyle w:val="ListBullet2"/>
            </w:pPr>
            <w:r w:rsidRPr="000A168C">
              <w:t>the procedures involved in cataract extraction with intra-ocular lens</w:t>
            </w:r>
            <w:r w:rsidRPr="000A168C">
              <w:br/>
              <w:t>implant and refractive surgery</w:t>
            </w:r>
          </w:p>
          <w:p w:rsidR="00000000" w:rsidP="000A168C">
            <w:pPr>
              <w:pStyle w:val="ListBullet2"/>
              <w:rPr>
                <w:lang w:val="en-NZ"/>
              </w:rPr>
            </w:pPr>
            <w:r w:rsidRPr="000A168C">
              <w:t>the processes and assessment o</w:t>
            </w:r>
            <w:r w:rsidRPr="000A168C">
              <w:t>f vision, colour vision and perception</w:t>
            </w:r>
          </w:p>
        </w:tc>
      </w:tr>
      <w:tr w:rsidTr="007C2E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p>
        </w:tc>
      </w:tr>
      <w:tr w:rsidTr="007C2E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A168C" w:rsidP="000A168C">
            <w:pPr>
              <w:pStyle w:val="BodyText"/>
            </w:pPr>
            <w:r w:rsidRPr="000A168C">
              <w:rPr>
                <w:rStyle w:val="Emphasis"/>
              </w:rPr>
              <w:t>Essential skills</w:t>
            </w:r>
            <w:r w:rsidRPr="000A168C">
              <w:t>:</w:t>
            </w:r>
          </w:p>
          <w:p w:rsidR="00000000" w:rsidRPr="000A168C" w:rsidP="000A168C">
            <w:pPr>
              <w:pStyle w:val="BodyText"/>
            </w:pPr>
            <w:r w:rsidRPr="000A168C">
              <w:t>It is critical that the candidate demonstrate the ability to effectively do the task outlined in elements and performance criteria of this unit, manage the task and manage contingencies in the context of the identified work role</w:t>
            </w:r>
          </w:p>
          <w:p w:rsidR="00000000" w:rsidRPr="000A168C" w:rsidP="000A168C">
            <w:pPr>
              <w:pStyle w:val="BodyText"/>
            </w:pPr>
            <w:r w:rsidRPr="000A168C">
              <w:t>This includes the ability t</w:t>
            </w:r>
            <w:r w:rsidRPr="000A168C">
              <w:t>o:</w:t>
            </w:r>
          </w:p>
          <w:p w:rsidR="00000000" w:rsidRPr="000A168C" w:rsidP="000A168C">
            <w:pPr>
              <w:pStyle w:val="ListBullet"/>
            </w:pPr>
            <w:r w:rsidRPr="000A168C">
              <w:t>Accurately analyse the performance of an optical appliance and determine whether this meets specifications</w:t>
            </w:r>
          </w:p>
          <w:p w:rsidR="00000000" w:rsidRPr="000A168C" w:rsidP="000A168C">
            <w:pPr>
              <w:pStyle w:val="ListBullet"/>
            </w:pPr>
            <w:r w:rsidRPr="000A168C">
              <w:t>Anticipate, identify and solve problems encountered when dispensing spectacles including:</w:t>
            </w:r>
          </w:p>
          <w:p w:rsidR="00000000" w:rsidRPr="000A168C" w:rsidP="000A168C">
            <w:pPr>
              <w:pStyle w:val="ListBullet2"/>
            </w:pPr>
            <w:r w:rsidRPr="000A168C">
              <w:t>how to visualise the completed spectacles to anticipat</w:t>
            </w:r>
            <w:r w:rsidRPr="000A168C">
              <w:t>e problems with weight, lens thickness, centration or curvature</w:t>
            </w:r>
          </w:p>
          <w:p w:rsidR="00000000" w:rsidRPr="000A168C" w:rsidP="000A168C">
            <w:pPr>
              <w:pStyle w:val="ListBullet2"/>
            </w:pPr>
            <w:r w:rsidRPr="000A168C">
              <w:t>the steps in spectacle hand-over</w:t>
            </w:r>
          </w:p>
          <w:p w:rsidR="00000000" w:rsidRPr="000A168C" w:rsidP="000A168C">
            <w:pPr>
              <w:pStyle w:val="ListBullet2"/>
            </w:pPr>
            <w:r w:rsidRPr="000A168C">
              <w:t>how to identify and remedy wearing problems commonly occurring with the completed spectacles</w:t>
            </w:r>
          </w:p>
          <w:p w:rsidR="00000000" w:rsidRPr="000A168C" w:rsidP="000A168C">
            <w:pPr>
              <w:pStyle w:val="ListBullet2"/>
            </w:pPr>
            <w:r w:rsidRPr="000A168C">
              <w:t>how to determine the specifications and parameters when dispensing multifocal and progressive lenses for a client</w:t>
            </w:r>
          </w:p>
          <w:p w:rsidR="00000000" w:rsidRPr="000A168C" w:rsidP="000A168C">
            <w:pPr>
              <w:pStyle w:val="ListBullet"/>
            </w:pPr>
            <w:r w:rsidRPr="000A168C">
              <w:t xml:space="preserve">Apply a range of strategies to resolve problems encountered in supplying optical appliances in accordance with industry best practice </w:t>
            </w:r>
          </w:p>
          <w:p w:rsidR="00000000" w:rsidRPr="000A168C" w:rsidP="000A168C">
            <w:pPr>
              <w:pStyle w:val="ListBullet"/>
            </w:pPr>
            <w:r w:rsidRPr="000A168C">
              <w:t xml:space="preserve">Apply </w:t>
            </w:r>
            <w:r w:rsidRPr="000A168C">
              <w:t>Australian Standards to verification of completed spectacles</w:t>
            </w:r>
          </w:p>
          <w:p w:rsidR="00000000" w:rsidRPr="000A168C" w:rsidP="000A168C">
            <w:pPr>
              <w:pStyle w:val="ListBullet"/>
            </w:pPr>
            <w:r w:rsidRPr="000A168C">
              <w:t>Assist clients select the most appropriate optical appliance, including:</w:t>
            </w:r>
          </w:p>
          <w:p w:rsidR="00000000" w:rsidRPr="000A168C" w:rsidP="000A168C">
            <w:pPr>
              <w:pStyle w:val="ListBullet2"/>
            </w:pPr>
            <w:r w:rsidRPr="000A168C">
              <w:t>how to assess the clients needs and interpret the requirements of a prescription</w:t>
            </w:r>
          </w:p>
          <w:p w:rsidR="00000000" w:rsidRPr="000A168C" w:rsidP="000A168C">
            <w:pPr>
              <w:pStyle w:val="ListBullet2"/>
            </w:pPr>
            <w:r w:rsidRPr="000A168C">
              <w:t xml:space="preserve">the principles of cosmetics and fashion </w:t>
            </w:r>
            <w:r w:rsidRPr="000A168C">
              <w:t>to spectacle selection</w:t>
            </w:r>
          </w:p>
          <w:p w:rsidR="00000000" w:rsidRPr="000A168C" w:rsidP="000A168C">
            <w:pPr>
              <w:pStyle w:val="ListBullet2"/>
            </w:pPr>
            <w:r w:rsidRPr="000A168C">
              <w:t>the important parameters of lifestyle and image in the selection of spectacles</w:t>
            </w:r>
          </w:p>
          <w:p w:rsidR="00000000" w:rsidRPr="000A168C" w:rsidP="000A168C">
            <w:pPr>
              <w:pStyle w:val="ListBullet2"/>
            </w:pPr>
            <w:r w:rsidRPr="000A168C">
              <w:t>how to select suitable frames for clients</w:t>
            </w:r>
          </w:p>
          <w:p w:rsidR="00000000" w:rsidRPr="000A168C" w:rsidP="000A168C">
            <w:pPr>
              <w:pStyle w:val="ListBullet2"/>
            </w:pPr>
            <w:r w:rsidRPr="000A168C">
              <w:t>how to select a suitable lens and lens treatment for the client</w:t>
            </w:r>
          </w:p>
          <w:p w:rsidR="00000000" w:rsidRPr="000A168C" w:rsidP="000A168C">
            <w:pPr>
              <w:pStyle w:val="ListBullet2"/>
            </w:pPr>
            <w:r w:rsidRPr="000A168C">
              <w:t>the inter-pupillary distance and multifocal fitt</w:t>
            </w:r>
            <w:r w:rsidRPr="000A168C">
              <w:t>ing heights</w:t>
            </w:r>
          </w:p>
          <w:p w:rsidR="00000000" w:rsidRPr="000A168C" w:rsidP="000A168C">
            <w:pPr>
              <w:pStyle w:val="ListBullet2"/>
            </w:pPr>
            <w:r w:rsidRPr="000A168C">
              <w:t>basic facial fitting and adjustment of spectacle frames and mounts</w:t>
            </w:r>
          </w:p>
          <w:p w:rsidR="00000000" w:rsidRPr="000A168C" w:rsidP="000A168C">
            <w:pPr>
              <w:pStyle w:val="ListBullet"/>
            </w:pPr>
            <w:r w:rsidRPr="000A168C">
              <w:t>Communicate with people from diverse culturally and linguistic backgrounds</w:t>
            </w:r>
          </w:p>
          <w:p w:rsidR="00000000" w:rsidRPr="000A168C" w:rsidP="000A168C">
            <w:pPr>
              <w:pStyle w:val="ListBullet"/>
            </w:pPr>
            <w:r w:rsidRPr="000A168C">
              <w:t>Construct diagrams to illustrate image formation using simple ray-tracing techniques</w:t>
            </w:r>
          </w:p>
          <w:p w:rsidR="00000000" w:rsidRPr="000A168C" w:rsidP="000A168C">
            <w:pPr>
              <w:pStyle w:val="ListBullet"/>
            </w:pPr>
            <w:r w:rsidRPr="000A168C">
              <w:t xml:space="preserve">Define low vision and describe how various aids may be used to assist low vision clients </w:t>
            </w:r>
          </w:p>
          <w:p w:rsidR="00000000" w:rsidRPr="000A168C" w:rsidP="000A168C">
            <w:pPr>
              <w:pStyle w:val="ListBullet"/>
            </w:pPr>
            <w:r w:rsidRPr="000A168C">
              <w:t>Determine appropriate action according to prescription requirements and needs of clients</w:t>
            </w:r>
          </w:p>
          <w:p w:rsidR="00000000" w:rsidRPr="000A168C" w:rsidP="000A168C">
            <w:pPr>
              <w:pStyle w:val="ListBullet"/>
            </w:pPr>
            <w:r w:rsidRPr="000A168C">
              <w:t>Determine and specify appropriate lens design</w:t>
            </w:r>
          </w:p>
          <w:p w:rsidR="00000000" w:rsidP="000A168C">
            <w:pPr>
              <w:pStyle w:val="BodyText"/>
              <w:rPr>
                <w:lang w:val="en-NZ"/>
              </w:rPr>
            </w:pPr>
            <w:r w:rsidRPr="000A168C">
              <w:rPr>
                <w:rStyle w:val="Emphasis"/>
              </w:rPr>
              <w:t>continued</w:t>
            </w:r>
            <w:r w:rsidRPr="000A168C">
              <w:t xml:space="preserve"> ...</w:t>
            </w:r>
          </w:p>
        </w:tc>
      </w:tr>
      <w:tr w:rsidTr="007C2E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A168C" w:rsidP="000A168C">
            <w:pPr>
              <w:pStyle w:val="BodyText"/>
            </w:pPr>
            <w:r w:rsidRPr="000A168C">
              <w:rPr>
                <w:rStyle w:val="Emphasis"/>
              </w:rPr>
              <w:t>Essential skills</w:t>
            </w:r>
            <w:r w:rsidRPr="000A168C">
              <w:t xml:space="preserve"> (</w:t>
            </w:r>
            <w:r w:rsidRPr="000A168C">
              <w:rPr>
                <w:rStyle w:val="Emphasis"/>
              </w:rPr>
              <w:t>contd</w:t>
            </w:r>
            <w:r w:rsidRPr="000A168C">
              <w:t>):</w:t>
            </w:r>
          </w:p>
          <w:p w:rsidR="00000000" w:rsidRPr="000A168C" w:rsidP="000A168C">
            <w:pPr>
              <w:pStyle w:val="ListBullet"/>
            </w:pPr>
            <w:r w:rsidRPr="000A168C">
              <w:t>Dispense optical appliances including the ability to:</w:t>
            </w:r>
          </w:p>
          <w:p w:rsidR="00000000" w:rsidRPr="000A168C" w:rsidP="000A168C">
            <w:pPr>
              <w:pStyle w:val="ListBullet2"/>
            </w:pPr>
            <w:r w:rsidRPr="000A168C">
              <w:t>assess client needs and interpret the requirements of a prescription</w:t>
            </w:r>
          </w:p>
          <w:p w:rsidR="00000000" w:rsidRPr="000A168C" w:rsidP="000A168C">
            <w:pPr>
              <w:pStyle w:val="ListBullet2"/>
            </w:pPr>
            <w:r w:rsidRPr="000A168C">
              <w:t>apply the principles of cosmetic and fashion to spectacle selection</w:t>
            </w:r>
          </w:p>
          <w:p w:rsidR="00000000" w:rsidRPr="000A168C" w:rsidP="000A168C">
            <w:pPr>
              <w:pStyle w:val="ListBullet2"/>
            </w:pPr>
            <w:r w:rsidRPr="000A168C">
              <w:t>facilitate the selection of suitable frames for clien</w:t>
            </w:r>
            <w:r w:rsidRPr="000A168C">
              <w:t>ts</w:t>
            </w:r>
          </w:p>
          <w:p w:rsidR="00000000" w:rsidRPr="000A168C" w:rsidP="000A168C">
            <w:pPr>
              <w:pStyle w:val="ListBullet2"/>
            </w:pPr>
            <w:r w:rsidRPr="000A168C">
              <w:t>facilitate the selection of suitable lens style and lens treatment for clients</w:t>
            </w:r>
          </w:p>
          <w:p w:rsidR="00000000" w:rsidRPr="000A168C" w:rsidP="000A168C">
            <w:pPr>
              <w:pStyle w:val="ListBullet2"/>
            </w:pPr>
            <w:r w:rsidRPr="000A168C">
              <w:t>perform basic facial fitting and adjustment of spectacle frames and mounts</w:t>
            </w:r>
          </w:p>
          <w:p w:rsidR="00000000" w:rsidRPr="000A168C" w:rsidP="000A168C">
            <w:pPr>
              <w:pStyle w:val="ListBullet2"/>
            </w:pPr>
            <w:r w:rsidRPr="000A168C">
              <w:t>visualise the completed spectacles to anticipate problems with weight, lens thickness, centration or curvature</w:t>
            </w:r>
          </w:p>
          <w:p w:rsidR="00000000" w:rsidRPr="000A168C" w:rsidP="000A168C">
            <w:pPr>
              <w:pStyle w:val="ListBullet2"/>
            </w:pPr>
            <w:r w:rsidRPr="000A168C">
              <w:t>be competent in spectacle handover</w:t>
            </w:r>
          </w:p>
          <w:p w:rsidR="00000000" w:rsidRPr="000A168C" w:rsidP="000A168C">
            <w:pPr>
              <w:pStyle w:val="ListBullet2"/>
            </w:pPr>
            <w:r w:rsidRPr="000A168C">
              <w:t>identify and remedy common wearing problems</w:t>
            </w:r>
          </w:p>
          <w:p w:rsidR="00000000" w:rsidRPr="000A168C" w:rsidP="000A168C">
            <w:pPr>
              <w:pStyle w:val="ListBullet2"/>
            </w:pPr>
            <w:r w:rsidRPr="000A168C">
              <w:t>determine the specifications and parameters when dispensing progre</w:t>
            </w:r>
            <w:r w:rsidRPr="000A168C">
              <w:t>ssive lenses</w:t>
            </w:r>
          </w:p>
          <w:p w:rsidR="00000000" w:rsidRPr="000A168C" w:rsidP="000A168C">
            <w:pPr>
              <w:pStyle w:val="ListBullet"/>
            </w:pPr>
            <w:r w:rsidRPr="000A168C">
              <w:t>Evaluate the design and performance of spectacle lenses</w:t>
            </w:r>
          </w:p>
          <w:p w:rsidR="00000000" w:rsidRPr="000A168C" w:rsidP="000A168C">
            <w:pPr>
              <w:pStyle w:val="ListBullet"/>
            </w:pPr>
            <w:r w:rsidRPr="000A168C">
              <w:t>Explain the effect produced by varying the index, diameter, prismatic specifications and form of a lens</w:t>
            </w:r>
          </w:p>
          <w:p w:rsidR="00000000" w:rsidRPr="000A168C" w:rsidP="000A168C">
            <w:pPr>
              <w:pStyle w:val="ListBullet"/>
            </w:pPr>
            <w:r w:rsidRPr="000A168C">
              <w:t>Identify and apply appropriate formulae to calculate the centre and edge thickness</w:t>
            </w:r>
            <w:r w:rsidRPr="000A168C">
              <w:t xml:space="preserve"> of spherical and astigmatic lenses</w:t>
            </w:r>
          </w:p>
          <w:p w:rsidR="00000000" w:rsidRPr="000A168C" w:rsidP="000A168C">
            <w:pPr>
              <w:pStyle w:val="ListBullet"/>
            </w:pPr>
            <w:r w:rsidRPr="000A168C">
              <w:t>Identify and apply appropriate formulae to calculate the centre and edge thickness of spherical and astigmatic lenses</w:t>
            </w:r>
          </w:p>
          <w:p w:rsidR="00000000" w:rsidRPr="000A168C" w:rsidP="000A168C">
            <w:pPr>
              <w:pStyle w:val="ListBullet"/>
            </w:pPr>
            <w:r w:rsidRPr="000A168C">
              <w:t>Identify and apply appropriate formulae when performing calculations related to multifocal and progres</w:t>
            </w:r>
            <w:r w:rsidRPr="000A168C">
              <w:t>sive lenses</w:t>
            </w:r>
          </w:p>
          <w:p w:rsidR="00000000" w:rsidRPr="000A168C" w:rsidP="000A168C">
            <w:pPr>
              <w:pStyle w:val="ListBullet"/>
            </w:pPr>
            <w:r w:rsidRPr="000A168C">
              <w:t>Identify the parameters of contact lenses from prescription data</w:t>
            </w:r>
          </w:p>
          <w:p w:rsidR="00000000" w:rsidRPr="000A168C" w:rsidP="000A168C">
            <w:pPr>
              <w:pStyle w:val="ListBullet"/>
            </w:pPr>
            <w:r w:rsidRPr="000A168C">
              <w:t>Instruct client on use of optical appliances</w:t>
            </w:r>
          </w:p>
          <w:p w:rsidR="00000000" w:rsidRPr="000A168C" w:rsidP="000A168C">
            <w:pPr>
              <w:pStyle w:val="ListBullet"/>
            </w:pPr>
            <w:r w:rsidRPr="000A168C">
              <w:t xml:space="preserve">Maintain optical appliances and undertake simple repairs </w:t>
            </w:r>
          </w:p>
          <w:p w:rsidR="00000000" w:rsidRPr="000A168C" w:rsidP="000A168C">
            <w:pPr>
              <w:pStyle w:val="ListBullet"/>
            </w:pPr>
            <w:r w:rsidRPr="000A168C">
              <w:t>Operate all equipment and attachments correctly and in accordance with manuf</w:t>
            </w:r>
            <w:r w:rsidRPr="000A168C">
              <w:t>acturer's instructions, including calibration of equipment</w:t>
            </w:r>
          </w:p>
          <w:p w:rsidR="00000000" w:rsidRPr="000A168C" w:rsidP="000A168C">
            <w:pPr>
              <w:pStyle w:val="ListBullet"/>
            </w:pPr>
            <w:r w:rsidRPr="000A168C">
              <w:t>Take special needs into account including ability to understand visual screening</w:t>
            </w:r>
          </w:p>
          <w:p w:rsidR="00000000" w:rsidRPr="000A168C" w:rsidP="000A168C">
            <w:pPr>
              <w:pStyle w:val="ListBullet"/>
            </w:pPr>
            <w:r w:rsidRPr="000A168C">
              <w:t>Undertake optical calculations and measurements including measurements to determine the inter-pupillary distance and multifocal fitting heights for all lenses</w:t>
            </w:r>
          </w:p>
          <w:p w:rsidR="00000000" w:rsidRPr="000A168C" w:rsidP="000A168C">
            <w:pPr>
              <w:pStyle w:val="ListBullet"/>
            </w:pPr>
            <w:r w:rsidRPr="000A168C">
              <w:t>Undertake the fitting of optical appliances in accordance with industry standards</w:t>
            </w:r>
          </w:p>
          <w:p w:rsidR="00000000" w:rsidRPr="000A168C" w:rsidP="000A168C">
            <w:pPr>
              <w:pStyle w:val="ListBullet"/>
            </w:pPr>
            <w:r w:rsidRPr="000A168C">
              <w:t>Use interperson</w:t>
            </w:r>
            <w:r w:rsidRPr="000A168C">
              <w:t>al skills to relate to people from a range of social, cultural and religious backgrounds and physical and mental abilities</w:t>
            </w:r>
          </w:p>
          <w:p w:rsidR="00000000" w:rsidRPr="000A168C" w:rsidP="000A168C">
            <w:pPr>
              <w:pStyle w:val="ListBullet"/>
            </w:pPr>
            <w:r w:rsidRPr="000A168C">
              <w:t xml:space="preserve">Use numeracy skills, which must include the ability to interpret data and record client results </w:t>
            </w:r>
          </w:p>
          <w:p w:rsidR="00000000" w:rsidRPr="000A168C" w:rsidP="000A168C">
            <w:pPr>
              <w:pStyle w:val="ListBullet"/>
            </w:pPr>
            <w:r w:rsidRPr="000A168C">
              <w:t>Use oral communication skills-langua</w:t>
            </w:r>
            <w:r w:rsidRPr="000A168C">
              <w:t>ge competence required to fulfil job role in a safe manner and as specified by the organisation</w:t>
            </w:r>
          </w:p>
          <w:p w:rsidR="00000000" w:rsidRPr="000A168C" w:rsidP="000A168C">
            <w:pPr>
              <w:pStyle w:val="ListBullet"/>
            </w:pPr>
            <w:r w:rsidRPr="000A168C">
              <w:t>Use problem solving skills including an ability to use available resources and determine accuracy of test results</w:t>
            </w:r>
          </w:p>
          <w:p w:rsidR="00000000" w:rsidRPr="000A168C" w:rsidP="000A168C">
            <w:pPr>
              <w:pStyle w:val="ListBullet"/>
            </w:pPr>
            <w:r w:rsidRPr="000A168C">
              <w:t>Use reading and writing skills-literacy compet</w:t>
            </w:r>
            <w:r w:rsidRPr="000A168C">
              <w:t>ence required to fulfil job roles safely and effectively</w:t>
            </w:r>
          </w:p>
          <w:p w:rsidR="00000000" w:rsidRPr="000A168C" w:rsidP="000A168C">
            <w:pPr>
              <w:pStyle w:val="ListBullet"/>
            </w:pPr>
            <w:r w:rsidRPr="000A168C">
              <w:t>Work with others</w:t>
            </w:r>
          </w:p>
        </w:tc>
      </w:tr>
    </w:tbl>
    <w:p w:rsidR="007C2E82" w:rsidP="000A168C">
      <w:pPr>
        <w:pStyle w:val="BodyText"/>
      </w:pPr>
    </w:p>
    <w:p w:rsidR="007C2E82" w:rsidP="000A168C">
      <w:pPr>
        <w:pStyle w:val="BodyText"/>
      </w:pPr>
    </w:p>
    <w:p w:rsidR="00000000" w:rsidRPr="000A168C" w:rsidP="000A168C">
      <w:pPr>
        <w:pStyle w:val="Heading1"/>
      </w:pPr>
      <w:bookmarkStart w:id="10" w:name="O_244036"/>
      <w:bookmarkEnd w:id="10"/>
      <w:r w:rsidRPr="000A168C">
        <w:t>Evidence Guide</w:t>
      </w:r>
    </w:p>
    <w:tbl>
      <w:tblPr>
        <w:tblW w:w="0" w:type="auto"/>
        <w:tblLayout w:type="fixed"/>
        <w:tblCellMar>
          <w:left w:w="62" w:type="dxa"/>
          <w:right w:w="62" w:type="dxa"/>
        </w:tblCellMar>
        <w:tblLook w:val="0000"/>
      </w:tblPr>
      <w:tblGrid>
        <w:gridCol w:w="3402"/>
        <w:gridCol w:w="5670"/>
      </w:tblGrid>
      <w:tr w:rsidTr="007C2E8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A168C">
            <w:pPr>
              <w:pStyle w:val="BodyText"/>
              <w:rPr>
                <w:lang w:val="en-NZ"/>
              </w:rPr>
            </w:pPr>
            <w:r w:rsidRPr="000A168C">
              <w:rPr>
                <w:rStyle w:val="SpecialBold"/>
              </w:rPr>
              <w:t>EVIDENCE GUIDE</w:t>
            </w:r>
          </w:p>
        </w:tc>
      </w:tr>
      <w:tr w:rsidTr="007C2E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168C">
            <w:pPr>
              <w:pStyle w:val="BodyText"/>
              <w:rPr>
                <w:lang w:val="en-NZ"/>
              </w:rPr>
            </w:pPr>
          </w:p>
        </w:tc>
      </w:tr>
      <w:tr w:rsidTr="007C2E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168C">
            <w:pPr>
              <w:pStyle w:val="BodyText"/>
              <w:rPr>
                <w:lang w:val="en-NZ"/>
              </w:rPr>
            </w:pPr>
            <w:r w:rsidRPr="000A168C">
              <w:t>The evidence guide provides advice on assessment and must be read in conjunction with the Performance Criteria, Required Skills and Knowledge, the Range Statement and the Assessment Guidelines for this Training Package.</w:t>
            </w:r>
          </w:p>
        </w:tc>
      </w:tr>
      <w:tr w:rsidTr="007C2E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168C">
            <w:pPr>
              <w:pStyle w:val="BodyText"/>
              <w:rPr>
                <w:lang w:val="en-NZ"/>
              </w:rPr>
            </w:pPr>
          </w:p>
        </w:tc>
      </w:tr>
      <w:tr w:rsidTr="007C2E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r w:rsidRPr="000A168C">
              <w:rPr>
                <w:rStyle w:val="Emphasis"/>
              </w:rPr>
              <w:t>Critical aspects for assessment</w:t>
            </w:r>
            <w:r w:rsidRPr="000A168C">
              <w:rPr>
                <w:rStyle w:val="Emphasis"/>
              </w:rPr>
              <w:t xml:space="preserve"> and evidence required to demonstrate this competency unit</w:t>
            </w:r>
            <w:r w:rsidRPr="000A168C">
              <w:t xml:space="preserve">: </w:t>
            </w:r>
            <w:r w:rsidRPr="000A168C">
              <w:br/>
            </w:r>
          </w:p>
        </w:tc>
        <w:tc>
          <w:tcPr>
            <w:tcW w:w="5670" w:type="dxa"/>
            <w:tcBorders>
              <w:top w:val="nil"/>
              <w:left w:val="nil"/>
              <w:bottom w:val="nil"/>
              <w:right w:val="nil"/>
            </w:tcBorders>
            <w:tcMar>
              <w:top w:w="0" w:type="dxa"/>
              <w:left w:w="62" w:type="dxa"/>
              <w:bottom w:w="0" w:type="dxa"/>
              <w:right w:w="62" w:type="dxa"/>
            </w:tcMar>
          </w:tcPr>
          <w:p w:rsidR="00000000" w:rsidRPr="000A168C" w:rsidP="000A168C">
            <w:pPr>
              <w:pStyle w:val="ListBullet"/>
            </w:pPr>
            <w:r w:rsidRPr="000A168C">
              <w:t>The individual being assessed must provide evidence of specified essential knowledge as well as skills</w:t>
            </w:r>
          </w:p>
          <w:p w:rsidR="00000000" w:rsidRPr="000A168C" w:rsidP="000A168C">
            <w:pPr>
              <w:pStyle w:val="ListBullet"/>
            </w:pPr>
            <w:r w:rsidRPr="000A168C">
              <w:t>Observation of actual or simulated workplace performance is essential for assessment of this unit</w:t>
            </w:r>
          </w:p>
          <w:p w:rsidR="00000000" w:rsidRPr="000A168C" w:rsidP="000A168C">
            <w:pPr>
              <w:pStyle w:val="ListBullet"/>
            </w:pPr>
            <w:r w:rsidRPr="000A168C">
              <w:t>Consistency of performance should be demonstrated over the required range of situations relevant to the workplace</w:t>
            </w:r>
          </w:p>
          <w:p w:rsidR="00000000" w:rsidRPr="000A168C" w:rsidP="000A168C">
            <w:pPr>
              <w:pStyle w:val="ListBullet"/>
            </w:pPr>
            <w:r w:rsidRPr="000A168C">
              <w:t>Where, for reasons of safety, space, or acce</w:t>
            </w:r>
            <w:r w:rsidRPr="000A168C">
              <w:t>ss to equipment and resources, assessment takes place away from the workplace, the assessment environment should represent workplace conditions as closely as possible</w:t>
            </w:r>
          </w:p>
          <w:p w:rsidR="00000000" w:rsidRPr="000A168C" w:rsidP="000A168C">
            <w:pPr>
              <w:pStyle w:val="ListBullet"/>
            </w:pPr>
            <w:r w:rsidRPr="000A168C">
              <w:t>In some states/territories participants must have a licence to practice prior to placemen</w:t>
            </w:r>
            <w:r w:rsidRPr="000A168C">
              <w:t>t in the workplace</w:t>
            </w:r>
          </w:p>
          <w:p w:rsidR="00000000" w:rsidP="000A168C">
            <w:pPr>
              <w:pStyle w:val="ListBullet"/>
              <w:rPr>
                <w:lang w:val="en-NZ"/>
              </w:rPr>
            </w:pPr>
            <w:r w:rsidRPr="000A168C">
              <w:t xml:space="preserve">Competency log book where required for licensing </w:t>
            </w:r>
          </w:p>
        </w:tc>
      </w:tr>
      <w:tr w:rsidTr="007C2E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p>
        </w:tc>
      </w:tr>
      <w:tr w:rsidTr="007C2E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r w:rsidRPr="000A168C">
              <w:rPr>
                <w:rStyle w:val="Emphasis"/>
              </w:rPr>
              <w:t>Context of and specific resources for assessment</w:t>
            </w:r>
            <w:r w:rsidRPr="000A168C">
              <w:t xml:space="preserve">: </w:t>
            </w:r>
            <w:r w:rsidRPr="000A168C">
              <w:br/>
            </w:r>
          </w:p>
        </w:tc>
        <w:tc>
          <w:tcPr>
            <w:tcW w:w="5670" w:type="dxa"/>
            <w:tcBorders>
              <w:top w:val="nil"/>
              <w:left w:val="nil"/>
              <w:bottom w:val="nil"/>
              <w:right w:val="nil"/>
            </w:tcBorders>
            <w:tcMar>
              <w:top w:w="0" w:type="dxa"/>
              <w:left w:w="62" w:type="dxa"/>
              <w:bottom w:w="0" w:type="dxa"/>
              <w:right w:w="62" w:type="dxa"/>
            </w:tcMar>
          </w:tcPr>
          <w:p w:rsidR="00000000" w:rsidRPr="000A168C" w:rsidP="000A168C">
            <w:pPr>
              <w:pStyle w:val="ListBullet"/>
            </w:pPr>
            <w:r w:rsidRPr="000A168C">
              <w:t>Resources essential for assessment include:</w:t>
            </w:r>
          </w:p>
          <w:p w:rsidR="00000000" w:rsidRPr="000A168C" w:rsidP="000A168C">
            <w:pPr>
              <w:pStyle w:val="ListBullet2"/>
            </w:pPr>
            <w:r w:rsidRPr="000A168C">
              <w:t>Spectacle frames</w:t>
            </w:r>
          </w:p>
          <w:p w:rsidR="00000000" w:rsidRPr="000A168C" w:rsidP="000A168C">
            <w:pPr>
              <w:pStyle w:val="ListBullet2"/>
            </w:pPr>
            <w:r w:rsidRPr="000A168C">
              <w:t>Spectacle lenses</w:t>
            </w:r>
          </w:p>
          <w:p w:rsidR="00000000" w:rsidRPr="000A168C" w:rsidP="000A168C">
            <w:pPr>
              <w:pStyle w:val="ListBullet2"/>
            </w:pPr>
            <w:r w:rsidRPr="000A168C">
              <w:t>Pupillometer</w:t>
            </w:r>
          </w:p>
          <w:p w:rsidR="00000000" w:rsidRPr="000A168C" w:rsidP="000A168C">
            <w:pPr>
              <w:pStyle w:val="ListBullet2"/>
            </w:pPr>
            <w:r w:rsidRPr="000A168C">
              <w:t>Frame adjusting tools</w:t>
            </w:r>
          </w:p>
          <w:p w:rsidR="00000000" w:rsidRPr="000A168C" w:rsidP="000A168C">
            <w:pPr>
              <w:pStyle w:val="ListBullet2"/>
            </w:pPr>
            <w:r w:rsidRPr="000A168C">
              <w:t>BVD gauge or rule</w:t>
            </w:r>
          </w:p>
          <w:p w:rsidR="00000000" w:rsidRPr="000A168C" w:rsidP="000A168C">
            <w:pPr>
              <w:pStyle w:val="ListBullet2"/>
            </w:pPr>
            <w:r w:rsidRPr="000A168C">
              <w:t>PD rule</w:t>
            </w:r>
          </w:p>
          <w:p w:rsidR="00000000" w:rsidRPr="000A168C" w:rsidP="000A168C">
            <w:pPr>
              <w:pStyle w:val="ListBullet2"/>
            </w:pPr>
            <w:r w:rsidRPr="000A168C">
              <w:t>Parallel rule</w:t>
            </w:r>
          </w:p>
          <w:p w:rsidR="00000000" w:rsidP="000A168C">
            <w:pPr>
              <w:pStyle w:val="ListBullet2"/>
              <w:rPr>
                <w:lang w:val="en-NZ"/>
              </w:rPr>
            </w:pPr>
            <w:r w:rsidRPr="000A168C">
              <w:t>Opticians lens measure</w:t>
            </w:r>
          </w:p>
        </w:tc>
      </w:tr>
      <w:tr w:rsidTr="007C2E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p>
        </w:tc>
      </w:tr>
      <w:tr w:rsidTr="007C2E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r w:rsidRPr="000A168C">
              <w:rPr>
                <w:rStyle w:val="Emphasis"/>
              </w:rPr>
              <w:t>Method of assessment</w:t>
            </w:r>
            <w:r w:rsidRPr="000A168C">
              <w:t xml:space="preserve"> </w:t>
            </w:r>
          </w:p>
        </w:tc>
        <w:tc>
          <w:tcPr>
            <w:tcW w:w="5670" w:type="dxa"/>
            <w:tcBorders>
              <w:top w:val="nil"/>
              <w:left w:val="nil"/>
              <w:bottom w:val="nil"/>
              <w:right w:val="nil"/>
            </w:tcBorders>
            <w:tcMar>
              <w:top w:w="0" w:type="dxa"/>
              <w:left w:w="62" w:type="dxa"/>
              <w:bottom w:w="0" w:type="dxa"/>
              <w:right w:w="62" w:type="dxa"/>
            </w:tcMar>
          </w:tcPr>
          <w:p w:rsidR="00000000" w:rsidRPr="000A168C" w:rsidP="000A168C">
            <w:pPr>
              <w:pStyle w:val="ListBullet"/>
            </w:pPr>
            <w:r w:rsidRPr="000A168C">
              <w:t>Observation in the work place (if possible)</w:t>
            </w:r>
          </w:p>
          <w:p w:rsidR="00000000" w:rsidRPr="000A168C" w:rsidP="000A168C">
            <w:pPr>
              <w:pStyle w:val="ListBullet"/>
            </w:pPr>
            <w:r w:rsidRPr="000A168C">
              <w:t>Written assignments/projects or questioning should be used to assess knowledge</w:t>
            </w:r>
          </w:p>
          <w:p w:rsidR="00000000" w:rsidRPr="000A168C" w:rsidP="000A168C">
            <w:pPr>
              <w:pStyle w:val="ListBullet"/>
            </w:pPr>
            <w:r w:rsidRPr="000A168C">
              <w:t>Case study and scenario as a basis for discussion of issues and strategies to contribute to best practice</w:t>
            </w:r>
          </w:p>
          <w:p w:rsidR="00000000" w:rsidP="000A168C">
            <w:pPr>
              <w:pStyle w:val="ListBullet"/>
              <w:rPr>
                <w:lang w:val="en-NZ"/>
              </w:rPr>
            </w:pPr>
            <w:r w:rsidRPr="000A168C">
              <w:t>Logbook</w:t>
            </w:r>
          </w:p>
        </w:tc>
      </w:tr>
      <w:tr w:rsidTr="007C2E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p>
        </w:tc>
      </w:tr>
      <w:tr w:rsidTr="007C2E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r w:rsidRPr="000A168C">
              <w:rPr>
                <w:rStyle w:val="Emphasis"/>
              </w:rPr>
              <w:t>Access and equity considerations</w:t>
            </w:r>
            <w:r w:rsidRPr="000A168C">
              <w:t>:</w:t>
            </w:r>
          </w:p>
        </w:tc>
        <w:tc>
          <w:tcPr>
            <w:tcW w:w="5670" w:type="dxa"/>
            <w:tcBorders>
              <w:top w:val="nil"/>
              <w:left w:val="nil"/>
              <w:bottom w:val="nil"/>
              <w:right w:val="nil"/>
            </w:tcBorders>
            <w:tcMar>
              <w:top w:w="0" w:type="dxa"/>
              <w:left w:w="62" w:type="dxa"/>
              <w:bottom w:w="0" w:type="dxa"/>
              <w:right w:w="62" w:type="dxa"/>
            </w:tcMar>
          </w:tcPr>
          <w:p w:rsidR="00000000" w:rsidRPr="000A168C" w:rsidP="000A168C">
            <w:pPr>
              <w:pStyle w:val="ListBullet"/>
            </w:pPr>
            <w:r w:rsidRPr="000A168C">
              <w:t>All workers in the health industry should be aware of access and equity issues in relation to their own</w:t>
            </w:r>
            <w:r w:rsidRPr="000A168C">
              <w:t xml:space="preserve"> area of work</w:t>
            </w:r>
          </w:p>
          <w:p w:rsidR="00000000" w:rsidRPr="000A168C" w:rsidP="000A168C">
            <w:pPr>
              <w:pStyle w:val="ListBullet"/>
            </w:pPr>
            <w:r w:rsidRPr="000A168C">
              <w:t xml:space="preserve">All workers should develop their ability to work in a culturally diverse environment </w:t>
            </w:r>
          </w:p>
          <w:p w:rsidR="00000000" w:rsidRPr="000A168C" w:rsidP="000A168C">
            <w:pPr>
              <w:pStyle w:val="ListBullet"/>
            </w:pPr>
            <w:r w:rsidRPr="000A168C">
              <w:t>In recognition of particular health issues facing Aboriginal and Torres Strait Islander communities, workers should be aware of cultural, historical and cur</w:t>
            </w:r>
            <w:r w:rsidRPr="000A168C">
              <w:t>rent issues impacting on health of Aboriginal and Torres Strait Islander people</w:t>
            </w:r>
          </w:p>
          <w:p w:rsidR="00000000" w:rsidP="000A168C">
            <w:pPr>
              <w:pStyle w:val="ListBullet"/>
              <w:rPr>
                <w:lang w:val="en-NZ"/>
              </w:rPr>
            </w:pPr>
            <w:r w:rsidRPr="000A168C">
              <w:t>Assessors and trainers must take into account relevant access and equity issues, in particular relating to factors impacting on health of Aboriginal and/or Torres Strait Island</w:t>
            </w:r>
            <w:r w:rsidRPr="000A168C">
              <w:t>er clients and communities</w:t>
            </w:r>
          </w:p>
        </w:tc>
      </w:tr>
      <w:tr w:rsidTr="007C2E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p>
        </w:tc>
      </w:tr>
      <w:tr w:rsidTr="007C2E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r w:rsidRPr="000A168C">
              <w:rPr>
                <w:rStyle w:val="Emphasis"/>
              </w:rPr>
              <w:t>Related units</w:t>
            </w:r>
            <w:r w:rsidRPr="000A168C">
              <w:t>:</w:t>
            </w:r>
          </w:p>
        </w:tc>
        <w:tc>
          <w:tcPr>
            <w:tcW w:w="5670" w:type="dxa"/>
            <w:tcBorders>
              <w:top w:val="nil"/>
              <w:left w:val="nil"/>
              <w:bottom w:val="nil"/>
              <w:right w:val="nil"/>
            </w:tcBorders>
            <w:tcMar>
              <w:top w:w="0" w:type="dxa"/>
              <w:left w:w="62" w:type="dxa"/>
              <w:bottom w:w="0" w:type="dxa"/>
              <w:right w:w="62" w:type="dxa"/>
            </w:tcMar>
          </w:tcPr>
          <w:p w:rsidR="00000000" w:rsidRPr="000A168C" w:rsidP="000A168C">
            <w:pPr>
              <w:pStyle w:val="BodyText"/>
            </w:pPr>
            <w:r w:rsidRPr="000A168C">
              <w:t>This unit should be undertaken after or in conjunction with:</w:t>
            </w:r>
          </w:p>
          <w:p w:rsidR="00000000" w:rsidP="000A168C">
            <w:pPr>
              <w:pStyle w:val="ListBullet"/>
              <w:rPr>
                <w:lang w:val="en-NZ"/>
              </w:rPr>
            </w:pPr>
            <w:r w:rsidRPr="000A168C">
              <w:t>HLTOPD401B Work effectively in the ophthalmic industry</w:t>
            </w:r>
          </w:p>
        </w:tc>
      </w:tr>
      <w:tr w:rsidTr="007C2E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A168C" w:rsidP="000A168C">
            <w:pPr>
              <w:pStyle w:val="BodyText"/>
            </w:pPr>
          </w:p>
        </w:tc>
      </w:tr>
    </w:tbl>
    <w:p w:rsidR="007C2E82" w:rsidP="000A168C">
      <w:pPr>
        <w:pStyle w:val="BodyText"/>
      </w:pPr>
    </w:p>
    <w:p w:rsidR="007C2E82" w:rsidP="000A168C">
      <w:pPr>
        <w:pStyle w:val="BodyText"/>
      </w:pPr>
    </w:p>
    <w:p w:rsidR="00000000" w:rsidRPr="000A168C" w:rsidP="000A168C">
      <w:pPr>
        <w:pStyle w:val="Heading1"/>
      </w:pPr>
      <w:bookmarkStart w:id="11" w:name="O_252019"/>
      <w:bookmarkEnd w:id="11"/>
      <w:r w:rsidRPr="000A168C">
        <w:t>Range Statement</w:t>
      </w:r>
    </w:p>
    <w:tbl>
      <w:tblPr>
        <w:tblW w:w="0" w:type="auto"/>
        <w:tblLayout w:type="fixed"/>
        <w:tblCellMar>
          <w:left w:w="62" w:type="dxa"/>
          <w:right w:w="62" w:type="dxa"/>
        </w:tblCellMar>
        <w:tblLook w:val="0000"/>
      </w:tblPr>
      <w:tblGrid>
        <w:gridCol w:w="3402"/>
        <w:gridCol w:w="5670"/>
      </w:tblGrid>
      <w:tr w:rsidTr="007C2E8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A168C">
            <w:pPr>
              <w:pStyle w:val="BodyText"/>
              <w:rPr>
                <w:lang w:val="en-NZ"/>
              </w:rPr>
            </w:pPr>
            <w:r w:rsidRPr="000A168C">
              <w:rPr>
                <w:rStyle w:val="SpecialBold"/>
              </w:rPr>
              <w:t>RANGE STATEMENT</w:t>
            </w:r>
          </w:p>
        </w:tc>
      </w:tr>
      <w:tr w:rsidTr="007C2E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168C">
            <w:pPr>
              <w:pStyle w:val="BodyText"/>
              <w:rPr>
                <w:lang w:val="en-NZ"/>
              </w:rPr>
            </w:pPr>
          </w:p>
        </w:tc>
      </w:tr>
      <w:tr w:rsidTr="007C2E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168C">
            <w:pPr>
              <w:pStyle w:val="BodyText"/>
              <w:rPr>
                <w:lang w:val="en-NZ"/>
              </w:rPr>
            </w:pPr>
            <w:r w:rsidRPr="000A168C">
              <w:t>The Range Statement relates to the unit of competency as a whole.  It allows for different work environments and situations that may affect performance.  Add any essential operating conditions that may be present with training and assessment depending on t</w:t>
            </w:r>
            <w:r w:rsidRPr="000A168C">
              <w:t>he work situation, needs of the candidate, accessibility of the item, and local industry and regional contexts.</w:t>
            </w:r>
          </w:p>
        </w:tc>
      </w:tr>
      <w:tr w:rsidTr="007C2E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p>
        </w:tc>
      </w:tr>
      <w:tr w:rsidTr="007C2E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r w:rsidRPr="000A168C">
              <w:rPr>
                <w:rStyle w:val="Emphasis"/>
              </w:rPr>
              <w:t>Information may include</w:t>
            </w:r>
            <w:r w:rsidRPr="000A168C">
              <w:t>:</w:t>
            </w:r>
          </w:p>
        </w:tc>
        <w:tc>
          <w:tcPr>
            <w:tcW w:w="5670" w:type="dxa"/>
            <w:tcBorders>
              <w:top w:val="nil"/>
              <w:left w:val="nil"/>
              <w:bottom w:val="nil"/>
              <w:right w:val="nil"/>
            </w:tcBorders>
            <w:tcMar>
              <w:top w:w="0" w:type="dxa"/>
              <w:left w:w="62" w:type="dxa"/>
              <w:bottom w:w="0" w:type="dxa"/>
              <w:right w:w="62" w:type="dxa"/>
            </w:tcMar>
          </w:tcPr>
          <w:p w:rsidR="00000000" w:rsidRPr="000A168C" w:rsidP="000A168C">
            <w:pPr>
              <w:pStyle w:val="ListBullet"/>
            </w:pPr>
            <w:r w:rsidRPr="000A168C">
              <w:t>The prescription</w:t>
            </w:r>
          </w:p>
          <w:p w:rsidR="00000000" w:rsidRPr="000A168C" w:rsidP="000A168C">
            <w:pPr>
              <w:pStyle w:val="ListBullet"/>
            </w:pPr>
            <w:r w:rsidRPr="000A168C">
              <w:t>Referral letter</w:t>
            </w:r>
          </w:p>
          <w:p w:rsidR="00000000" w:rsidRPr="000A168C" w:rsidP="000A168C">
            <w:pPr>
              <w:pStyle w:val="ListBullet"/>
            </w:pPr>
            <w:r w:rsidRPr="000A168C">
              <w:t>Correspondence</w:t>
            </w:r>
          </w:p>
          <w:p w:rsidR="00000000" w:rsidRPr="000A168C" w:rsidP="000A168C">
            <w:pPr>
              <w:pStyle w:val="ListBullet"/>
            </w:pPr>
            <w:r w:rsidRPr="000A168C">
              <w:t>Consent forms</w:t>
            </w:r>
          </w:p>
          <w:p w:rsidR="00000000" w:rsidRPr="000A168C" w:rsidP="000A168C">
            <w:pPr>
              <w:pStyle w:val="ListBullet"/>
            </w:pPr>
            <w:r w:rsidRPr="000A168C">
              <w:t>Current standards</w:t>
            </w:r>
          </w:p>
          <w:p w:rsidR="00000000" w:rsidRPr="000A168C" w:rsidP="000A168C">
            <w:pPr>
              <w:pStyle w:val="ListBullet"/>
            </w:pPr>
            <w:r w:rsidRPr="000A168C">
              <w:t>Information for clients</w:t>
            </w:r>
          </w:p>
          <w:p w:rsidR="00000000" w:rsidP="000A168C">
            <w:pPr>
              <w:pStyle w:val="ListBullet"/>
              <w:rPr>
                <w:lang w:val="en-NZ"/>
              </w:rPr>
            </w:pPr>
            <w:r w:rsidRPr="000A168C">
              <w:t>Client record</w:t>
            </w:r>
          </w:p>
        </w:tc>
      </w:tr>
      <w:tr w:rsidTr="007C2E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p>
        </w:tc>
      </w:tr>
      <w:tr w:rsidTr="007C2E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r w:rsidRPr="000A168C">
              <w:rPr>
                <w:rStyle w:val="Emphasis"/>
              </w:rPr>
              <w:t>Environment may include</w:t>
            </w:r>
            <w:r w:rsidRPr="000A168C">
              <w:t>:</w:t>
            </w:r>
          </w:p>
        </w:tc>
        <w:tc>
          <w:tcPr>
            <w:tcW w:w="5670" w:type="dxa"/>
            <w:tcBorders>
              <w:top w:val="nil"/>
              <w:left w:val="nil"/>
              <w:bottom w:val="nil"/>
              <w:right w:val="nil"/>
            </w:tcBorders>
            <w:tcMar>
              <w:top w:w="0" w:type="dxa"/>
              <w:left w:w="62" w:type="dxa"/>
              <w:bottom w:w="0" w:type="dxa"/>
              <w:right w:w="62" w:type="dxa"/>
            </w:tcMar>
          </w:tcPr>
          <w:p w:rsidR="00000000" w:rsidRPr="000A168C" w:rsidP="000A168C">
            <w:pPr>
              <w:pStyle w:val="ListBullet"/>
            </w:pPr>
            <w:r w:rsidRPr="000A168C">
              <w:t>Optometric practice</w:t>
            </w:r>
          </w:p>
          <w:p w:rsidR="00000000" w:rsidRPr="000A168C" w:rsidP="000A168C">
            <w:pPr>
              <w:pStyle w:val="ListBullet"/>
            </w:pPr>
            <w:r w:rsidRPr="000A168C">
              <w:t>Retail store</w:t>
            </w:r>
          </w:p>
          <w:p w:rsidR="00000000" w:rsidRPr="000A168C" w:rsidP="000A168C">
            <w:pPr>
              <w:pStyle w:val="ListBullet"/>
            </w:pPr>
            <w:r w:rsidRPr="000A168C">
              <w:t>Optical dispensary</w:t>
            </w:r>
          </w:p>
          <w:p w:rsidR="00000000" w:rsidRPr="000A168C" w:rsidP="000A168C">
            <w:pPr>
              <w:pStyle w:val="ListBullet"/>
            </w:pPr>
            <w:r w:rsidRPr="000A168C">
              <w:t>Optical workshop</w:t>
            </w:r>
          </w:p>
          <w:p w:rsidR="00000000" w:rsidP="000A168C">
            <w:pPr>
              <w:pStyle w:val="ListBullet"/>
              <w:rPr>
                <w:lang w:val="en-NZ"/>
              </w:rPr>
            </w:pPr>
            <w:r w:rsidRPr="000A168C">
              <w:t>Medical clinic or hospital</w:t>
            </w:r>
          </w:p>
        </w:tc>
      </w:tr>
      <w:tr w:rsidTr="007C2E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p>
        </w:tc>
      </w:tr>
      <w:tr w:rsidTr="007C2E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r w:rsidRPr="000A168C">
              <w:rPr>
                <w:rStyle w:val="Emphasis"/>
              </w:rPr>
              <w:t>Equipment and instruments may include</w:t>
            </w:r>
            <w:r w:rsidRPr="000A168C">
              <w:t>:</w:t>
            </w:r>
          </w:p>
        </w:tc>
        <w:tc>
          <w:tcPr>
            <w:tcW w:w="5670" w:type="dxa"/>
            <w:tcBorders>
              <w:top w:val="nil"/>
              <w:left w:val="nil"/>
              <w:bottom w:val="nil"/>
              <w:right w:val="nil"/>
            </w:tcBorders>
            <w:tcMar>
              <w:top w:w="0" w:type="dxa"/>
              <w:left w:w="62" w:type="dxa"/>
              <w:bottom w:w="0" w:type="dxa"/>
              <w:right w:w="62" w:type="dxa"/>
            </w:tcMar>
          </w:tcPr>
          <w:p w:rsidR="00000000" w:rsidRPr="000A168C" w:rsidP="000A168C">
            <w:pPr>
              <w:pStyle w:val="ListBullet"/>
            </w:pPr>
            <w:r w:rsidRPr="000A168C">
              <w:t>Focimeter (lensmeter)</w:t>
            </w:r>
          </w:p>
          <w:p w:rsidR="00000000" w:rsidRPr="000A168C" w:rsidP="000A168C">
            <w:pPr>
              <w:pStyle w:val="ListBullet"/>
            </w:pPr>
            <w:r w:rsidRPr="000A168C">
              <w:t>Pupillometer</w:t>
            </w:r>
          </w:p>
          <w:p w:rsidR="00000000" w:rsidRPr="000A168C" w:rsidP="000A168C">
            <w:pPr>
              <w:pStyle w:val="ListBullet"/>
            </w:pPr>
            <w:r w:rsidRPr="000A168C">
              <w:t>PD Rule</w:t>
            </w:r>
          </w:p>
          <w:p w:rsidR="00000000" w:rsidRPr="000A168C" w:rsidP="000A168C">
            <w:pPr>
              <w:pStyle w:val="ListBullet"/>
            </w:pPr>
            <w:r w:rsidRPr="000A168C">
              <w:t>Parallel rule</w:t>
            </w:r>
          </w:p>
          <w:p w:rsidR="00000000" w:rsidRPr="000A168C" w:rsidP="000A168C">
            <w:pPr>
              <w:pStyle w:val="ListBullet"/>
            </w:pPr>
            <w:r w:rsidRPr="000A168C">
              <w:t>Frame adjustment tools</w:t>
            </w:r>
          </w:p>
          <w:p w:rsidR="00000000" w:rsidRPr="000A168C" w:rsidP="000A168C">
            <w:pPr>
              <w:pStyle w:val="ListBullet"/>
            </w:pPr>
            <w:r w:rsidRPr="000A168C">
              <w:t>Ultrasonic cleaner</w:t>
            </w:r>
          </w:p>
          <w:p w:rsidR="00000000" w:rsidRPr="000A168C" w:rsidP="000A168C">
            <w:pPr>
              <w:pStyle w:val="ListBullet"/>
            </w:pPr>
            <w:r w:rsidRPr="000A168C">
              <w:t>Low vision aids</w:t>
            </w:r>
          </w:p>
          <w:p w:rsidR="00000000" w:rsidRPr="000A168C" w:rsidP="000A168C">
            <w:pPr>
              <w:pStyle w:val="ListBullet"/>
            </w:pPr>
            <w:r w:rsidRPr="000A168C">
              <w:t>Optical frame heater</w:t>
            </w:r>
          </w:p>
          <w:p w:rsidR="00000000" w:rsidRPr="000A168C" w:rsidP="000A168C">
            <w:pPr>
              <w:pStyle w:val="ListBullet"/>
            </w:pPr>
            <w:r w:rsidRPr="000A168C">
              <w:t>Optician's lens measure</w:t>
            </w:r>
          </w:p>
          <w:p w:rsidR="00000000" w:rsidP="000A168C">
            <w:pPr>
              <w:pStyle w:val="ListBullet"/>
              <w:rPr>
                <w:lang w:val="en-NZ"/>
              </w:rPr>
            </w:pPr>
            <w:r w:rsidRPr="000A168C">
              <w:t>Lens thickness gauge</w:t>
            </w:r>
          </w:p>
        </w:tc>
      </w:tr>
      <w:tr w:rsidTr="007C2E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p>
        </w:tc>
      </w:tr>
      <w:tr w:rsidTr="007C2E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r w:rsidRPr="000A168C">
              <w:rPr>
                <w:rStyle w:val="Emphasis"/>
              </w:rPr>
              <w:t>Clients may include</w:t>
            </w:r>
            <w:r w:rsidRPr="000A168C">
              <w:t>:</w:t>
            </w:r>
          </w:p>
        </w:tc>
        <w:tc>
          <w:tcPr>
            <w:tcW w:w="5670" w:type="dxa"/>
            <w:tcBorders>
              <w:top w:val="nil"/>
              <w:left w:val="nil"/>
              <w:bottom w:val="nil"/>
              <w:right w:val="nil"/>
            </w:tcBorders>
            <w:tcMar>
              <w:top w:w="0" w:type="dxa"/>
              <w:left w:w="62" w:type="dxa"/>
              <w:bottom w:w="0" w:type="dxa"/>
              <w:right w:w="62" w:type="dxa"/>
            </w:tcMar>
          </w:tcPr>
          <w:p w:rsidR="00000000" w:rsidRPr="000A168C" w:rsidP="000A168C">
            <w:pPr>
              <w:pStyle w:val="ListBullet"/>
            </w:pPr>
            <w:r w:rsidRPr="000A168C">
              <w:t>Adults</w:t>
            </w:r>
          </w:p>
          <w:p w:rsidR="00000000" w:rsidRPr="000A168C" w:rsidP="000A168C">
            <w:pPr>
              <w:pStyle w:val="ListBullet"/>
            </w:pPr>
            <w:r w:rsidRPr="000A168C">
              <w:t>Aged persons</w:t>
            </w:r>
          </w:p>
          <w:p w:rsidR="00000000" w:rsidRPr="000A168C" w:rsidP="000A168C">
            <w:pPr>
              <w:pStyle w:val="ListBullet"/>
            </w:pPr>
            <w:r w:rsidRPr="000A168C">
              <w:t>Young people</w:t>
            </w:r>
          </w:p>
          <w:p w:rsidR="00000000" w:rsidP="000A168C">
            <w:pPr>
              <w:pStyle w:val="ListBullet"/>
              <w:rPr>
                <w:lang w:val="en-NZ"/>
              </w:rPr>
            </w:pPr>
            <w:r w:rsidRPr="000A168C">
              <w:t>Children</w:t>
            </w:r>
          </w:p>
        </w:tc>
      </w:tr>
      <w:tr w:rsidTr="007C2E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p>
        </w:tc>
      </w:tr>
      <w:tr w:rsidTr="007C2E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r w:rsidRPr="000A168C">
              <w:rPr>
                <w:rStyle w:val="Emphasis"/>
              </w:rPr>
              <w:t>Informed consent may include</w:t>
            </w:r>
            <w:r w:rsidRPr="000A168C">
              <w:t>:</w:t>
            </w:r>
          </w:p>
        </w:tc>
        <w:tc>
          <w:tcPr>
            <w:tcW w:w="5670" w:type="dxa"/>
            <w:tcBorders>
              <w:top w:val="nil"/>
              <w:left w:val="nil"/>
              <w:bottom w:val="nil"/>
              <w:right w:val="nil"/>
            </w:tcBorders>
            <w:tcMar>
              <w:top w:w="0" w:type="dxa"/>
              <w:left w:w="62" w:type="dxa"/>
              <w:bottom w:w="0" w:type="dxa"/>
              <w:right w:w="62" w:type="dxa"/>
            </w:tcMar>
          </w:tcPr>
          <w:p w:rsidR="00000000" w:rsidRPr="000A168C" w:rsidP="000A168C">
            <w:pPr>
              <w:pStyle w:val="ListBullet"/>
            </w:pPr>
            <w:r w:rsidRPr="000A168C">
              <w:t>Written</w:t>
            </w:r>
          </w:p>
          <w:p w:rsidR="00000000" w:rsidRPr="000A168C" w:rsidP="000A168C">
            <w:pPr>
              <w:pStyle w:val="ListBullet"/>
            </w:pPr>
            <w:r w:rsidRPr="000A168C">
              <w:t xml:space="preserve">Verbal </w:t>
            </w:r>
          </w:p>
          <w:p w:rsidR="00000000" w:rsidP="000A168C">
            <w:pPr>
              <w:pStyle w:val="ListBullet"/>
              <w:rPr>
                <w:lang w:val="en-NZ"/>
              </w:rPr>
            </w:pPr>
            <w:r w:rsidRPr="000A168C">
              <w:t>Implied</w:t>
            </w:r>
          </w:p>
        </w:tc>
      </w:tr>
      <w:tr w:rsidTr="007C2E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p>
        </w:tc>
      </w:tr>
      <w:tr w:rsidTr="007C2E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r w:rsidRPr="000A168C">
              <w:rPr>
                <w:rStyle w:val="Emphasis"/>
              </w:rPr>
              <w:t>Confidentiality of client information may include</w:t>
            </w:r>
            <w:r w:rsidRPr="000A168C">
              <w:t>:</w:t>
            </w:r>
          </w:p>
        </w:tc>
        <w:tc>
          <w:tcPr>
            <w:tcW w:w="5670" w:type="dxa"/>
            <w:tcBorders>
              <w:top w:val="nil"/>
              <w:left w:val="nil"/>
              <w:bottom w:val="nil"/>
              <w:right w:val="nil"/>
            </w:tcBorders>
            <w:tcMar>
              <w:top w:w="0" w:type="dxa"/>
              <w:left w:w="62" w:type="dxa"/>
              <w:bottom w:w="0" w:type="dxa"/>
              <w:right w:w="62" w:type="dxa"/>
            </w:tcMar>
          </w:tcPr>
          <w:p w:rsidR="00000000" w:rsidRPr="000A168C" w:rsidP="000A168C">
            <w:pPr>
              <w:pStyle w:val="ListBullet"/>
            </w:pPr>
            <w:r w:rsidRPr="000A168C">
              <w:t>Legal and ethical requirements</w:t>
            </w:r>
          </w:p>
          <w:p w:rsidR="00000000" w:rsidRPr="000A168C" w:rsidP="000A168C">
            <w:pPr>
              <w:pStyle w:val="ListBullet"/>
            </w:pPr>
            <w:r w:rsidRPr="000A168C">
              <w:t>Secure location for written records</w:t>
            </w:r>
          </w:p>
          <w:p w:rsidR="00000000" w:rsidRPr="000A168C" w:rsidP="000A168C">
            <w:pPr>
              <w:pStyle w:val="ListBullet"/>
            </w:pPr>
            <w:r w:rsidRPr="000A168C">
              <w:t>Telephone conversations</w:t>
            </w:r>
          </w:p>
          <w:p w:rsidR="00000000" w:rsidRPr="000A168C" w:rsidP="000A168C">
            <w:pPr>
              <w:pStyle w:val="ListBullet"/>
            </w:pPr>
            <w:r w:rsidRPr="000A168C">
              <w:t xml:space="preserve">Offering a private location for discussions </w:t>
            </w:r>
          </w:p>
          <w:p w:rsidR="00000000" w:rsidRPr="000A168C" w:rsidP="000A168C">
            <w:pPr>
              <w:pStyle w:val="ListBullet"/>
            </w:pPr>
            <w:r w:rsidRPr="000A168C">
              <w:t>Information disclosed to an appropriate person consistent with the r</w:t>
            </w:r>
            <w:r w:rsidRPr="000A168C">
              <w:t>esponsibility of this position</w:t>
            </w:r>
          </w:p>
          <w:p w:rsidR="00000000" w:rsidRPr="000A168C" w:rsidP="000A168C">
            <w:pPr>
              <w:pStyle w:val="ListBullet"/>
            </w:pPr>
            <w:r w:rsidRPr="000A168C">
              <w:t>Adherence to the Privacy Act</w:t>
            </w:r>
          </w:p>
          <w:p w:rsidR="00000000" w:rsidP="000A168C">
            <w:pPr>
              <w:pStyle w:val="ListBullet"/>
              <w:rPr>
                <w:lang w:val="en-NZ"/>
              </w:rPr>
            </w:pPr>
            <w:r w:rsidRPr="000A168C">
              <w:t>Optometric client records</w:t>
            </w:r>
          </w:p>
        </w:tc>
      </w:tr>
      <w:tr w:rsidTr="007C2E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p>
        </w:tc>
      </w:tr>
      <w:tr w:rsidTr="007C2E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r w:rsidRPr="000A168C">
              <w:rPr>
                <w:rStyle w:val="Emphasis"/>
              </w:rPr>
              <w:t>Measurements include</w:t>
            </w:r>
          </w:p>
        </w:tc>
        <w:tc>
          <w:tcPr>
            <w:tcW w:w="5670" w:type="dxa"/>
            <w:tcBorders>
              <w:top w:val="nil"/>
              <w:left w:val="nil"/>
              <w:bottom w:val="nil"/>
              <w:right w:val="nil"/>
            </w:tcBorders>
            <w:tcMar>
              <w:top w:w="0" w:type="dxa"/>
              <w:left w:w="62" w:type="dxa"/>
              <w:bottom w:w="0" w:type="dxa"/>
              <w:right w:w="62" w:type="dxa"/>
            </w:tcMar>
          </w:tcPr>
          <w:p w:rsidR="00000000" w:rsidRPr="000A168C" w:rsidP="000A168C">
            <w:pPr>
              <w:pStyle w:val="ListBullet"/>
            </w:pPr>
            <w:r w:rsidRPr="000A168C">
              <w:t>Monocular PDs</w:t>
            </w:r>
          </w:p>
          <w:p w:rsidR="00000000" w:rsidRPr="000A168C" w:rsidP="000A168C">
            <w:pPr>
              <w:pStyle w:val="ListBullet"/>
            </w:pPr>
            <w:r w:rsidRPr="000A168C">
              <w:t>Monocular heights</w:t>
            </w:r>
          </w:p>
          <w:p w:rsidR="00000000" w:rsidRPr="000A168C" w:rsidP="000A168C">
            <w:pPr>
              <w:pStyle w:val="ListBullet"/>
            </w:pPr>
            <w:r w:rsidRPr="000A168C">
              <w:t>BVD (frame and trial frame)</w:t>
            </w:r>
          </w:p>
          <w:p w:rsidR="00000000" w:rsidP="000A168C">
            <w:pPr>
              <w:pStyle w:val="ListBullet"/>
              <w:rPr>
                <w:lang w:val="en-NZ"/>
              </w:rPr>
            </w:pPr>
            <w:r w:rsidRPr="000A168C">
              <w:t>Pantascopic tllt</w:t>
            </w:r>
          </w:p>
        </w:tc>
      </w:tr>
      <w:tr w:rsidTr="007C2E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p>
        </w:tc>
      </w:tr>
      <w:tr w:rsidTr="007C2E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r w:rsidRPr="000A168C">
              <w:rPr>
                <w:rStyle w:val="Emphasis"/>
              </w:rPr>
              <w:t>Transactions may include</w:t>
            </w:r>
          </w:p>
        </w:tc>
        <w:tc>
          <w:tcPr>
            <w:tcW w:w="5670" w:type="dxa"/>
            <w:tcBorders>
              <w:top w:val="nil"/>
              <w:left w:val="nil"/>
              <w:bottom w:val="nil"/>
              <w:right w:val="nil"/>
            </w:tcBorders>
            <w:tcMar>
              <w:top w:w="0" w:type="dxa"/>
              <w:left w:w="62" w:type="dxa"/>
              <w:bottom w:w="0" w:type="dxa"/>
              <w:right w:w="62" w:type="dxa"/>
            </w:tcMar>
          </w:tcPr>
          <w:p w:rsidR="00000000" w:rsidRPr="000A168C" w:rsidP="000A168C">
            <w:pPr>
              <w:pStyle w:val="ListBullet"/>
            </w:pPr>
            <w:r w:rsidRPr="000A168C">
              <w:t>Manual transactions</w:t>
            </w:r>
          </w:p>
          <w:p w:rsidR="00000000" w:rsidRPr="000A168C" w:rsidP="000A168C">
            <w:pPr>
              <w:pStyle w:val="ListBullet"/>
            </w:pPr>
            <w:r w:rsidRPr="000A168C">
              <w:t>Online transactions</w:t>
            </w:r>
          </w:p>
          <w:p w:rsidR="00000000" w:rsidRPr="000A168C" w:rsidP="000A168C">
            <w:pPr>
              <w:pStyle w:val="ListBullet"/>
            </w:pPr>
            <w:r w:rsidRPr="000A168C">
              <w:t>Third party transactions</w:t>
            </w:r>
          </w:p>
          <w:p w:rsidR="00000000" w:rsidP="000A168C">
            <w:pPr>
              <w:pStyle w:val="ListBullet"/>
              <w:rPr>
                <w:lang w:val="en-NZ"/>
              </w:rPr>
            </w:pPr>
            <w:r w:rsidRPr="000A168C">
              <w:t>Health insurance transactions</w:t>
            </w:r>
          </w:p>
        </w:tc>
      </w:tr>
      <w:tr w:rsidTr="007C2E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p>
        </w:tc>
      </w:tr>
      <w:tr w:rsidTr="007C2E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r w:rsidRPr="000A168C">
              <w:rPr>
                <w:rStyle w:val="Emphasis"/>
              </w:rPr>
              <w:t>Modification techniques must include</w:t>
            </w:r>
            <w:r w:rsidRPr="000A168C">
              <w:t>:</w:t>
            </w:r>
          </w:p>
        </w:tc>
        <w:tc>
          <w:tcPr>
            <w:tcW w:w="5670" w:type="dxa"/>
            <w:tcBorders>
              <w:top w:val="nil"/>
              <w:left w:val="nil"/>
              <w:bottom w:val="nil"/>
              <w:right w:val="nil"/>
            </w:tcBorders>
            <w:tcMar>
              <w:top w:w="0" w:type="dxa"/>
              <w:left w:w="62" w:type="dxa"/>
              <w:bottom w:w="0" w:type="dxa"/>
              <w:right w:w="62" w:type="dxa"/>
            </w:tcMar>
          </w:tcPr>
          <w:p w:rsidR="00000000" w:rsidRPr="000A168C" w:rsidP="000A168C">
            <w:pPr>
              <w:pStyle w:val="ListBullet"/>
            </w:pPr>
            <w:r w:rsidRPr="000A168C">
              <w:t>Frame alignment and adjustment including:</w:t>
            </w:r>
          </w:p>
          <w:p w:rsidR="00000000" w:rsidRPr="000A168C" w:rsidP="000A168C">
            <w:pPr>
              <w:pStyle w:val="ListBullet2"/>
            </w:pPr>
            <w:r w:rsidRPr="000A168C">
              <w:t>BVD</w:t>
            </w:r>
          </w:p>
          <w:p w:rsidR="00000000" w:rsidRPr="000A168C" w:rsidP="000A168C">
            <w:pPr>
              <w:pStyle w:val="ListBullet2"/>
            </w:pPr>
            <w:r w:rsidRPr="000A168C">
              <w:t>Pantoscopic tilt</w:t>
            </w:r>
          </w:p>
          <w:p w:rsidR="00000000" w:rsidP="000A168C">
            <w:pPr>
              <w:pStyle w:val="ListBullet2"/>
              <w:rPr>
                <w:lang w:val="en-NZ"/>
              </w:rPr>
            </w:pPr>
            <w:r w:rsidRPr="000A168C">
              <w:t>Dihedral angle (facial wrap)</w:t>
            </w:r>
          </w:p>
        </w:tc>
      </w:tr>
      <w:tr w:rsidTr="007C2E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p>
        </w:tc>
      </w:tr>
      <w:tr w:rsidTr="007C2E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68C">
            <w:pPr>
              <w:pStyle w:val="BodyText"/>
              <w:rPr>
                <w:lang w:val="en-NZ"/>
              </w:rPr>
            </w:pPr>
            <w:r w:rsidRPr="000A168C">
              <w:rPr>
                <w:rStyle w:val="Emphasis"/>
              </w:rPr>
              <w:t>Relevant policies and procedures may include</w:t>
            </w:r>
            <w:r w:rsidRPr="000A168C">
              <w:t>:</w:t>
            </w:r>
          </w:p>
        </w:tc>
        <w:tc>
          <w:tcPr>
            <w:tcW w:w="5670" w:type="dxa"/>
            <w:tcBorders>
              <w:top w:val="nil"/>
              <w:left w:val="nil"/>
              <w:bottom w:val="nil"/>
              <w:right w:val="nil"/>
            </w:tcBorders>
            <w:tcMar>
              <w:top w:w="0" w:type="dxa"/>
              <w:left w:w="62" w:type="dxa"/>
              <w:bottom w:w="0" w:type="dxa"/>
              <w:right w:w="62" w:type="dxa"/>
            </w:tcMar>
          </w:tcPr>
          <w:p w:rsidR="00000000" w:rsidRPr="000A168C" w:rsidP="000A168C">
            <w:pPr>
              <w:pStyle w:val="ListBullet"/>
            </w:pPr>
            <w:r w:rsidRPr="000A168C">
              <w:t xml:space="preserve">Organisation </w:t>
            </w:r>
          </w:p>
          <w:p w:rsidR="00000000" w:rsidRPr="000A168C" w:rsidP="000A168C">
            <w:pPr>
              <w:pStyle w:val="ListBullet"/>
            </w:pPr>
            <w:r w:rsidRPr="000A168C">
              <w:t>Industry standards (state and national)</w:t>
            </w:r>
          </w:p>
          <w:p w:rsidR="00000000" w:rsidRPr="000A168C" w:rsidP="000A168C">
            <w:pPr>
              <w:pStyle w:val="ListBullet"/>
            </w:pPr>
            <w:r w:rsidRPr="000A168C">
              <w:t>Privacy Act</w:t>
            </w:r>
          </w:p>
          <w:p w:rsidR="00000000" w:rsidRPr="000A168C" w:rsidP="000A168C">
            <w:pPr>
              <w:pStyle w:val="ListBullet"/>
            </w:pPr>
            <w:r w:rsidRPr="000A168C">
              <w:t>Relevant state/territory OHS bodies</w:t>
            </w:r>
          </w:p>
          <w:p w:rsidR="00000000" w:rsidRPr="000A168C" w:rsidP="000A168C">
            <w:pPr>
              <w:pStyle w:val="ListBullet"/>
            </w:pPr>
            <w:r w:rsidRPr="000A168C">
              <w:t>Industry professional bodies</w:t>
            </w:r>
          </w:p>
          <w:p w:rsidR="00000000" w:rsidP="000A168C">
            <w:pPr>
              <w:pStyle w:val="ListBullet"/>
              <w:rPr>
                <w:lang w:val="en-NZ"/>
              </w:rPr>
            </w:pPr>
            <w:r w:rsidRPr="000A168C">
              <w:t>Relevant Australian standards</w:t>
            </w:r>
          </w:p>
        </w:tc>
      </w:tr>
      <w:tr w:rsidTr="007C2E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A168C" w:rsidP="000A168C">
            <w:pPr>
              <w:pStyle w:val="BodyText"/>
            </w:pPr>
          </w:p>
        </w:tc>
      </w:tr>
    </w:tbl>
    <w:p w:rsidR="007C2E82" w:rsidP="000A168C">
      <w:pPr>
        <w:pStyle w:val="BodyText"/>
      </w:pPr>
    </w:p>
    <w:p w:rsidR="007C2E82" w:rsidP="000A168C">
      <w:pPr>
        <w:pStyle w:val="BodyText"/>
      </w:pPr>
    </w:p>
    <w:p w:rsidR="00000000" w:rsidRPr="000A168C" w:rsidP="000A168C">
      <w:pPr>
        <w:pStyle w:val="Heading1"/>
      </w:pPr>
      <w:bookmarkStart w:id="12" w:name="O_295245"/>
      <w:bookmarkEnd w:id="12"/>
      <w:r w:rsidRPr="000A168C">
        <w:t>Unit Sector(s)</w:t>
      </w:r>
    </w:p>
    <w:p w:rsidR="00000000" w:rsidRPr="000A168C" w:rsidP="000A168C">
      <w:pPr>
        <w:pStyle w:val="BodyText"/>
      </w:pPr>
      <w:r w:rsidRPr="000A168C">
        <w:t>Not Applicable</w:t>
      </w:r>
    </w:p>
    <w:p w:rsidR="00000000" w:rsidRPr="000A168C" w:rsidP="000A168C"/>
    <w:sectPr w:rsidSect="000A16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6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2E82" w:rsidP="007C2E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6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E82" w:rsidP="000A16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C2E82" w:rsidP="000A16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C2E82" w:rsidP="000A16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6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2E82" w:rsidP="007C2E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6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E82" w:rsidP="000A168C">
    <w:pPr>
      <w:pStyle w:val="Header"/>
      <w:framePr w:wrap="around"/>
    </w:pPr>
    <w:r>
      <w:fldChar w:fldCharType="begin"/>
    </w:r>
    <w:r>
      <w:instrText xml:space="preserve"> TITLE   \* MERGEFORMAT </w:instrText>
    </w:r>
    <w:r>
      <w:fldChar w:fldCharType="separate"/>
    </w:r>
    <w:r>
      <w:t>HLTOPD403B Dispense optical appliances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2E82" w:rsidP="000A16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DEAC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F0B3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589B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6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168C"/>
    <w:pPr>
      <w:spacing w:before="360" w:after="60"/>
      <w:outlineLvl w:val="0"/>
    </w:pPr>
    <w:rPr>
      <w:sz w:val="32"/>
    </w:rPr>
  </w:style>
  <w:style w:type="paragraph" w:styleId="Heading2">
    <w:name w:val="heading 2"/>
    <w:basedOn w:val="HeadingBase"/>
    <w:next w:val="BodyText"/>
    <w:link w:val="Heading2Char"/>
    <w:qFormat/>
    <w:rsid w:val="000A168C"/>
    <w:pPr>
      <w:keepLines/>
      <w:spacing w:before="240" w:after="120"/>
      <w:outlineLvl w:val="1"/>
    </w:pPr>
    <w:rPr>
      <w:sz w:val="28"/>
      <w:szCs w:val="40"/>
    </w:rPr>
  </w:style>
  <w:style w:type="paragraph" w:styleId="Heading3">
    <w:name w:val="heading 3"/>
    <w:basedOn w:val="HeadingBase"/>
    <w:next w:val="BodyText"/>
    <w:link w:val="Heading3Char"/>
    <w:qFormat/>
    <w:rsid w:val="000A168C"/>
    <w:pPr>
      <w:spacing w:before="180" w:after="120"/>
      <w:outlineLvl w:val="2"/>
    </w:pPr>
    <w:rPr>
      <w:spacing w:val="-10"/>
      <w:kern w:val="32"/>
    </w:rPr>
  </w:style>
  <w:style w:type="paragraph" w:styleId="Heading4">
    <w:name w:val="heading 4"/>
    <w:basedOn w:val="HeadingBase"/>
    <w:next w:val="BodyText"/>
    <w:link w:val="Heading4Char"/>
    <w:qFormat/>
    <w:rsid w:val="000A168C"/>
    <w:pPr>
      <w:spacing w:before="160" w:after="120"/>
      <w:outlineLvl w:val="3"/>
    </w:pPr>
    <w:rPr>
      <w:sz w:val="22"/>
    </w:rPr>
  </w:style>
  <w:style w:type="paragraph" w:styleId="Heading5">
    <w:name w:val="heading 5"/>
    <w:basedOn w:val="HeadingBase"/>
    <w:next w:val="Normal"/>
    <w:link w:val="Heading5Char"/>
    <w:qFormat/>
    <w:rsid w:val="000A168C"/>
    <w:pPr>
      <w:spacing w:before="80"/>
      <w:outlineLvl w:val="4"/>
    </w:pPr>
    <w:rPr>
      <w:color w:val="918585"/>
      <w:sz w:val="20"/>
    </w:rPr>
  </w:style>
  <w:style w:type="paragraph" w:styleId="Heading6">
    <w:name w:val="heading 6"/>
    <w:basedOn w:val="HeadingBase"/>
    <w:next w:val="Normal"/>
    <w:link w:val="Heading6Char"/>
    <w:qFormat/>
    <w:rsid w:val="000A168C"/>
    <w:pPr>
      <w:spacing w:before="60"/>
      <w:outlineLvl w:val="5"/>
    </w:pPr>
    <w:rPr>
      <w:color w:val="918585"/>
      <w:sz w:val="20"/>
    </w:rPr>
  </w:style>
  <w:style w:type="paragraph" w:styleId="Heading7">
    <w:name w:val="heading 7"/>
    <w:basedOn w:val="Normal"/>
    <w:next w:val="Normal"/>
    <w:link w:val="Heading7Char"/>
    <w:qFormat/>
    <w:rsid w:val="000A168C"/>
    <w:pPr>
      <w:ind w:left="720"/>
      <w:outlineLvl w:val="6"/>
    </w:pPr>
    <w:rPr>
      <w:i/>
    </w:rPr>
  </w:style>
  <w:style w:type="paragraph" w:styleId="Heading8">
    <w:name w:val="heading 8"/>
    <w:basedOn w:val="Normal"/>
    <w:next w:val="Normal"/>
    <w:link w:val="Heading8Char"/>
    <w:qFormat/>
    <w:rsid w:val="000A168C"/>
    <w:pPr>
      <w:ind w:left="720"/>
      <w:outlineLvl w:val="7"/>
    </w:pPr>
    <w:rPr>
      <w:i/>
    </w:rPr>
  </w:style>
  <w:style w:type="paragraph" w:styleId="Heading9">
    <w:name w:val="heading 9"/>
    <w:basedOn w:val="Normal"/>
    <w:next w:val="Normal"/>
    <w:link w:val="Heading9Char"/>
    <w:qFormat/>
    <w:rsid w:val="000A168C"/>
    <w:pPr>
      <w:ind w:left="720"/>
      <w:outlineLvl w:val="8"/>
    </w:pPr>
    <w:rPr>
      <w:i/>
    </w:rPr>
  </w:style>
  <w:style w:type="character" w:default="1" w:styleId="DefaultParagraphFont">
    <w:name w:val="Default Paragraph Font"/>
    <w:uiPriority w:val="1"/>
    <w:unhideWhenUsed/>
    <w:rsid w:val="000A16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168C"/>
  </w:style>
  <w:style w:type="character" w:customStyle="1" w:styleId="Heading1Char">
    <w:name w:val="Heading 1 Char"/>
    <w:basedOn w:val="DefaultParagraphFont"/>
    <w:link w:val="Heading1"/>
    <w:rsid w:val="000A168C"/>
    <w:rPr>
      <w:rFonts w:ascii="Times New Roman" w:eastAsia="Times New Roman" w:hAnsi="Times New Roman" w:cs="Times New Roman"/>
      <w:b/>
      <w:sz w:val="32"/>
      <w:szCs w:val="20"/>
      <w:lang w:eastAsia="en-US"/>
    </w:rPr>
  </w:style>
  <w:style w:type="paragraph" w:styleId="BodyText">
    <w:name w:val="Body Text"/>
    <w:basedOn w:val="Normal"/>
    <w:link w:val="BodyTextChar"/>
    <w:rsid w:val="000A16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168C"/>
    <w:rPr>
      <w:rFonts w:ascii="Times New Roman" w:eastAsia="Times New Roman" w:hAnsi="Times New Roman" w:cs="Times New Roman"/>
      <w:sz w:val="24"/>
      <w:lang w:val="en-US" w:eastAsia="en-US"/>
    </w:rPr>
  </w:style>
  <w:style w:type="paragraph" w:styleId="Footer">
    <w:name w:val="footer"/>
    <w:basedOn w:val="Normal"/>
    <w:link w:val="FooterChar"/>
    <w:rsid w:val="000A16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168C"/>
    <w:rPr>
      <w:rFonts w:ascii="Times New Roman" w:eastAsia="Times New Roman" w:hAnsi="Times New Roman" w:cs="Times New Roman"/>
      <w:sz w:val="16"/>
      <w:lang w:val="en-US" w:eastAsia="en-US"/>
    </w:rPr>
  </w:style>
  <w:style w:type="paragraph" w:styleId="List">
    <w:name w:val="List"/>
    <w:basedOn w:val="BodyText"/>
    <w:next w:val="BodyText"/>
    <w:rsid w:val="000A168C"/>
    <w:pPr>
      <w:tabs>
        <w:tab w:val="left" w:pos="340"/>
      </w:tabs>
      <w:spacing w:before="60" w:after="60"/>
      <w:ind w:left="340" w:hanging="340"/>
    </w:pPr>
  </w:style>
  <w:style w:type="paragraph" w:styleId="ListBullet">
    <w:name w:val="List Bullet"/>
    <w:basedOn w:val="List"/>
    <w:rsid w:val="000A168C"/>
    <w:pPr>
      <w:numPr>
        <w:numId w:val="13"/>
      </w:numPr>
      <w:tabs>
        <w:tab w:val="clear" w:pos="340"/>
      </w:tabs>
      <w:spacing w:before="40" w:after="40"/>
    </w:pPr>
  </w:style>
  <w:style w:type="character" w:customStyle="1" w:styleId="SpecialBold">
    <w:name w:val="Special Bold"/>
    <w:basedOn w:val="DefaultParagraphFont"/>
    <w:rsid w:val="000A168C"/>
    <w:rPr>
      <w:b/>
      <w:spacing w:val="0"/>
    </w:rPr>
  </w:style>
  <w:style w:type="paragraph" w:styleId="ListBullet2">
    <w:name w:val="List Bullet 2"/>
    <w:basedOn w:val="List2"/>
    <w:rsid w:val="000A168C"/>
    <w:pPr>
      <w:numPr>
        <w:numId w:val="14"/>
      </w:numPr>
      <w:tabs>
        <w:tab w:val="clear" w:pos="680"/>
      </w:tabs>
    </w:pPr>
  </w:style>
  <w:style w:type="paragraph" w:styleId="Header">
    <w:name w:val="header"/>
    <w:basedOn w:val="Normal"/>
    <w:link w:val="HeaderChar"/>
    <w:rsid w:val="000A16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168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A168C"/>
    <w:rPr>
      <w:i/>
    </w:rPr>
  </w:style>
  <w:style w:type="paragraph" w:customStyle="1" w:styleId="SuperHeading">
    <w:name w:val="SuperHeading"/>
    <w:basedOn w:val="Normal"/>
    <w:rsid w:val="000A168C"/>
    <w:pPr>
      <w:spacing w:before="240" w:after="120"/>
      <w:outlineLvl w:val="0"/>
    </w:pPr>
    <w:rPr>
      <w:rFonts w:ascii="Times New Roman" w:hAnsi="Times New Roman"/>
      <w:b/>
      <w:sz w:val="28"/>
    </w:rPr>
  </w:style>
  <w:style w:type="paragraph" w:customStyle="1" w:styleId="AllowPageBreak">
    <w:name w:val="AllowPageBreak"/>
    <w:rsid w:val="000A16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16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16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16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16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16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16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16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168C"/>
    <w:rPr>
      <w:rFonts w:ascii="Courier New" w:eastAsia="Times New Roman" w:hAnsi="Courier New" w:cs="Times New Roman"/>
      <w:i/>
      <w:szCs w:val="20"/>
      <w:lang w:val="en-US" w:eastAsia="en-US"/>
    </w:rPr>
  </w:style>
  <w:style w:type="paragraph" w:customStyle="1" w:styleId="HeadingBase">
    <w:name w:val="Heading Base"/>
    <w:rsid w:val="000A16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168C"/>
    <w:pPr>
      <w:tabs>
        <w:tab w:val="right" w:leader="dot" w:pos="9072"/>
      </w:tabs>
      <w:ind w:left="567"/>
    </w:pPr>
    <w:rPr>
      <w:szCs w:val="22"/>
    </w:rPr>
  </w:style>
  <w:style w:type="paragraph" w:customStyle="1" w:styleId="TOCBase">
    <w:name w:val="TOC Base"/>
    <w:rsid w:val="000A16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168C"/>
    <w:pPr>
      <w:tabs>
        <w:tab w:val="right" w:leader="dot" w:pos="9072"/>
      </w:tabs>
      <w:spacing w:before="40" w:after="40"/>
      <w:ind w:left="284"/>
    </w:pPr>
    <w:rPr>
      <w:rFonts w:ascii="Times New Roman" w:hAnsi="Times New Roman"/>
    </w:rPr>
  </w:style>
  <w:style w:type="paragraph" w:styleId="TOC1">
    <w:name w:val="toc 1"/>
    <w:basedOn w:val="TOCBase"/>
    <w:next w:val="Normal"/>
    <w:rsid w:val="000A16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168C"/>
    <w:pPr>
      <w:spacing w:before="5040"/>
      <w:jc w:val="center"/>
    </w:pPr>
    <w:rPr>
      <w:sz w:val="48"/>
      <w:szCs w:val="72"/>
      <w:lang w:val="en-US"/>
    </w:rPr>
  </w:style>
  <w:style w:type="character" w:customStyle="1" w:styleId="TitleChar">
    <w:name w:val="Title Char"/>
    <w:basedOn w:val="DefaultParagraphFont"/>
    <w:link w:val="Title"/>
    <w:rsid w:val="000A16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168C"/>
    <w:pPr>
      <w:tabs>
        <w:tab w:val="left" w:pos="3600"/>
        <w:tab w:val="left" w:pos="3958"/>
      </w:tabs>
    </w:pPr>
  </w:style>
  <w:style w:type="paragraph" w:customStyle="1" w:styleId="Note">
    <w:name w:val="Note"/>
    <w:basedOn w:val="BodyText"/>
    <w:rsid w:val="000A16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168C"/>
    <w:pPr>
      <w:framePr w:wrap="auto" w:hAnchor="text" w:y="6049"/>
    </w:pPr>
    <w:rPr>
      <w:color w:val="000000"/>
      <w:sz w:val="40"/>
    </w:rPr>
  </w:style>
  <w:style w:type="paragraph" w:customStyle="1" w:styleId="TOCTitle">
    <w:name w:val="TOCTitle"/>
    <w:basedOn w:val="Heading1"/>
    <w:rsid w:val="000A168C"/>
    <w:pPr>
      <w:spacing w:after="240"/>
      <w:jc w:val="center"/>
      <w:outlineLvl w:val="9"/>
    </w:pPr>
    <w:rPr>
      <w:caps/>
    </w:rPr>
  </w:style>
  <w:style w:type="paragraph" w:customStyle="1" w:styleId="Version">
    <w:name w:val="Version"/>
    <w:rsid w:val="000A16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168C"/>
    <w:pPr>
      <w:keepNext w:val="0"/>
      <w:tabs>
        <w:tab w:val="right" w:pos="4176"/>
      </w:tabs>
      <w:ind w:left="198" w:hanging="198"/>
    </w:pPr>
    <w:rPr>
      <w:rFonts w:ascii="Garamond" w:hAnsi="Garamond"/>
    </w:rPr>
  </w:style>
  <w:style w:type="paragraph" w:styleId="IndexHeading">
    <w:name w:val="index heading"/>
    <w:basedOn w:val="Normal"/>
    <w:next w:val="Index1"/>
    <w:semiHidden/>
    <w:rsid w:val="000A168C"/>
    <w:pPr>
      <w:spacing w:before="120" w:after="120"/>
    </w:pPr>
    <w:rPr>
      <w:rFonts w:ascii="Arial" w:hAnsi="Arial"/>
      <w:b/>
      <w:color w:val="918585"/>
      <w:sz w:val="24"/>
    </w:rPr>
  </w:style>
  <w:style w:type="paragraph" w:customStyle="1" w:styleId="Chapter">
    <w:name w:val="Chapter"/>
    <w:basedOn w:val="Normal"/>
    <w:rsid w:val="000A168C"/>
    <w:pPr>
      <w:spacing w:before="240"/>
    </w:pPr>
    <w:rPr>
      <w:rFonts w:ascii="Times New Roman" w:hAnsi="Times New Roman"/>
      <w:smallCaps/>
      <w:spacing w:val="80"/>
      <w:sz w:val="28"/>
    </w:rPr>
  </w:style>
  <w:style w:type="paragraph" w:customStyle="1" w:styleId="InChapter">
    <w:name w:val="InChapter"/>
    <w:basedOn w:val="Heading3"/>
    <w:rsid w:val="000A168C"/>
    <w:pPr>
      <w:spacing w:after="240"/>
      <w:outlineLvl w:val="9"/>
    </w:pPr>
    <w:rPr>
      <w:noProof/>
    </w:rPr>
  </w:style>
  <w:style w:type="paragraph" w:styleId="Index2">
    <w:name w:val="index 2"/>
    <w:basedOn w:val="Normal"/>
    <w:next w:val="Normal"/>
    <w:semiHidden/>
    <w:rsid w:val="000A168C"/>
    <w:pPr>
      <w:tabs>
        <w:tab w:val="right" w:pos="4176"/>
      </w:tabs>
      <w:ind w:left="568" w:hanging="284"/>
    </w:pPr>
    <w:rPr>
      <w:rFonts w:ascii="Garamond" w:hAnsi="Garamond"/>
    </w:rPr>
  </w:style>
  <w:style w:type="paragraph" w:customStyle="1" w:styleId="Byline">
    <w:name w:val="Byline"/>
    <w:rsid w:val="000A16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168C"/>
    <w:pPr>
      <w:tabs>
        <w:tab w:val="clear" w:pos="3600"/>
        <w:tab w:val="clear" w:pos="3958"/>
      </w:tabs>
      <w:jc w:val="right"/>
    </w:pPr>
  </w:style>
  <w:style w:type="paragraph" w:styleId="Caption">
    <w:name w:val="caption"/>
    <w:basedOn w:val="BodyText"/>
    <w:next w:val="Normal"/>
    <w:qFormat/>
    <w:rsid w:val="000A168C"/>
    <w:pPr>
      <w:framePr w:w="2268" w:hSpace="181" w:vSpace="181" w:wrap="around" w:vAnchor="text" w:hAnchor="page" w:x="1135" w:y="285" w:anchorLock="1"/>
    </w:pPr>
    <w:rPr>
      <w:i/>
    </w:rPr>
  </w:style>
  <w:style w:type="paragraph" w:customStyle="1" w:styleId="MiniTOCTitle">
    <w:name w:val="MiniTOCTitle"/>
    <w:basedOn w:val="Heading4"/>
    <w:rsid w:val="000A168C"/>
    <w:pPr>
      <w:spacing w:before="240"/>
      <w:outlineLvl w:val="9"/>
    </w:pPr>
    <w:rPr>
      <w:noProof/>
      <w:sz w:val="24"/>
    </w:rPr>
  </w:style>
  <w:style w:type="paragraph" w:customStyle="1" w:styleId="MiniTOCItem">
    <w:name w:val="MiniTOCItem"/>
    <w:basedOn w:val="ListBullet"/>
    <w:rsid w:val="000A168C"/>
    <w:pPr>
      <w:numPr>
        <w:numId w:val="0"/>
      </w:numPr>
      <w:tabs>
        <w:tab w:val="right" w:leader="dot" w:pos="6521"/>
      </w:tabs>
      <w:spacing w:before="0" w:after="0"/>
    </w:pPr>
  </w:style>
  <w:style w:type="paragraph" w:customStyle="1" w:styleId="TOFTitle">
    <w:name w:val="TOFTitle"/>
    <w:basedOn w:val="TOCTitle"/>
    <w:rsid w:val="000A168C"/>
  </w:style>
  <w:style w:type="paragraph" w:styleId="TableofFigures">
    <w:name w:val="table of figures"/>
    <w:basedOn w:val="Normal"/>
    <w:next w:val="Normal"/>
    <w:semiHidden/>
    <w:rsid w:val="000A168C"/>
    <w:pPr>
      <w:tabs>
        <w:tab w:val="right" w:leader="dot" w:pos="9072"/>
      </w:tabs>
      <w:ind w:left="970" w:hanging="403"/>
    </w:pPr>
    <w:rPr>
      <w:rFonts w:ascii="Times New Roman" w:hAnsi="Times New Roman"/>
      <w:b/>
    </w:rPr>
  </w:style>
  <w:style w:type="paragraph" w:styleId="ListNumber">
    <w:name w:val="List Number"/>
    <w:basedOn w:val="List"/>
    <w:rsid w:val="000A168C"/>
    <w:pPr>
      <w:numPr>
        <w:numId w:val="11"/>
      </w:numPr>
    </w:pPr>
  </w:style>
  <w:style w:type="character" w:customStyle="1" w:styleId="WingdingSymbols">
    <w:name w:val="Wingding Symbols"/>
    <w:rsid w:val="000A168C"/>
    <w:rPr>
      <w:rFonts w:ascii="Wingdings" w:hAnsi="Wingdings"/>
    </w:rPr>
  </w:style>
  <w:style w:type="paragraph" w:customStyle="1" w:styleId="TableHeading">
    <w:name w:val="Table Heading"/>
    <w:basedOn w:val="HeadingBase"/>
    <w:rsid w:val="000A168C"/>
    <w:pPr>
      <w:keepLines/>
      <w:pBdr>
        <w:bottom w:val="single" w:sz="6" w:space="1" w:color="918585"/>
      </w:pBdr>
      <w:spacing w:before="240"/>
    </w:pPr>
  </w:style>
  <w:style w:type="character" w:customStyle="1" w:styleId="HotSpot">
    <w:name w:val="HotSpot"/>
    <w:rsid w:val="000A168C"/>
    <w:rPr>
      <w:color w:val="0033CC"/>
      <w:u w:val="none"/>
    </w:rPr>
  </w:style>
  <w:style w:type="paragraph" w:customStyle="1" w:styleId="BodyTextRight">
    <w:name w:val="Body Text Right"/>
    <w:basedOn w:val="BodyText"/>
    <w:rsid w:val="000A168C"/>
    <w:pPr>
      <w:spacing w:before="0" w:after="0"/>
      <w:jc w:val="right"/>
    </w:pPr>
  </w:style>
  <w:style w:type="paragraph" w:styleId="Index3">
    <w:name w:val="index 3"/>
    <w:basedOn w:val="ListNumber2"/>
    <w:next w:val="Normal"/>
    <w:semiHidden/>
    <w:rsid w:val="000A168C"/>
    <w:pPr>
      <w:numPr>
        <w:numId w:val="0"/>
      </w:numPr>
      <w:tabs>
        <w:tab w:val="right" w:leader="dot" w:pos="4176"/>
      </w:tabs>
    </w:pPr>
  </w:style>
  <w:style w:type="paragraph" w:styleId="ListNumber2">
    <w:name w:val="List Number 2"/>
    <w:basedOn w:val="List2"/>
    <w:rsid w:val="000A168C"/>
    <w:pPr>
      <w:numPr>
        <w:numId w:val="10"/>
      </w:numPr>
      <w:tabs>
        <w:tab w:val="clear" w:pos="1060"/>
      </w:tabs>
    </w:pPr>
  </w:style>
  <w:style w:type="paragraph" w:customStyle="1" w:styleId="MarginNote">
    <w:name w:val="Margin Note"/>
    <w:basedOn w:val="BodyText"/>
    <w:rsid w:val="000A16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16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16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168C"/>
    <w:rPr>
      <w:sz w:val="32"/>
    </w:rPr>
  </w:style>
  <w:style w:type="paragraph" w:customStyle="1" w:styleId="HeadingProcedure">
    <w:name w:val="Heading Procedure"/>
    <w:basedOn w:val="HeadingBase"/>
    <w:next w:val="Normal"/>
    <w:rsid w:val="000A168C"/>
    <w:pPr>
      <w:tabs>
        <w:tab w:val="left" w:pos="0"/>
      </w:tabs>
      <w:spacing w:before="120" w:after="60"/>
    </w:pPr>
    <w:rPr>
      <w:i/>
      <w:color w:val="918585"/>
      <w:sz w:val="22"/>
    </w:rPr>
  </w:style>
  <w:style w:type="paragraph" w:customStyle="1" w:styleId="TableBodyText">
    <w:name w:val="Table Body Text"/>
    <w:basedOn w:val="BodyText"/>
    <w:rsid w:val="000A168C"/>
    <w:pPr>
      <w:spacing w:before="60" w:after="60"/>
    </w:pPr>
  </w:style>
  <w:style w:type="paragraph" w:styleId="ListContinue">
    <w:name w:val="List Continue"/>
    <w:basedOn w:val="List"/>
    <w:rsid w:val="000A168C"/>
    <w:pPr>
      <w:ind w:firstLine="0"/>
    </w:pPr>
  </w:style>
  <w:style w:type="paragraph" w:customStyle="1" w:styleId="ListNote">
    <w:name w:val="List Note"/>
    <w:basedOn w:val="List"/>
    <w:rsid w:val="000A168C"/>
    <w:pPr>
      <w:pBdr>
        <w:top w:val="single" w:sz="6" w:space="2" w:color="918585"/>
        <w:bottom w:val="single" w:sz="6" w:space="2" w:color="918585"/>
      </w:pBdr>
      <w:tabs>
        <w:tab w:val="left" w:pos="1021"/>
      </w:tabs>
      <w:ind w:firstLine="0"/>
    </w:pPr>
  </w:style>
  <w:style w:type="paragraph" w:customStyle="1" w:styleId="Warning">
    <w:name w:val="Warning"/>
    <w:basedOn w:val="BodyText"/>
    <w:rsid w:val="000A168C"/>
    <w:pPr>
      <w:shd w:val="clear" w:color="auto" w:fill="D9D9D9"/>
      <w:tabs>
        <w:tab w:val="left" w:pos="992"/>
      </w:tabs>
      <w:ind w:left="119" w:right="119"/>
    </w:pPr>
    <w:rPr>
      <w:sz w:val="20"/>
    </w:rPr>
  </w:style>
  <w:style w:type="paragraph" w:customStyle="1" w:styleId="MarginIcons">
    <w:name w:val="Margin Icons"/>
    <w:basedOn w:val="BodyText"/>
    <w:rsid w:val="000A16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168C"/>
    <w:rPr>
      <w:rFonts w:ascii="Courier New" w:hAnsi="Courier New"/>
    </w:rPr>
  </w:style>
  <w:style w:type="paragraph" w:customStyle="1" w:styleId="NoteBullet">
    <w:name w:val="Note Bullet"/>
    <w:basedOn w:val="Note"/>
    <w:rsid w:val="000A168C"/>
    <w:pPr>
      <w:tabs>
        <w:tab w:val="clear" w:pos="680"/>
      </w:tabs>
      <w:spacing w:before="60" w:after="60"/>
    </w:pPr>
  </w:style>
  <w:style w:type="paragraph" w:customStyle="1" w:styleId="SubHeading2">
    <w:name w:val="SubHeading2"/>
    <w:basedOn w:val="HeadingBase"/>
    <w:rsid w:val="000A168C"/>
    <w:pPr>
      <w:spacing w:before="240" w:after="60"/>
    </w:pPr>
    <w:rPr>
      <w:sz w:val="20"/>
    </w:rPr>
  </w:style>
  <w:style w:type="paragraph" w:customStyle="1" w:styleId="SubHeading1">
    <w:name w:val="SubHeading1"/>
    <w:basedOn w:val="HeadingBase"/>
    <w:rsid w:val="000A168C"/>
    <w:pPr>
      <w:spacing w:before="240" w:after="60"/>
    </w:pPr>
    <w:rPr>
      <w:color w:val="918585"/>
      <w:sz w:val="22"/>
    </w:rPr>
  </w:style>
  <w:style w:type="paragraph" w:customStyle="1" w:styleId="SideHeading">
    <w:name w:val="Side Heading"/>
    <w:basedOn w:val="HeadingBase"/>
    <w:rsid w:val="000A16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168C"/>
    <w:pPr>
      <w:numPr>
        <w:numId w:val="12"/>
      </w:numPr>
    </w:pPr>
  </w:style>
  <w:style w:type="paragraph" w:styleId="PlainText">
    <w:name w:val="Plain Text"/>
    <w:basedOn w:val="Normal"/>
    <w:link w:val="PlainTextChar"/>
    <w:rsid w:val="000A168C"/>
    <w:rPr>
      <w:sz w:val="20"/>
    </w:rPr>
  </w:style>
  <w:style w:type="character" w:customStyle="1" w:styleId="PlainTextChar">
    <w:name w:val="Plain Text Char"/>
    <w:basedOn w:val="DefaultParagraphFont"/>
    <w:link w:val="PlainText"/>
    <w:rsid w:val="000A16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A168C"/>
    <w:rPr>
      <w:b/>
      <w:smallCaps/>
    </w:rPr>
  </w:style>
  <w:style w:type="paragraph" w:customStyle="1" w:styleId="TableListNumber">
    <w:name w:val="Table List Number"/>
    <w:basedOn w:val="ListNumber"/>
    <w:rsid w:val="000A168C"/>
    <w:pPr>
      <w:numPr>
        <w:numId w:val="0"/>
      </w:numPr>
    </w:pPr>
  </w:style>
  <w:style w:type="paragraph" w:styleId="TOC4">
    <w:name w:val="toc 4"/>
    <w:basedOn w:val="TOCBase"/>
    <w:next w:val="Normal"/>
    <w:semiHidden/>
    <w:rsid w:val="000A168C"/>
    <w:pPr>
      <w:tabs>
        <w:tab w:val="right" w:leader="dot" w:pos="9071"/>
      </w:tabs>
      <w:ind w:left="1701"/>
    </w:pPr>
  </w:style>
  <w:style w:type="paragraph" w:customStyle="1" w:styleId="ListAlpha">
    <w:name w:val="List Alpha"/>
    <w:basedOn w:val="List"/>
    <w:rsid w:val="000A168C"/>
    <w:pPr>
      <w:numPr>
        <w:numId w:val="9"/>
      </w:numPr>
    </w:pPr>
  </w:style>
  <w:style w:type="paragraph" w:customStyle="1" w:styleId="ListAlpha2">
    <w:name w:val="List Alpha 2"/>
    <w:basedOn w:val="List2"/>
    <w:rsid w:val="000A168C"/>
    <w:pPr>
      <w:numPr>
        <w:numId w:val="8"/>
      </w:numPr>
    </w:pPr>
  </w:style>
  <w:style w:type="paragraph" w:styleId="List2">
    <w:name w:val="List 2"/>
    <w:basedOn w:val="BodyText"/>
    <w:rsid w:val="000A168C"/>
    <w:pPr>
      <w:tabs>
        <w:tab w:val="left" w:pos="680"/>
      </w:tabs>
      <w:spacing w:before="60" w:after="60"/>
      <w:ind w:left="680" w:hanging="340"/>
    </w:pPr>
  </w:style>
  <w:style w:type="paragraph" w:styleId="List3">
    <w:name w:val="List 3"/>
    <w:basedOn w:val="BodyText"/>
    <w:rsid w:val="000A168C"/>
    <w:pPr>
      <w:tabs>
        <w:tab w:val="left" w:pos="1021"/>
      </w:tabs>
      <w:spacing w:before="60" w:after="60"/>
      <w:ind w:left="1020" w:hanging="340"/>
    </w:pPr>
  </w:style>
  <w:style w:type="paragraph" w:styleId="List4">
    <w:name w:val="List 4"/>
    <w:basedOn w:val="BodyText"/>
    <w:rsid w:val="000A168C"/>
    <w:pPr>
      <w:tabs>
        <w:tab w:val="left" w:pos="1361"/>
      </w:tabs>
      <w:spacing w:before="60" w:after="60"/>
      <w:ind w:left="1361" w:hanging="340"/>
    </w:pPr>
  </w:style>
  <w:style w:type="paragraph" w:styleId="List5">
    <w:name w:val="List 5"/>
    <w:basedOn w:val="BodyText"/>
    <w:rsid w:val="000A168C"/>
    <w:pPr>
      <w:tabs>
        <w:tab w:val="left" w:pos="1701"/>
      </w:tabs>
      <w:spacing w:before="60" w:after="60"/>
      <w:ind w:left="1701" w:hanging="340"/>
    </w:pPr>
  </w:style>
  <w:style w:type="paragraph" w:styleId="ListBullet3">
    <w:name w:val="List Bullet 3"/>
    <w:basedOn w:val="List3"/>
    <w:rsid w:val="000A168C"/>
    <w:pPr>
      <w:numPr>
        <w:numId w:val="15"/>
      </w:numPr>
      <w:tabs>
        <w:tab w:val="clear" w:pos="1021"/>
      </w:tabs>
      <w:ind w:left="1037" w:hanging="357"/>
    </w:pPr>
  </w:style>
  <w:style w:type="paragraph" w:styleId="ListBullet4">
    <w:name w:val="List Bullet 4"/>
    <w:basedOn w:val="List4"/>
    <w:rsid w:val="000A168C"/>
    <w:pPr>
      <w:numPr>
        <w:numId w:val="3"/>
      </w:numPr>
    </w:pPr>
  </w:style>
  <w:style w:type="paragraph" w:styleId="ListBullet5">
    <w:name w:val="List Bullet 5"/>
    <w:basedOn w:val="List5"/>
    <w:rsid w:val="000A168C"/>
    <w:pPr>
      <w:numPr>
        <w:numId w:val="4"/>
      </w:numPr>
    </w:pPr>
  </w:style>
  <w:style w:type="paragraph" w:styleId="ListContinue2">
    <w:name w:val="List Continue 2"/>
    <w:basedOn w:val="List2"/>
    <w:rsid w:val="000A168C"/>
    <w:pPr>
      <w:ind w:firstLine="0"/>
    </w:pPr>
  </w:style>
  <w:style w:type="paragraph" w:styleId="ListContinue3">
    <w:name w:val="List Continue 3"/>
    <w:basedOn w:val="List3"/>
    <w:rsid w:val="000A168C"/>
    <w:pPr>
      <w:ind w:left="1021" w:firstLine="0"/>
    </w:pPr>
  </w:style>
  <w:style w:type="paragraph" w:styleId="ListContinue4">
    <w:name w:val="List Continue 4"/>
    <w:basedOn w:val="List4"/>
    <w:rsid w:val="000A168C"/>
    <w:pPr>
      <w:ind w:firstLine="0"/>
    </w:pPr>
  </w:style>
  <w:style w:type="paragraph" w:styleId="ListContinue5">
    <w:name w:val="List Continue 5"/>
    <w:basedOn w:val="List5"/>
    <w:rsid w:val="000A168C"/>
    <w:pPr>
      <w:ind w:firstLine="0"/>
    </w:pPr>
  </w:style>
  <w:style w:type="paragraph" w:styleId="ListNumber3">
    <w:name w:val="List Number 3"/>
    <w:basedOn w:val="List3"/>
    <w:rsid w:val="000A168C"/>
    <w:pPr>
      <w:numPr>
        <w:numId w:val="5"/>
      </w:numPr>
    </w:pPr>
  </w:style>
  <w:style w:type="paragraph" w:styleId="ListNumber4">
    <w:name w:val="List Number 4"/>
    <w:basedOn w:val="List4"/>
    <w:rsid w:val="000A168C"/>
    <w:pPr>
      <w:numPr>
        <w:numId w:val="6"/>
      </w:numPr>
    </w:pPr>
  </w:style>
  <w:style w:type="paragraph" w:styleId="ListNumber5">
    <w:name w:val="List Number 5"/>
    <w:basedOn w:val="List5"/>
    <w:rsid w:val="000A168C"/>
    <w:pPr>
      <w:numPr>
        <w:numId w:val="7"/>
      </w:numPr>
    </w:pPr>
  </w:style>
  <w:style w:type="paragraph" w:styleId="BlockText">
    <w:name w:val="Block Text"/>
    <w:basedOn w:val="Normal"/>
    <w:rsid w:val="000A168C"/>
    <w:pPr>
      <w:spacing w:after="120"/>
      <w:ind w:left="1440" w:right="1440"/>
    </w:pPr>
  </w:style>
  <w:style w:type="character" w:customStyle="1" w:styleId="Subscript">
    <w:name w:val="Subscript"/>
    <w:basedOn w:val="DefaultParagraphFont"/>
    <w:rsid w:val="000A168C"/>
    <w:rPr>
      <w:sz w:val="16"/>
      <w:vertAlign w:val="subscript"/>
    </w:rPr>
  </w:style>
  <w:style w:type="character" w:customStyle="1" w:styleId="Superscript">
    <w:name w:val="Superscript"/>
    <w:basedOn w:val="DefaultParagraphFont"/>
    <w:rsid w:val="000A168C"/>
    <w:rPr>
      <w:sz w:val="16"/>
      <w:vertAlign w:val="superscript"/>
    </w:rPr>
  </w:style>
  <w:style w:type="character" w:customStyle="1" w:styleId="Symbols">
    <w:name w:val="Symbols"/>
    <w:basedOn w:val="DefaultParagraphFont"/>
    <w:rsid w:val="000A168C"/>
    <w:rPr>
      <w:rFonts w:ascii="Symbol" w:hAnsi="Symbol"/>
    </w:rPr>
  </w:style>
  <w:style w:type="character" w:customStyle="1" w:styleId="MenuOptions">
    <w:name w:val="Menu Options"/>
    <w:basedOn w:val="DefaultParagraphFont"/>
    <w:rsid w:val="000A168C"/>
    <w:rPr>
      <w:rFonts w:ascii="Arial Narrow" w:hAnsi="Arial Narrow"/>
      <w:smallCaps/>
    </w:rPr>
  </w:style>
  <w:style w:type="character" w:customStyle="1" w:styleId="Buttons">
    <w:name w:val="Buttons"/>
    <w:basedOn w:val="DefaultParagraphFont"/>
    <w:rsid w:val="000A168C"/>
    <w:rPr>
      <w:b/>
    </w:rPr>
  </w:style>
  <w:style w:type="character" w:customStyle="1" w:styleId="Underlined">
    <w:name w:val="Underlined"/>
    <w:basedOn w:val="DefaultParagraphFont"/>
    <w:rsid w:val="000A168C"/>
    <w:rPr>
      <w:u w:val="single"/>
    </w:rPr>
  </w:style>
  <w:style w:type="paragraph" w:customStyle="1" w:styleId="TableBodyTextRight">
    <w:name w:val="Table Body Text Right"/>
    <w:basedOn w:val="TableBodyText"/>
    <w:rsid w:val="000A168C"/>
    <w:pPr>
      <w:widowControl w:val="0"/>
      <w:autoSpaceDE w:val="0"/>
      <w:autoSpaceDN w:val="0"/>
      <w:adjustRightInd w:val="0"/>
      <w:jc w:val="right"/>
    </w:pPr>
    <w:rPr>
      <w:rFonts w:cs="Arial"/>
      <w:szCs w:val="18"/>
    </w:rPr>
  </w:style>
  <w:style w:type="paragraph" w:customStyle="1" w:styleId="CopyrightText">
    <w:name w:val="Copyright Text"/>
    <w:basedOn w:val="BodyText"/>
    <w:rsid w:val="000A168C"/>
    <w:rPr>
      <w:sz w:val="18"/>
    </w:rPr>
  </w:style>
  <w:style w:type="paragraph" w:customStyle="1" w:styleId="BodySmallRight">
    <w:name w:val="Body Small Right"/>
    <w:basedOn w:val="BodyTextRight"/>
    <w:rsid w:val="000A168C"/>
    <w:rPr>
      <w:sz w:val="18"/>
      <w:szCs w:val="18"/>
    </w:rPr>
  </w:style>
  <w:style w:type="paragraph" w:customStyle="1" w:styleId="MarginEdition">
    <w:name w:val="Margin Edition"/>
    <w:basedOn w:val="MarginNote"/>
    <w:rsid w:val="000A168C"/>
    <w:pPr>
      <w:spacing w:before="0" w:after="0"/>
    </w:pPr>
    <w:rPr>
      <w:rFonts w:ascii="Times New Roman" w:hAnsi="Times New Roman"/>
      <w:color w:val="999999"/>
    </w:rPr>
  </w:style>
  <w:style w:type="paragraph" w:customStyle="1" w:styleId="Spacer">
    <w:name w:val="Spacer"/>
    <w:basedOn w:val="Normal"/>
    <w:rsid w:val="000A168C"/>
    <w:rPr>
      <w:sz w:val="2"/>
      <w:szCs w:val="2"/>
    </w:rPr>
  </w:style>
  <w:style w:type="character" w:customStyle="1" w:styleId="Small">
    <w:name w:val="Small"/>
    <w:basedOn w:val="DefaultParagraphFont"/>
    <w:rsid w:val="000A168C"/>
    <w:rPr>
      <w:sz w:val="16"/>
    </w:rPr>
  </w:style>
  <w:style w:type="paragraph" w:customStyle="1" w:styleId="WideTable">
    <w:name w:val="Wide Table"/>
    <w:basedOn w:val="Normal"/>
    <w:rsid w:val="000A168C"/>
    <w:pPr>
      <w:ind w:left="-1418"/>
    </w:pPr>
    <w:rPr>
      <w:sz w:val="2"/>
      <w:szCs w:val="2"/>
    </w:rPr>
  </w:style>
  <w:style w:type="character" w:styleId="PageNumber">
    <w:name w:val="page number"/>
    <w:basedOn w:val="DefaultParagraphFont"/>
    <w:rsid w:val="000A168C"/>
  </w:style>
  <w:style w:type="paragraph" w:styleId="Quote">
    <w:name w:val="Quote"/>
    <w:basedOn w:val="Heading1"/>
    <w:link w:val="QuoteChar"/>
    <w:qFormat/>
    <w:rsid w:val="000A168C"/>
    <w:rPr>
      <w:b w:val="0"/>
      <w:sz w:val="72"/>
      <w:szCs w:val="72"/>
      <w:lang w:val="en-NZ"/>
    </w:rPr>
  </w:style>
  <w:style w:type="character" w:customStyle="1" w:styleId="QuoteChar">
    <w:name w:val="Quote Char"/>
    <w:basedOn w:val="DefaultParagraphFont"/>
    <w:link w:val="Quote"/>
    <w:rsid w:val="000A16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168C"/>
    <w:pPr>
      <w:pageBreakBefore/>
    </w:pPr>
  </w:style>
  <w:style w:type="paragraph" w:customStyle="1" w:styleId="Border">
    <w:name w:val="Border"/>
    <w:basedOn w:val="Normal"/>
    <w:qFormat/>
    <w:rsid w:val="000A16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168C"/>
    <w:rPr>
      <w:b/>
      <w:bCs/>
      <w:i/>
      <w:iCs/>
      <w:color w:val="auto"/>
    </w:rPr>
  </w:style>
  <w:style w:type="paragraph" w:styleId="IntenseQuote">
    <w:name w:val="Intense Quote"/>
    <w:basedOn w:val="Normal"/>
    <w:next w:val="Normal"/>
    <w:link w:val="IntenseQuoteChar"/>
    <w:uiPriority w:val="30"/>
    <w:qFormat/>
    <w:rsid w:val="000A16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16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A168C"/>
    <w:rPr>
      <w:smallCaps/>
      <w:color w:val="auto"/>
      <w:u w:val="single"/>
    </w:rPr>
  </w:style>
  <w:style w:type="character" w:styleId="IntenseReference">
    <w:name w:val="Intense Reference"/>
    <w:basedOn w:val="DefaultParagraphFont"/>
    <w:uiPriority w:val="32"/>
    <w:qFormat/>
    <w:rsid w:val="000A168C"/>
    <w:rPr>
      <w:b/>
      <w:bCs/>
      <w:smallCaps/>
      <w:color w:val="auto"/>
      <w:spacing w:val="5"/>
      <w:u w:val="single"/>
    </w:rPr>
  </w:style>
  <w:style w:type="paragraph" w:customStyle="1" w:styleId="2ColumnHeading">
    <w:name w:val="2Column Heading"/>
    <w:basedOn w:val="BodyText"/>
    <w:qFormat/>
    <w:rsid w:val="000A168C"/>
    <w:pPr>
      <w:spacing w:after="60"/>
      <w:ind w:left="-2268"/>
    </w:pPr>
    <w:rPr>
      <w:b/>
    </w:rPr>
  </w:style>
  <w:style w:type="paragraph" w:customStyle="1" w:styleId="Heading1TOC">
    <w:name w:val="Heading1 TOC"/>
    <w:basedOn w:val="Normal"/>
    <w:qFormat/>
    <w:rsid w:val="000A168C"/>
    <w:pPr>
      <w:spacing w:before="240" w:after="120"/>
    </w:pPr>
    <w:rPr>
      <w:rFonts w:ascii="Times New Roman" w:hAnsi="Times New Roman"/>
      <w:b/>
      <w:sz w:val="32"/>
    </w:rPr>
  </w:style>
  <w:style w:type="paragraph" w:customStyle="1" w:styleId="Heading2TOC">
    <w:name w:val="Heading2 TOC"/>
    <w:basedOn w:val="Normal"/>
    <w:qFormat/>
    <w:rsid w:val="000A168C"/>
    <w:pPr>
      <w:spacing w:before="240" w:after="60"/>
    </w:pPr>
    <w:rPr>
      <w:rFonts w:ascii="Times New Roman" w:hAnsi="Times New Roman"/>
      <w:b/>
      <w:sz w:val="28"/>
    </w:rPr>
  </w:style>
  <w:style w:type="character" w:customStyle="1" w:styleId="Underline">
    <w:name w:val="Underline"/>
    <w:basedOn w:val="DefaultParagraphFont"/>
    <w:qFormat/>
    <w:rsid w:val="000A168C"/>
    <w:rPr>
      <w:u w:val="single"/>
    </w:rPr>
  </w:style>
  <w:style w:type="character" w:customStyle="1" w:styleId="BoldandItalics">
    <w:name w:val="Bold and Italics"/>
    <w:qFormat/>
    <w:rsid w:val="000A168C"/>
    <w:rPr>
      <w:b/>
      <w:i/>
      <w:u w:val="none"/>
    </w:rPr>
  </w:style>
  <w:style w:type="paragraph" w:styleId="BalloonText">
    <w:name w:val="Balloon Text"/>
    <w:basedOn w:val="Normal"/>
    <w:link w:val="BalloonTextChar"/>
    <w:rsid w:val="000A168C"/>
    <w:rPr>
      <w:rFonts w:ascii="Tahoma" w:hAnsi="Tahoma" w:cs="Tahoma"/>
      <w:sz w:val="16"/>
      <w:szCs w:val="16"/>
    </w:rPr>
  </w:style>
  <w:style w:type="character" w:customStyle="1" w:styleId="BalloonTextChar">
    <w:name w:val="Balloon Text Char"/>
    <w:basedOn w:val="DefaultParagraphFont"/>
    <w:link w:val="BalloonText"/>
    <w:rsid w:val="000A16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16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16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2192</Words>
  <Characters>13655</Characters>
  <Application>Microsoft Office Word</Application>
  <DocSecurity>0</DocSecurity>
  <Lines>448</Lines>
  <Paragraphs>275</Paragraphs>
  <ScaleCrop>false</ScaleCrop>
  <Company>Author-it Software Corporation Ltd.</Company>
  <LinksUpToDate>false</LinksUpToDate>
  <CharactersWithSpaces>15780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HLTOPD403B Dispense optical appliances and services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2012-05-26T17:00:00Z</dcterms:created>
  <dcterms:modified xsi:type="dcterms:W3CDTF">2012-05-26T17:00:00Z</dcterms:modified>
</cp:coreProperties>
</file>