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631" w:rsidP="008D2631">
      <w:pPr>
        <w:pStyle w:val="Title"/>
      </w:pPr>
      <w:r>
        <w:fldChar w:fldCharType="begin"/>
      </w:r>
      <w:r>
        <w:instrText xml:space="preserve"> TITLE   \* MERGEFORMAT </w:instrText>
      </w:r>
      <w:r>
        <w:fldChar w:fldCharType="separate"/>
      </w:r>
      <w:r>
        <w:t>HLTOHS601A Improve workplace OHS processes</w:t>
      </w:r>
      <w:r>
        <w:fldChar w:fldCharType="end"/>
      </w:r>
    </w:p>
    <w:p w:rsidR="008D2631" w:rsidP="008D2631">
      <w:pPr>
        <w:pStyle w:val="Version"/>
        <w:sectPr w:rsidSect="004D12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2F4" w:rsidP="004D12F4">
      <w:pPr>
        <w:pStyle w:val="SuperHeading"/>
      </w:pPr>
      <w:r w:rsidRPr="004D12F4">
        <w:t>HLTOHS601A Improve workplace OHS processes</w:t>
      </w:r>
    </w:p>
    <w:p w:rsidR="00000000" w:rsidRPr="004D12F4" w:rsidP="004D12F4">
      <w:pPr>
        <w:pStyle w:val="Heading1"/>
      </w:pPr>
      <w:bookmarkStart w:id="1" w:name="O_271336"/>
      <w:bookmarkEnd w:id="1"/>
      <w:r w:rsidRPr="004D12F4">
        <w:t>Modification History</w:t>
      </w:r>
    </w:p>
    <w:p w:rsidR="00000000" w:rsidRPr="004D12F4" w:rsidP="004D12F4">
      <w:pPr>
        <w:pStyle w:val="BodyText"/>
      </w:pPr>
      <w:r w:rsidRPr="004D12F4">
        <w:t>Not Applicable</w:t>
      </w:r>
    </w:p>
    <w:p w:rsidR="00000000" w:rsidRPr="004D12F4" w:rsidP="004D12F4">
      <w:pPr>
        <w:pStyle w:val="AllowPageBreak"/>
      </w:pPr>
    </w:p>
    <w:p w:rsidR="00000000" w:rsidRPr="004D12F4" w:rsidP="004D12F4">
      <w:pPr>
        <w:pStyle w:val="Heading1"/>
      </w:pPr>
      <w:bookmarkStart w:id="2" w:name="O_206380"/>
      <w:bookmarkEnd w:id="2"/>
      <w:r w:rsidRPr="004D12F4">
        <w:t>Unit Descriptor</w:t>
      </w:r>
    </w:p>
    <w:tbl>
      <w:tblPr>
        <w:tblW w:w="0" w:type="auto"/>
        <w:tblLayout w:type="fixed"/>
        <w:tblCellMar>
          <w:left w:w="62" w:type="dxa"/>
          <w:right w:w="62" w:type="dxa"/>
        </w:tblCellMar>
        <w:tblLook w:val="0000"/>
      </w:tblPr>
      <w:tblGrid>
        <w:gridCol w:w="3338"/>
        <w:gridCol w:w="5218"/>
      </w:tblGrid>
      <w:tr w:rsidTr="008D263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This unit specifies the workplace performance required by an individual who is responsible for the review and impro</w:t>
            </w:r>
            <w:r w:rsidRPr="004D12F4">
              <w:t>vement of a systematic approach to managing OHS, where there is some autonomy regarding development of policies, procedures and processes, and in the allocation of roles and resources</w:t>
            </w:r>
          </w:p>
        </w:tc>
      </w:tr>
    </w:tbl>
    <w:p w:rsidR="008D2631" w:rsidP="004D12F4">
      <w:pPr>
        <w:pStyle w:val="BodyText"/>
      </w:pPr>
    </w:p>
    <w:p w:rsidR="008D2631" w:rsidP="004D12F4">
      <w:pPr>
        <w:pStyle w:val="BodyText"/>
      </w:pPr>
    </w:p>
    <w:p w:rsidR="00000000" w:rsidRPr="004D12F4" w:rsidP="004D12F4">
      <w:pPr>
        <w:pStyle w:val="Heading1"/>
      </w:pPr>
      <w:bookmarkStart w:id="3" w:name="O_206382"/>
      <w:bookmarkEnd w:id="3"/>
      <w:r w:rsidRPr="004D12F4">
        <w:t>Application of the Unit</w:t>
      </w:r>
    </w:p>
    <w:tbl>
      <w:tblPr>
        <w:tblW w:w="0" w:type="auto"/>
        <w:tblLayout w:type="fixed"/>
        <w:tblCellMar>
          <w:left w:w="62" w:type="dxa"/>
          <w:right w:w="62" w:type="dxa"/>
        </w:tblCellMar>
        <w:tblLook w:val="0000"/>
      </w:tblPr>
      <w:tblGrid>
        <w:gridCol w:w="3340"/>
        <w:gridCol w:w="5216"/>
      </w:tblGrid>
      <w:tr w:rsidTr="008D2631">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Application of this unit should be contextualised to reflect any specific workplace risks, hazards and associated safety practices</w:t>
            </w:r>
          </w:p>
        </w:tc>
      </w:tr>
    </w:tbl>
    <w:p w:rsidR="008D2631" w:rsidP="004D12F4">
      <w:pPr>
        <w:pStyle w:val="BodyText"/>
      </w:pPr>
    </w:p>
    <w:p w:rsidR="008D2631" w:rsidP="004D12F4">
      <w:pPr>
        <w:pStyle w:val="BodyText"/>
      </w:pPr>
    </w:p>
    <w:p w:rsidR="00000000" w:rsidRPr="004D12F4" w:rsidP="004D12F4">
      <w:pPr>
        <w:pStyle w:val="Heading1"/>
      </w:pPr>
      <w:bookmarkStart w:id="4" w:name="O_279596"/>
      <w:bookmarkEnd w:id="4"/>
      <w:r w:rsidRPr="004D12F4">
        <w:t>Licensing/Regulatory Information</w:t>
      </w:r>
    </w:p>
    <w:p w:rsidR="00000000" w:rsidRPr="004D12F4" w:rsidP="004D12F4">
      <w:pPr>
        <w:pStyle w:val="BodyText"/>
      </w:pPr>
      <w:r w:rsidRPr="004D12F4">
        <w:t>Not Applicable</w:t>
      </w:r>
    </w:p>
    <w:p w:rsidR="00000000" w:rsidRPr="004D12F4" w:rsidP="004D12F4">
      <w:pPr>
        <w:pStyle w:val="AllowPageBreak"/>
      </w:pPr>
    </w:p>
    <w:p w:rsidR="00000000" w:rsidRPr="004D12F4" w:rsidP="004D12F4">
      <w:pPr>
        <w:pStyle w:val="Heading1"/>
      </w:pPr>
      <w:bookmarkStart w:id="5" w:name="O_284271"/>
      <w:bookmarkEnd w:id="5"/>
      <w:r w:rsidRPr="004D12F4">
        <w:t>Pre-Requisites</w:t>
      </w:r>
    </w:p>
    <w:p w:rsidR="00000000" w:rsidRPr="004D12F4" w:rsidP="004D12F4">
      <w:pPr>
        <w:pStyle w:val="BodyText"/>
      </w:pPr>
      <w:r w:rsidRPr="004D12F4">
        <w:t>Not Applicable</w:t>
      </w:r>
    </w:p>
    <w:p w:rsidR="00000000" w:rsidRPr="004D12F4" w:rsidP="004D12F4">
      <w:pPr>
        <w:pStyle w:val="AllowPageBreak"/>
      </w:pPr>
    </w:p>
    <w:p w:rsidR="00000000" w:rsidRPr="004D12F4" w:rsidP="004D12F4">
      <w:pPr>
        <w:pStyle w:val="Heading1"/>
      </w:pPr>
      <w:bookmarkStart w:id="6" w:name="O_206381"/>
      <w:bookmarkEnd w:id="6"/>
      <w:r w:rsidRPr="004D12F4">
        <w:t>Employability Skills Information</w:t>
      </w:r>
    </w:p>
    <w:tbl>
      <w:tblPr>
        <w:tblW w:w="0" w:type="auto"/>
        <w:tblLayout w:type="fixed"/>
        <w:tblCellMar>
          <w:left w:w="62" w:type="dxa"/>
          <w:right w:w="62" w:type="dxa"/>
        </w:tblCellMar>
        <w:tblLook w:val="0000"/>
      </w:tblPr>
      <w:tblGrid>
        <w:gridCol w:w="3320"/>
        <w:gridCol w:w="5236"/>
      </w:tblGrid>
      <w:tr w:rsidTr="008D26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This unit contains Employability Skills</w:t>
            </w:r>
          </w:p>
        </w:tc>
      </w:tr>
    </w:tbl>
    <w:p w:rsidR="008D2631" w:rsidP="004D12F4">
      <w:pPr>
        <w:pStyle w:val="BodyText"/>
      </w:pPr>
    </w:p>
    <w:p w:rsidR="008D2631" w:rsidP="004D12F4">
      <w:pPr>
        <w:pStyle w:val="BodyText"/>
      </w:pPr>
    </w:p>
    <w:p w:rsidR="00000000" w:rsidRPr="004D12F4" w:rsidP="004D12F4">
      <w:pPr>
        <w:pStyle w:val="Heading1"/>
      </w:pPr>
      <w:bookmarkStart w:id="7" w:name="O_289382"/>
      <w:bookmarkEnd w:id="7"/>
      <w:r w:rsidRPr="004D12F4">
        <w:t>Elements and Performance Criteria Pre-Content</w:t>
      </w:r>
    </w:p>
    <w:tbl>
      <w:tblPr>
        <w:tblW w:w="0" w:type="auto"/>
        <w:tblLayout w:type="fixed"/>
        <w:tblCellMar>
          <w:left w:w="62" w:type="dxa"/>
          <w:right w:w="62" w:type="dxa"/>
        </w:tblCellMar>
        <w:tblLook w:val="0000"/>
      </w:tblPr>
      <w:tblGrid>
        <w:gridCol w:w="3402"/>
        <w:gridCol w:w="5669"/>
      </w:tblGrid>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The Performance </w:t>
            </w:r>
            <w:r w:rsidRPr="004D12F4">
              <w:t xml:space="preserve">Criteria specify the level of performance required to demonstrate achievement of the Element. Terms in italics are elaborated in the Range Statement. </w:t>
            </w:r>
          </w:p>
        </w:tc>
      </w:tr>
    </w:tbl>
    <w:p w:rsidR="00000000" w:rsidRPr="004D12F4" w:rsidP="004D12F4">
      <w:pPr>
        <w:pStyle w:val="BodyText"/>
      </w:pPr>
    </w:p>
    <w:p w:rsidR="00000000" w:rsidRPr="004D12F4" w:rsidP="004D12F4">
      <w:pPr>
        <w:pStyle w:val="AllowPageBreak"/>
      </w:pPr>
    </w:p>
    <w:p w:rsidR="00000000" w:rsidRPr="004D12F4" w:rsidP="004D12F4">
      <w:pPr>
        <w:pStyle w:val="Heading1"/>
      </w:pPr>
      <w:bookmarkStart w:id="8" w:name="O_236049"/>
      <w:bookmarkEnd w:id="8"/>
      <w:r w:rsidRPr="004D12F4">
        <w:t>Elements and Performance Criteria</w:t>
      </w:r>
    </w:p>
    <w:tbl>
      <w:tblPr>
        <w:tblW w:w="0" w:type="auto"/>
        <w:tblLayout w:type="fixed"/>
        <w:tblCellMar>
          <w:left w:w="62" w:type="dxa"/>
          <w:right w:w="62" w:type="dxa"/>
        </w:tblCellMar>
        <w:tblLook w:val="0000"/>
      </w:tblPr>
      <w:tblGrid>
        <w:gridCol w:w="3402"/>
        <w:gridCol w:w="5669"/>
      </w:tblGrid>
      <w:tr w:rsidTr="008D2631">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PERFORMANCE CRITERIA</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List"/>
              <w:rPr>
                <w:lang w:val="en-NZ"/>
              </w:rPr>
            </w:pPr>
            <w:r w:rsidRPr="004D12F4">
              <w:t>1.</w:t>
            </w:r>
            <w:r w:rsidRPr="004D12F4">
              <w:tab/>
            </w:r>
            <w:r w:rsidRPr="004D12F4">
              <w:t>Collect and analyse information</w:t>
            </w:r>
          </w:p>
        </w:tc>
        <w:tc>
          <w:tcPr>
            <w:tcW w:w="5669"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1.1</w:t>
            </w:r>
            <w:r w:rsidRPr="004D12F4">
              <w:tab/>
              <w:t xml:space="preserve">Identify and access relevant </w:t>
            </w:r>
            <w:r w:rsidRPr="004D12F4">
              <w:rPr>
                <w:rStyle w:val="Emphasis"/>
              </w:rPr>
              <w:t>OHS legislation</w:t>
            </w:r>
            <w:r w:rsidRPr="004D12F4">
              <w:t xml:space="preserve">, </w:t>
            </w:r>
            <w:r w:rsidRPr="004D12F4">
              <w:rPr>
                <w:rStyle w:val="Emphasis"/>
              </w:rPr>
              <w:t>standards</w:t>
            </w:r>
            <w:r w:rsidRPr="004D12F4">
              <w:t xml:space="preserve">, </w:t>
            </w:r>
            <w:r w:rsidRPr="004D12F4">
              <w:rPr>
                <w:rStyle w:val="Emphasis"/>
              </w:rPr>
              <w:t>codes of practice</w:t>
            </w:r>
            <w:r w:rsidRPr="004D12F4">
              <w:t>/</w:t>
            </w:r>
            <w:r w:rsidRPr="004D12F4">
              <w:rPr>
                <w:rStyle w:val="Emphasis"/>
              </w:rPr>
              <w:t>compliance codes</w:t>
            </w:r>
            <w:r w:rsidRPr="004D12F4">
              <w:t xml:space="preserve">, </w:t>
            </w:r>
            <w:r w:rsidRPr="004D12F4">
              <w:rPr>
                <w:rStyle w:val="Emphasis"/>
              </w:rPr>
              <w:t>guidance material</w:t>
            </w:r>
            <w:r w:rsidRPr="004D12F4">
              <w:t xml:space="preserve"> and other sources of OHS information and evaluate their relevance to workplace performance</w:t>
            </w:r>
          </w:p>
          <w:p w:rsidR="00000000" w:rsidRPr="004D12F4" w:rsidP="004D12F4">
            <w:pPr>
              <w:pStyle w:val="BodyText"/>
            </w:pPr>
            <w:r w:rsidRPr="004D12F4">
              <w:t>1.2</w:t>
            </w:r>
            <w:r w:rsidRPr="004D12F4">
              <w:tab/>
              <w:t xml:space="preserve">Analyse other </w:t>
            </w:r>
            <w:r w:rsidRPr="004D12F4">
              <w:t>OHS information from a wide range of internal and external sources in relation to organisation needs, including information relating to sustainability issues</w:t>
            </w:r>
          </w:p>
          <w:p w:rsidR="00000000" w:rsidRPr="004D12F4" w:rsidP="004D12F4">
            <w:pPr>
              <w:pStyle w:val="BodyText"/>
            </w:pPr>
            <w:r w:rsidRPr="004D12F4">
              <w:t>1.3</w:t>
            </w:r>
            <w:r w:rsidRPr="004D12F4">
              <w:tab/>
              <w:t xml:space="preserve">Identify due diligence requirements of management personnel </w:t>
            </w:r>
          </w:p>
          <w:p w:rsidR="00000000" w:rsidRPr="004D12F4" w:rsidP="004D12F4">
            <w:pPr>
              <w:pStyle w:val="BodyText"/>
            </w:pPr>
            <w:r w:rsidRPr="004D12F4">
              <w:t>1.4</w:t>
            </w:r>
            <w:r w:rsidRPr="004D12F4">
              <w:tab/>
              <w:t xml:space="preserve">Identify relationship of OHS </w:t>
            </w:r>
            <w:r w:rsidRPr="004D12F4">
              <w:t xml:space="preserve">to other functional areas and management processes, including management to achieve a range of sustainable outcomes </w:t>
            </w:r>
          </w:p>
          <w:p w:rsidR="00000000" w:rsidRPr="004D12F4" w:rsidP="004D12F4">
            <w:pPr>
              <w:pStyle w:val="BodyText"/>
            </w:pPr>
            <w:r w:rsidRPr="004D12F4">
              <w:t>1.5</w:t>
            </w:r>
            <w:r w:rsidRPr="004D12F4">
              <w:tab/>
              <w:t>Identify implications for the workplace of any changes in OHS legislation, regulations, standards, codes of practice/compliance codes a</w:t>
            </w:r>
            <w:r w:rsidRPr="004D12F4">
              <w:t xml:space="preserve">nd guidance materials </w:t>
            </w:r>
          </w:p>
          <w:p w:rsidR="00000000" w:rsidRPr="004D12F4" w:rsidP="004D12F4">
            <w:pPr>
              <w:pStyle w:val="BodyText"/>
            </w:pPr>
            <w:r w:rsidRPr="004D12F4">
              <w:t>1.6</w:t>
            </w:r>
            <w:r w:rsidRPr="004D12F4">
              <w:tab/>
              <w:t xml:space="preserve">Identify OHS implications of proposed changes to the workplace, work processes or work organisation </w:t>
            </w:r>
          </w:p>
          <w:p w:rsidR="00000000" w:rsidP="004D12F4">
            <w:pPr>
              <w:pStyle w:val="BodyText"/>
              <w:rPr>
                <w:lang w:val="en-NZ"/>
              </w:rPr>
            </w:pPr>
            <w:r w:rsidRPr="004D12F4">
              <w:t>1.7</w:t>
            </w:r>
            <w:r w:rsidRPr="004D12F4">
              <w:tab/>
              <w:t xml:space="preserve">Identify valid and reliable indicators of OHS performance in consultation with stakeholders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List"/>
              <w:rPr>
                <w:lang w:val="en-NZ"/>
              </w:rPr>
            </w:pPr>
            <w:r w:rsidRPr="004D12F4">
              <w:t>2.</w:t>
            </w:r>
            <w:r w:rsidRPr="004D12F4">
              <w:tab/>
            </w:r>
            <w:r w:rsidRPr="004D12F4">
              <w:t>Evaluate information to establish OHS framework</w:t>
            </w:r>
          </w:p>
        </w:tc>
        <w:tc>
          <w:tcPr>
            <w:tcW w:w="5669"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2.1</w:t>
            </w:r>
            <w:r w:rsidRPr="004D12F4">
              <w:tab/>
              <w:t xml:space="preserve">Evaluate organisation policies and procedures for compliance with legislative requirements and a systematic approach to managing OHS </w:t>
            </w:r>
          </w:p>
          <w:p w:rsidR="00000000" w:rsidRPr="004D12F4" w:rsidP="004D12F4">
            <w:pPr>
              <w:pStyle w:val="BodyText"/>
            </w:pPr>
            <w:r w:rsidRPr="004D12F4">
              <w:t>2.2</w:t>
            </w:r>
            <w:r w:rsidRPr="004D12F4">
              <w:tab/>
              <w:t>Develop and/or implement processes to ensure that OHS responsibili</w:t>
            </w:r>
            <w:r w:rsidRPr="004D12F4">
              <w:t>ties and duties are documented and accountability processes are in place</w:t>
            </w:r>
          </w:p>
          <w:p w:rsidR="00000000" w:rsidRPr="004D12F4" w:rsidP="004D12F4">
            <w:pPr>
              <w:pStyle w:val="BodyText"/>
            </w:pPr>
            <w:r w:rsidRPr="004D12F4">
              <w:t>2.3</w:t>
            </w:r>
            <w:r w:rsidRPr="004D12F4">
              <w:tab/>
              <w:t>Review processes for specification, design, purchasing and commissioning of new buildings, plant, equipment and work processes within a safe design framework to ensure that OHS is</w:t>
            </w:r>
            <w:r w:rsidRPr="004D12F4">
              <w:t>sues are addressed</w:t>
            </w:r>
          </w:p>
          <w:p w:rsidR="00000000" w:rsidRPr="004D12F4" w:rsidP="004D12F4">
            <w:pPr>
              <w:pStyle w:val="BodyText"/>
            </w:pPr>
            <w:r w:rsidRPr="004D12F4">
              <w:t>2.4</w:t>
            </w:r>
            <w:r w:rsidRPr="004D12F4">
              <w:tab/>
              <w:t xml:space="preserve">Analyse information and compare against relevant benchmarks where available </w:t>
            </w:r>
          </w:p>
          <w:p w:rsidR="00000000" w:rsidRPr="004D12F4" w:rsidP="004D12F4">
            <w:pPr>
              <w:pStyle w:val="BodyText"/>
            </w:pPr>
            <w:r w:rsidRPr="004D12F4">
              <w:t>2.5</w:t>
            </w:r>
            <w:r w:rsidRPr="004D12F4">
              <w:tab/>
              <w:t xml:space="preserve">Document outcomes of analysis and communicate them to key personnel and </w:t>
            </w:r>
            <w:r w:rsidRPr="004D12F4">
              <w:rPr>
                <w:rStyle w:val="Emphasis"/>
              </w:rPr>
              <w:t>stakeholders</w:t>
            </w:r>
          </w:p>
          <w:p w:rsidR="00000000" w:rsidRPr="004D12F4" w:rsidP="004D12F4">
            <w:pPr>
              <w:pStyle w:val="BodyText"/>
            </w:pPr>
            <w:r w:rsidRPr="004D12F4">
              <w:t>2.6</w:t>
            </w:r>
            <w:r w:rsidRPr="004D12F4">
              <w:tab/>
              <w:t xml:space="preserve">Identify resources for effective management of OHS and develop </w:t>
            </w:r>
            <w:r w:rsidRPr="004D12F4">
              <w:t>a budget</w:t>
            </w:r>
          </w:p>
          <w:p w:rsidR="00000000" w:rsidP="004D12F4">
            <w:pPr>
              <w:pStyle w:val="BodyText"/>
              <w:rPr>
                <w:lang w:val="en-NZ"/>
              </w:rPr>
            </w:pPr>
            <w:r w:rsidRPr="004D12F4">
              <w:t>2.7</w:t>
            </w:r>
            <w:r w:rsidRPr="004D12F4">
              <w:tab/>
              <w:t>Recognise limits of own expertise and seek expert advice as required</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List"/>
              <w:rPr>
                <w:lang w:val="en-NZ"/>
              </w:rPr>
            </w:pPr>
            <w:r w:rsidRPr="004D12F4">
              <w:t>3.</w:t>
            </w:r>
            <w:r w:rsidRPr="004D12F4">
              <w:tab/>
              <w:t>Initiate improvements</w:t>
            </w:r>
          </w:p>
        </w:tc>
        <w:tc>
          <w:tcPr>
            <w:tcW w:w="5669"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3.1</w:t>
            </w:r>
            <w:r w:rsidRPr="004D12F4">
              <w:tab/>
              <w:t xml:space="preserve">Determine priorities in consultation with appropriate managers and according to consultative procedures </w:t>
            </w:r>
          </w:p>
          <w:p w:rsidR="00000000" w:rsidRPr="004D12F4" w:rsidP="004D12F4">
            <w:pPr>
              <w:pStyle w:val="BodyText"/>
            </w:pPr>
            <w:r w:rsidRPr="004D12F4">
              <w:t>3.2</w:t>
            </w:r>
            <w:r w:rsidRPr="004D12F4">
              <w:tab/>
              <w:t>Identify potential barriers to i</w:t>
            </w:r>
            <w:r w:rsidRPr="004D12F4">
              <w:t xml:space="preserve">mprovement </w:t>
            </w:r>
          </w:p>
          <w:p w:rsidR="00000000" w:rsidRPr="004D12F4" w:rsidP="004D12F4">
            <w:pPr>
              <w:pStyle w:val="BodyText"/>
            </w:pPr>
            <w:r w:rsidRPr="004D12F4">
              <w:t>3.3</w:t>
            </w:r>
            <w:r w:rsidRPr="004D12F4">
              <w:tab/>
              <w:t xml:space="preserve">Develop an OHS plan in consultation with stakeholders and key personnel </w:t>
            </w:r>
          </w:p>
          <w:p w:rsidR="00000000" w:rsidP="004D12F4">
            <w:pPr>
              <w:pStyle w:val="BodyText"/>
              <w:rPr>
                <w:lang w:val="en-NZ"/>
              </w:rPr>
            </w:pPr>
            <w:r w:rsidRPr="004D12F4">
              <w:t>3.4</w:t>
            </w:r>
            <w:r w:rsidRPr="004D12F4">
              <w:tab/>
              <w:t xml:space="preserve">Identify resources required for implementation of plan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List"/>
              <w:rPr>
                <w:lang w:val="en-NZ"/>
              </w:rPr>
            </w:pPr>
            <w:r w:rsidRPr="004D12F4">
              <w:t>4.</w:t>
            </w:r>
            <w:r w:rsidRPr="004D12F4">
              <w:tab/>
              <w:t>Maintain improvements</w:t>
            </w:r>
          </w:p>
        </w:tc>
        <w:tc>
          <w:tcPr>
            <w:tcW w:w="5669"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4.1</w:t>
            </w:r>
            <w:r w:rsidRPr="004D12F4">
              <w:tab/>
            </w:r>
            <w:r w:rsidRPr="004D12F4">
              <w:t xml:space="preserve">Establish processes to monitor achievement against the plan and update plans as required </w:t>
            </w:r>
          </w:p>
          <w:p w:rsidR="00000000" w:rsidRPr="004D12F4" w:rsidP="004D12F4">
            <w:pPr>
              <w:pStyle w:val="BodyText"/>
            </w:pPr>
            <w:r w:rsidRPr="004D12F4">
              <w:t>4.2</w:t>
            </w:r>
            <w:r w:rsidRPr="004D12F4">
              <w:tab/>
              <w:t xml:space="preserve">Monitor effectiveness of the systematic approach to managing OHS on an ongoing basis </w:t>
            </w:r>
          </w:p>
          <w:p w:rsidR="00000000" w:rsidP="004D12F4">
            <w:pPr>
              <w:pStyle w:val="BodyText"/>
              <w:rPr>
                <w:lang w:val="en-NZ"/>
              </w:rPr>
            </w:pPr>
            <w:r w:rsidRPr="004D12F4">
              <w:t>4.3</w:t>
            </w:r>
            <w:r w:rsidRPr="004D12F4">
              <w:tab/>
              <w:t>Consult stakeholders and key personnel according to legislative requirem</w:t>
            </w:r>
            <w:r w:rsidRPr="004D12F4">
              <w:t xml:space="preserve">ents and organisation procedures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4D12F4" w:rsidP="004D12F4">
            <w:pPr>
              <w:pStyle w:val="BodyText"/>
            </w:pPr>
          </w:p>
        </w:tc>
      </w:tr>
    </w:tbl>
    <w:p w:rsidR="008D2631" w:rsidP="004D12F4">
      <w:pPr>
        <w:pStyle w:val="BodyText"/>
      </w:pPr>
    </w:p>
    <w:p w:rsidR="008D2631" w:rsidP="004D12F4">
      <w:pPr>
        <w:pStyle w:val="BodyText"/>
      </w:pPr>
    </w:p>
    <w:p w:rsidR="00000000" w:rsidRPr="004D12F4" w:rsidP="004D12F4">
      <w:pPr>
        <w:pStyle w:val="Heading1"/>
      </w:pPr>
      <w:bookmarkStart w:id="9" w:name="O_259999"/>
      <w:bookmarkEnd w:id="9"/>
      <w:r w:rsidRPr="004D12F4">
        <w:t>Required Skills and Knowledge</w:t>
      </w:r>
    </w:p>
    <w:tbl>
      <w:tblPr>
        <w:tblW w:w="0" w:type="auto"/>
        <w:tblLayout w:type="fixed"/>
        <w:tblCellMar>
          <w:left w:w="62" w:type="dxa"/>
          <w:right w:w="62" w:type="dxa"/>
        </w:tblCellMar>
        <w:tblLook w:val="0000"/>
      </w:tblPr>
      <w:tblGrid>
        <w:gridCol w:w="9072"/>
      </w:tblGrid>
      <w:tr w:rsidTr="008D26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REQUIRED SKILLS AND KNOWLEDGE</w:t>
            </w:r>
          </w:p>
        </w:tc>
      </w:tr>
      <w:tr w:rsidTr="008D2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This describes the essential skills and knowledge and their level required for this unit.</w:t>
            </w:r>
          </w:p>
        </w:tc>
      </w:tr>
      <w:tr w:rsidTr="008D2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rPr>
                <w:rStyle w:val="Emphasis"/>
              </w:rPr>
              <w:t>Essential knowledge</w:t>
            </w:r>
            <w:r w:rsidRPr="004D12F4">
              <w:t>:</w:t>
            </w:r>
          </w:p>
          <w:p w:rsidR="00000000" w:rsidRPr="004D12F4" w:rsidP="004D12F4">
            <w:pPr>
              <w:pStyle w:val="BodyText"/>
            </w:pPr>
            <w:r w:rsidRPr="004D12F4">
              <w:t>The candidate mus</w:t>
            </w:r>
            <w:r w:rsidRPr="004D12F4">
              <w:t>t be able to demonstrate essential knowledge required to effectively do the task outlined in elements and performance criteria of this unit, manage the task and manage contingencies in the context of the identified work role</w:t>
            </w:r>
          </w:p>
          <w:p w:rsidR="00000000" w:rsidRPr="004D12F4" w:rsidP="004D12F4">
            <w:pPr>
              <w:pStyle w:val="BodyText"/>
            </w:pPr>
            <w:r w:rsidRPr="004D12F4">
              <w:t>This includes knowledge of:</w:t>
            </w:r>
          </w:p>
          <w:p w:rsidR="00000000" w:rsidRPr="004D12F4" w:rsidP="004D12F4">
            <w:pPr>
              <w:pStyle w:val="ListBullet"/>
            </w:pPr>
            <w:r w:rsidRPr="004D12F4">
              <w:t>Du</w:t>
            </w:r>
            <w:r w:rsidRPr="004D12F4">
              <w:t xml:space="preserve">e diligence and general duty requirements of OHS legislation </w:t>
            </w:r>
          </w:p>
          <w:p w:rsidR="00000000" w:rsidRPr="004D12F4" w:rsidP="004D12F4">
            <w:pPr>
              <w:pStyle w:val="ListBullet"/>
            </w:pPr>
            <w:r w:rsidRPr="004D12F4">
              <w:t xml:space="preserve">Examples of OHS management benchmarks </w:t>
            </w:r>
          </w:p>
          <w:p w:rsidR="00000000" w:rsidRPr="004D12F4" w:rsidP="004D12F4">
            <w:pPr>
              <w:pStyle w:val="ListBullet"/>
            </w:pPr>
            <w:r w:rsidRPr="004D12F4">
              <w:t>Hazards of the particular work environment and how they cause harm</w:t>
            </w:r>
          </w:p>
          <w:p w:rsidR="00000000" w:rsidRPr="004D12F4" w:rsidP="004D12F4">
            <w:pPr>
              <w:pStyle w:val="ListBullet"/>
            </w:pPr>
            <w:r w:rsidRPr="004D12F4">
              <w:t>Hazard identification procedures relevant to the hazards in their workplace:</w:t>
            </w:r>
          </w:p>
          <w:p w:rsidR="00000000" w:rsidRPr="004D12F4" w:rsidP="004D12F4">
            <w:pPr>
              <w:pStyle w:val="ListBullet2"/>
            </w:pPr>
            <w:r w:rsidRPr="004D12F4">
              <w:t>awards and enterprise agreements that impact on the particular workplace</w:t>
            </w:r>
          </w:p>
          <w:p w:rsidR="00000000" w:rsidRPr="004D12F4" w:rsidP="004D12F4">
            <w:pPr>
              <w:pStyle w:val="ListBullet2"/>
            </w:pPr>
            <w:r w:rsidRPr="004D12F4">
              <w:t>organisation procedures related to OHS including hazard, incident and injury reporting, hazard identification, risk assessment and control, consultation and participation, incident in</w:t>
            </w:r>
            <w:r w:rsidRPr="004D12F4">
              <w:t xml:space="preserve">vestigation, record keeping </w:t>
            </w:r>
          </w:p>
          <w:p w:rsidR="00000000" w:rsidRPr="004D12F4" w:rsidP="004D12F4">
            <w:pPr>
              <w:pStyle w:val="ListBullet2"/>
            </w:pPr>
            <w:r w:rsidRPr="004D12F4">
              <w:t>the characteristics and composition of the workforce and how they may impact on the management of OHS</w:t>
            </w:r>
          </w:p>
          <w:p w:rsidR="00000000" w:rsidRPr="004D12F4" w:rsidP="004D12F4">
            <w:pPr>
              <w:pStyle w:val="ListBullet"/>
            </w:pPr>
            <w:r w:rsidRPr="004D12F4">
              <w:t>Legal requirements for OHS record keeping and reporting</w:t>
            </w:r>
          </w:p>
          <w:p w:rsidR="00000000" w:rsidRPr="004D12F4" w:rsidP="004D12F4">
            <w:pPr>
              <w:pStyle w:val="ListBullet"/>
            </w:pPr>
            <w:r w:rsidRPr="004D12F4">
              <w:t>Legislative requirements for consultation</w:t>
            </w:r>
          </w:p>
          <w:p w:rsidR="00000000" w:rsidRPr="004D12F4" w:rsidP="004D12F4">
            <w:pPr>
              <w:pStyle w:val="ListBullet"/>
            </w:pPr>
            <w:r w:rsidRPr="004D12F4">
              <w:t>OHS management processes i</w:t>
            </w:r>
            <w:r w:rsidRPr="004D12F4">
              <w:t xml:space="preserve">ncluding elements of OHS management systems </w:t>
            </w:r>
          </w:p>
          <w:p w:rsidR="00000000" w:rsidRPr="004D12F4" w:rsidP="004D12F4">
            <w:pPr>
              <w:pStyle w:val="ListBullet"/>
            </w:pPr>
            <w:r w:rsidRPr="004D12F4">
              <w:t xml:space="preserve">Principles of risk assessment </w:t>
            </w:r>
          </w:p>
          <w:p w:rsidR="00000000" w:rsidRPr="004D12F4" w:rsidP="004D12F4">
            <w:pPr>
              <w:pStyle w:val="ListBullet"/>
            </w:pPr>
            <w:r w:rsidRPr="004D12F4">
              <w:t xml:space="preserve">Principles of safe design processes </w:t>
            </w:r>
          </w:p>
          <w:p w:rsidR="00000000" w:rsidRPr="004D12F4" w:rsidP="004D12F4">
            <w:pPr>
              <w:pStyle w:val="ListBullet"/>
            </w:pPr>
            <w:r w:rsidRPr="004D12F4">
              <w:t>Relationship between OHS and managing sustainability issues in the workplace, including environmental, economic, workforce and social sustainab</w:t>
            </w:r>
            <w:r w:rsidRPr="004D12F4">
              <w:t>ility</w:t>
            </w:r>
          </w:p>
          <w:p w:rsidR="00000000" w:rsidRPr="004D12F4" w:rsidP="004D12F4">
            <w:pPr>
              <w:pStyle w:val="ListBullet"/>
            </w:pPr>
            <w:r w:rsidRPr="004D12F4">
              <w:t>Regulatory requirements relevant to the particular industry/type of work site</w:t>
            </w:r>
          </w:p>
          <w:p w:rsidR="00000000" w:rsidRPr="004D12F4" w:rsidP="004D12F4">
            <w:pPr>
              <w:pStyle w:val="ListBullet"/>
            </w:pPr>
            <w:r w:rsidRPr="004D12F4">
              <w:t xml:space="preserve">Requirements for hazard identification </w:t>
            </w:r>
          </w:p>
          <w:p w:rsidR="00000000" w:rsidRPr="004D12F4" w:rsidP="004D12F4">
            <w:pPr>
              <w:pStyle w:val="ListBullet"/>
            </w:pPr>
            <w:r w:rsidRPr="004D12F4">
              <w:t>Roles and responsibilities of OHS representatives and OHS committees</w:t>
            </w:r>
          </w:p>
          <w:p w:rsidR="00000000" w:rsidRPr="004D12F4" w:rsidP="004D12F4">
            <w:pPr>
              <w:pStyle w:val="ListBullet"/>
            </w:pPr>
            <w:r w:rsidRPr="004D12F4">
              <w:t xml:space="preserve">Sources of OHS information both internal and external to the workplace </w:t>
            </w:r>
          </w:p>
          <w:p w:rsidR="00000000" w:rsidRPr="004D12F4" w:rsidP="004D12F4">
            <w:pPr>
              <w:pStyle w:val="ListBullet"/>
            </w:pPr>
            <w:r w:rsidRPr="004D12F4">
              <w:t xml:space="preserve">The difference between hazard and risk </w:t>
            </w:r>
          </w:p>
          <w:p w:rsidR="00000000" w:rsidRPr="004D12F4" w:rsidP="004D12F4">
            <w:pPr>
              <w:pStyle w:val="ListBullet"/>
            </w:pPr>
            <w:r w:rsidRPr="004D12F4">
              <w:t>The hierarchy of control and its application</w:t>
            </w:r>
          </w:p>
          <w:p w:rsidR="00000000" w:rsidRPr="004D12F4" w:rsidP="004D12F4">
            <w:pPr>
              <w:pStyle w:val="ListBullet"/>
            </w:pPr>
            <w:r w:rsidRPr="004D12F4">
              <w:t>The roles and responsibilities of employees, supervisors and managers in the workplace</w:t>
            </w:r>
          </w:p>
          <w:p w:rsidR="00000000" w:rsidRPr="004D12F4" w:rsidP="004D12F4">
            <w:pPr>
              <w:pStyle w:val="ListBullet"/>
            </w:pPr>
            <w:r w:rsidRPr="004D12F4">
              <w:t>Use and limi</w:t>
            </w:r>
            <w:r w:rsidRPr="004D12F4">
              <w:t xml:space="preserve">tations of a range of OHS performance measures </w:t>
            </w:r>
          </w:p>
          <w:p w:rsidR="00000000" w:rsidP="004D12F4">
            <w:pPr>
              <w:pStyle w:val="ListBullet"/>
              <w:rPr>
                <w:lang w:val="en-NZ"/>
              </w:rPr>
            </w:pPr>
            <w:r w:rsidRPr="004D12F4">
              <w:t>Workplace specific information on OHS</w:t>
            </w:r>
          </w:p>
        </w:tc>
      </w:tr>
      <w:tr w:rsidTr="008D2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rPr>
                <w:rStyle w:val="Emphasis"/>
              </w:rPr>
              <w:t>Essential skills</w:t>
            </w:r>
            <w:r w:rsidRPr="004D12F4">
              <w:t>:</w:t>
            </w:r>
          </w:p>
          <w:p w:rsidR="00000000" w:rsidRPr="004D12F4" w:rsidP="004D12F4">
            <w:pPr>
              <w:pStyle w:val="BodyText"/>
            </w:pPr>
            <w:r w:rsidRPr="004D12F4">
              <w:t xml:space="preserve">It is critical that the candidate demonstrate the ability to </w:t>
            </w:r>
          </w:p>
          <w:p w:rsidR="00000000" w:rsidRPr="004D12F4" w:rsidP="004D12F4">
            <w:pPr>
              <w:pStyle w:val="ListBullet"/>
            </w:pPr>
            <w:r w:rsidRPr="004D12F4">
              <w:t>Review and improve OHS processes for an organisation or part of an organisation</w:t>
            </w:r>
          </w:p>
          <w:p w:rsidR="00000000" w:rsidRPr="004D12F4" w:rsidP="004D12F4">
            <w:pPr>
              <w:pStyle w:val="BodyText"/>
            </w:pPr>
          </w:p>
          <w:p w:rsidR="00000000" w:rsidRPr="004D12F4" w:rsidP="004D12F4">
            <w:pPr>
              <w:pStyle w:val="BodyText"/>
            </w:pPr>
            <w:r w:rsidRPr="004D12F4">
              <w:t>In addition, the candidate must be able to effectively do the task outlined in elements and performance criteria of this unit, manage the task and manage contingencies in the context of the identified work role</w:t>
            </w:r>
          </w:p>
          <w:p w:rsidR="00000000" w:rsidRPr="004D12F4" w:rsidP="004D12F4">
            <w:pPr>
              <w:pStyle w:val="BodyText"/>
            </w:pPr>
            <w:r w:rsidRPr="004D12F4">
              <w:t>This includes the ability to:</w:t>
            </w:r>
          </w:p>
          <w:p w:rsidR="00000000" w:rsidRPr="004D12F4" w:rsidP="004D12F4">
            <w:pPr>
              <w:pStyle w:val="ListBullet"/>
            </w:pPr>
            <w:r w:rsidRPr="004D12F4">
              <w:t>Analyse and in</w:t>
            </w:r>
            <w:r w:rsidRPr="004D12F4">
              <w:t>terpret OHS legislation, regulations, standards, codes of practice/ compliance codes and guidance material for relevance to the organisation context</w:t>
            </w:r>
          </w:p>
          <w:p w:rsidR="00000000" w:rsidRPr="004D12F4" w:rsidP="004D12F4">
            <w:pPr>
              <w:pStyle w:val="ListBullet"/>
            </w:pPr>
            <w:r w:rsidRPr="004D12F4">
              <w:t xml:space="preserve">Apply a quality improvement process </w:t>
            </w:r>
          </w:p>
          <w:p w:rsidR="00000000" w:rsidRPr="004D12F4" w:rsidP="004D12F4">
            <w:pPr>
              <w:pStyle w:val="ListBullet"/>
            </w:pPr>
            <w:r w:rsidRPr="004D12F4">
              <w:t>Assimilate information from a range of sources to evaluate effectivene</w:t>
            </w:r>
            <w:r w:rsidRPr="004D12F4">
              <w:t>ss of processes</w:t>
            </w:r>
          </w:p>
          <w:p w:rsidR="00000000" w:rsidRPr="004D12F4" w:rsidP="004D12F4">
            <w:pPr>
              <w:pStyle w:val="ListBullet"/>
            </w:pPr>
            <w:r w:rsidRPr="004D12F4">
              <w:t>Communicate with supervisors, other managers, staff, OHS inspectors and expert advisers in a range of contexts, and using a range of media and formats</w:t>
            </w:r>
          </w:p>
          <w:p w:rsidR="00000000" w:rsidRPr="004D12F4" w:rsidP="004D12F4">
            <w:pPr>
              <w:pStyle w:val="ListBullet"/>
            </w:pPr>
            <w:r w:rsidRPr="004D12F4">
              <w:t xml:space="preserve">Conduct effective meetings </w:t>
            </w:r>
          </w:p>
          <w:p w:rsidR="00000000" w:rsidRPr="004D12F4" w:rsidP="004D12F4">
            <w:pPr>
              <w:pStyle w:val="ListBullet"/>
            </w:pPr>
            <w:r w:rsidRPr="004D12F4">
              <w:t>Relate to people from a range of social, cultural and ethic b</w:t>
            </w:r>
            <w:r w:rsidRPr="004D12F4">
              <w:t xml:space="preserve">ackgrounds and physical and mental abilities </w:t>
            </w:r>
          </w:p>
          <w:p w:rsidR="00000000" w:rsidRPr="004D12F4" w:rsidP="004D12F4">
            <w:pPr>
              <w:pStyle w:val="ListBullet"/>
            </w:pPr>
            <w:r w:rsidRPr="004D12F4">
              <w:t>Establish and promote opportunities to address waste minimisation, environmental responsibility and sustainable practice issues</w:t>
            </w:r>
          </w:p>
          <w:p w:rsidR="00000000" w:rsidRPr="004D12F4" w:rsidP="004D12F4">
            <w:pPr>
              <w:pStyle w:val="ListBullet"/>
            </w:pPr>
            <w:r w:rsidRPr="004D12F4">
              <w:t>Use language and writing skills to develop easily understood policies and procedur</w:t>
            </w:r>
            <w:r w:rsidRPr="004D12F4">
              <w:t xml:space="preserve">es </w:t>
            </w:r>
          </w:p>
          <w:p w:rsidR="00000000" w:rsidRPr="004D12F4" w:rsidP="004D12F4">
            <w:pPr>
              <w:pStyle w:val="ListBullet"/>
            </w:pPr>
            <w:r w:rsidRPr="004D12F4">
              <w:t>Use technical skills to access OHS information</w:t>
            </w:r>
          </w:p>
        </w:tc>
      </w:tr>
    </w:tbl>
    <w:p w:rsidR="008D2631" w:rsidP="004D12F4">
      <w:pPr>
        <w:pStyle w:val="BodyText"/>
      </w:pPr>
    </w:p>
    <w:p w:rsidR="008D2631" w:rsidP="004D12F4">
      <w:pPr>
        <w:pStyle w:val="BodyText"/>
      </w:pPr>
    </w:p>
    <w:p w:rsidR="00000000" w:rsidRPr="004D12F4" w:rsidP="004D12F4">
      <w:pPr>
        <w:pStyle w:val="Heading1"/>
      </w:pPr>
      <w:bookmarkStart w:id="10" w:name="O_244033"/>
      <w:bookmarkEnd w:id="10"/>
      <w:r w:rsidRPr="004D12F4">
        <w:t>Evidence Guide</w:t>
      </w:r>
    </w:p>
    <w:tbl>
      <w:tblPr>
        <w:tblW w:w="0" w:type="auto"/>
        <w:tblLayout w:type="fixed"/>
        <w:tblCellMar>
          <w:left w:w="62" w:type="dxa"/>
          <w:right w:w="62" w:type="dxa"/>
        </w:tblCellMar>
        <w:tblLook w:val="0000"/>
      </w:tblPr>
      <w:tblGrid>
        <w:gridCol w:w="3402"/>
        <w:gridCol w:w="5670"/>
      </w:tblGrid>
      <w:tr w:rsidTr="008D26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EVIDENCE GUIDE</w:t>
            </w:r>
          </w:p>
        </w:tc>
      </w:tr>
      <w:tr w:rsidTr="008D26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 xml:space="preserve">The evidence guide provides advice on assessment and must be read in conjunction with the Performance Criteria, Required Skills and Knowledge, </w:t>
            </w:r>
            <w:r w:rsidRPr="004D12F4">
              <w:t>the Range Statement and the Assessment Guidelines for this Training Package.</w:t>
            </w:r>
          </w:p>
        </w:tc>
      </w:tr>
      <w:tr w:rsidTr="008D26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Critical aspects of assessment</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The individual being assessed must provide evidence of specified essential knowledge as well as skills</w:t>
            </w:r>
          </w:p>
          <w:p w:rsidR="00000000" w:rsidRPr="004D12F4" w:rsidP="004D12F4">
            <w:pPr>
              <w:pStyle w:val="ListBullet"/>
            </w:pPr>
            <w:r w:rsidRPr="004D12F4">
              <w:t>Evidence gathered by an assessor to determine competence will include:</w:t>
            </w:r>
          </w:p>
          <w:p w:rsidR="00000000" w:rsidRPr="004D12F4" w:rsidP="004D12F4">
            <w:pPr>
              <w:pStyle w:val="ListBullet2"/>
            </w:pPr>
            <w:r w:rsidRPr="004D12F4">
              <w:t>verbal and/or written responses to scenarios, case studies and role plays</w:t>
            </w:r>
          </w:p>
          <w:p w:rsidR="00000000" w:rsidRPr="004D12F4" w:rsidP="004D12F4">
            <w:pPr>
              <w:pStyle w:val="ListBullet2"/>
            </w:pPr>
            <w:r w:rsidRPr="004D12F4">
              <w:t>written reports</w:t>
            </w:r>
          </w:p>
          <w:p w:rsidR="00000000" w:rsidRPr="004D12F4" w:rsidP="004D12F4">
            <w:pPr>
              <w:pStyle w:val="ListBullet2"/>
            </w:pPr>
            <w:r w:rsidRPr="004D12F4">
              <w:t xml:space="preserve">reports from persons who have been involved in review and improvement processes </w:t>
            </w:r>
          </w:p>
          <w:p w:rsidR="00000000" w:rsidRPr="004D12F4" w:rsidP="004D12F4">
            <w:pPr>
              <w:pStyle w:val="ListBullet2"/>
            </w:pPr>
            <w:r w:rsidRPr="004D12F4">
              <w:t xml:space="preserve">portfolio of </w:t>
            </w:r>
            <w:r w:rsidRPr="004D12F4">
              <w:t>workplace documents</w:t>
            </w:r>
          </w:p>
          <w:p w:rsidR="00000000" w:rsidP="004D12F4">
            <w:pPr>
              <w:pStyle w:val="ListBullet"/>
              <w:rPr>
                <w:lang w:val="en-NZ"/>
              </w:rPr>
            </w:pPr>
            <w:r w:rsidRPr="004D12F4">
              <w:t>Evidence of performance over time must be obtained to inform a judgement of competence</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Products that could be used as evidence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Verbal and written responses to case studies, scenarios</w:t>
            </w:r>
          </w:p>
          <w:p w:rsidR="00000000" w:rsidRPr="004D12F4" w:rsidP="004D12F4">
            <w:pPr>
              <w:pStyle w:val="ListBullet"/>
            </w:pPr>
            <w:r w:rsidRPr="004D12F4">
              <w:t xml:space="preserve">Responses to scenarios, simulations, role plays </w:t>
            </w:r>
          </w:p>
          <w:p w:rsidR="00000000" w:rsidRPr="004D12F4" w:rsidP="004D12F4">
            <w:pPr>
              <w:pStyle w:val="ListBullet"/>
            </w:pPr>
            <w:r w:rsidRPr="004D12F4">
              <w:t xml:space="preserve">Completed reports, plans, policies and procedures developed </w:t>
            </w:r>
          </w:p>
          <w:p w:rsidR="00000000" w:rsidRPr="004D12F4" w:rsidP="004D12F4">
            <w:pPr>
              <w:pStyle w:val="ListBullet"/>
            </w:pPr>
            <w:r w:rsidRPr="004D12F4">
              <w:t xml:space="preserve">Written directions, emails, memos and other information </w:t>
            </w:r>
          </w:p>
          <w:p w:rsidR="00000000" w:rsidP="004D12F4">
            <w:pPr>
              <w:pStyle w:val="ListBullet"/>
              <w:rPr>
                <w:lang w:val="en-NZ"/>
              </w:rPr>
            </w:pPr>
            <w:r w:rsidRPr="004D12F4">
              <w:t>Reports from team leaders, senior managers, other managers, specialist advisors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Proce</w:t>
            </w:r>
            <w:r w:rsidRPr="004D12F4">
              <w:rPr>
                <w:rStyle w:val="Emphasis"/>
              </w:rPr>
              <w:t>sses that could be used as evidence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 xml:space="preserve">How OHS information was sourced and analysed </w:t>
            </w:r>
          </w:p>
          <w:p w:rsidR="00000000" w:rsidRPr="004D12F4" w:rsidP="004D12F4">
            <w:pPr>
              <w:pStyle w:val="ListBullet"/>
            </w:pPr>
            <w:r w:rsidRPr="004D12F4">
              <w:t>How consultation to determine priorities were conducted</w:t>
            </w:r>
          </w:p>
          <w:p w:rsidR="00000000" w:rsidP="004D12F4">
            <w:pPr>
              <w:pStyle w:val="ListBullet"/>
              <w:rPr>
                <w:lang w:val="en-NZ"/>
              </w:rPr>
            </w:pPr>
            <w:r w:rsidRPr="004D12F4">
              <w:t xml:space="preserve">How achievement against the OHS plan was monitored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Access and equity considerations</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All workers in the health industry should be aware of access and equity issues in relation to their own area of work</w:t>
            </w:r>
          </w:p>
          <w:p w:rsidR="00000000" w:rsidRPr="004D12F4" w:rsidP="004D12F4">
            <w:pPr>
              <w:pStyle w:val="ListBullet"/>
            </w:pPr>
            <w:r w:rsidRPr="004D12F4">
              <w:t xml:space="preserve">All workers should develop their ability to work in a culturally diverse environment </w:t>
            </w:r>
          </w:p>
          <w:p w:rsidR="00000000" w:rsidRPr="004D12F4" w:rsidP="004D12F4">
            <w:pPr>
              <w:pStyle w:val="ListBullet"/>
            </w:pPr>
            <w:r w:rsidRPr="004D12F4">
              <w:t>In recognition of particular health issues facing Abo</w:t>
            </w:r>
            <w:r w:rsidRPr="004D12F4">
              <w:t>riginal and Torres Strait Islander communities, workers should be aware of cultural, historical and current issues impacting on health of Aboriginal and Torres Strait Islander people</w:t>
            </w:r>
          </w:p>
          <w:p w:rsidR="00000000" w:rsidP="004D12F4">
            <w:pPr>
              <w:pStyle w:val="ListBullet"/>
              <w:rPr>
                <w:lang w:val="en-NZ"/>
              </w:rPr>
            </w:pPr>
            <w:r w:rsidRPr="004D12F4">
              <w:t xml:space="preserve">Assessors and trainers must take into account relevant access and equity </w:t>
            </w:r>
            <w:r w:rsidRPr="004D12F4">
              <w:t>issues, in particular relating to factors impacting on health of Aboriginal and/or Torres Strait Islander clients and communities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Related units</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Assessment of this unit should address and build on the content of related unit:</w:t>
            </w:r>
          </w:p>
          <w:p w:rsidR="00000000" w:rsidP="004D12F4">
            <w:pPr>
              <w:pStyle w:val="ListBullet"/>
              <w:rPr>
                <w:lang w:val="en-NZ"/>
              </w:rPr>
            </w:pPr>
            <w:r w:rsidRPr="004D12F4">
              <w:t>HLTOHS300B Contribute to OHS processes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p>
        </w:tc>
      </w:tr>
    </w:tbl>
    <w:p w:rsidR="008D2631" w:rsidP="004D12F4">
      <w:pPr>
        <w:pStyle w:val="BodyText"/>
      </w:pPr>
    </w:p>
    <w:p w:rsidR="008D2631" w:rsidP="004D12F4">
      <w:pPr>
        <w:pStyle w:val="BodyText"/>
      </w:pPr>
    </w:p>
    <w:p w:rsidR="00000000" w:rsidRPr="004D12F4" w:rsidP="004D12F4">
      <w:pPr>
        <w:pStyle w:val="Heading1"/>
      </w:pPr>
      <w:bookmarkStart w:id="11" w:name="O_252016"/>
      <w:bookmarkEnd w:id="11"/>
      <w:r w:rsidRPr="004D12F4">
        <w:t>Range Statement</w:t>
      </w:r>
    </w:p>
    <w:tbl>
      <w:tblPr>
        <w:tblW w:w="0" w:type="auto"/>
        <w:tblLayout w:type="fixed"/>
        <w:tblCellMar>
          <w:left w:w="62" w:type="dxa"/>
          <w:right w:w="62" w:type="dxa"/>
        </w:tblCellMar>
        <w:tblLook w:val="0000"/>
      </w:tblPr>
      <w:tblGrid>
        <w:gridCol w:w="3402"/>
        <w:gridCol w:w="5670"/>
      </w:tblGrid>
      <w:tr w:rsidTr="008D26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SpecialBold"/>
              </w:rPr>
              <w:t>RANGE STATEMENT</w:t>
            </w:r>
          </w:p>
        </w:tc>
      </w:tr>
      <w:tr w:rsidTr="008D26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 xml:space="preserve">The Range Statement relates to the unit of competency as a whole. It allows for different work environments and situations that may affect </w:t>
            </w:r>
            <w:r w:rsidRPr="004D12F4">
              <w:t>performance. Add any essential operating conditions that may be present with training and assessment depending on the work situation, needs of the candidate, accessibility of the item, and local industry and regional contexts.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OHS legislation includes</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 xml:space="preserve">Commonwealth, state and territory OHS acts and regulations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Standards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Documents produced by national bodies, OHS regulators or industry bodies, that prescribe preventative action to avert occupational deaths, injuries and diseases. </w:t>
            </w:r>
          </w:p>
          <w:p w:rsidR="00000000" w:rsidRPr="004D12F4" w:rsidP="004D12F4">
            <w:pPr>
              <w:pStyle w:val="BodyText"/>
            </w:pPr>
            <w:r w:rsidRPr="004D12F4">
              <w:t xml:space="preserve">Standards are of an advisory nature only, except where a law adopts the standard and thus makes it mandatory. </w:t>
            </w:r>
          </w:p>
          <w:p w:rsidR="00000000" w:rsidP="004D12F4">
            <w:pPr>
              <w:pStyle w:val="BodyText"/>
              <w:rPr>
                <w:lang w:val="en-NZ"/>
              </w:rPr>
            </w:pPr>
            <w:r w:rsidRPr="004D12F4">
              <w:t>They may be called up as evidence in court or other enforcement action.</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Codes of practice</w:t>
            </w:r>
            <w:r w:rsidRPr="004D12F4">
              <w:t>/</w:t>
            </w:r>
            <w:r w:rsidRPr="004D12F4">
              <w:rPr>
                <w:rStyle w:val="Emphasis"/>
              </w:rPr>
              <w:t>compliance codes are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Documents generally prepared </w:t>
            </w:r>
            <w:r w:rsidRPr="004D12F4">
              <w:t xml:space="preserve">to provide advice to employers and workers, of an acceptable way of achieving standards. </w:t>
            </w:r>
          </w:p>
          <w:p w:rsidR="00000000" w:rsidRPr="004D12F4" w:rsidP="004D12F4">
            <w:pPr>
              <w:pStyle w:val="BodyText"/>
            </w:pPr>
            <w:r w:rsidRPr="004D12F4">
              <w:t>Codes of practice/compliance codes may:</w:t>
            </w:r>
          </w:p>
          <w:p w:rsidR="00000000" w:rsidRPr="004D12F4" w:rsidP="004D12F4">
            <w:pPr>
              <w:pStyle w:val="ListBullet"/>
            </w:pPr>
            <w:r w:rsidRPr="004D12F4">
              <w:t>be incorporated into regulations</w:t>
            </w:r>
          </w:p>
          <w:p w:rsidR="00000000" w:rsidRPr="004D12F4" w:rsidP="004D12F4">
            <w:pPr>
              <w:pStyle w:val="ListBullet"/>
            </w:pPr>
            <w:r w:rsidRPr="004D12F4">
              <w:t>not relate to a standard</w:t>
            </w:r>
          </w:p>
          <w:p w:rsidR="00000000" w:rsidP="004D12F4">
            <w:pPr>
              <w:pStyle w:val="ListBullet"/>
              <w:rPr>
                <w:lang w:val="en-NZ"/>
              </w:rPr>
            </w:pPr>
            <w:r w:rsidRPr="004D12F4">
              <w:t>be called up as evidence in court or other enforcement action.</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Guidance material is</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An advisory technical document, providing detailed information for use by unions, employers, management, health and safety committee members and representatives, safety officers and others requiring guidance. </w:t>
            </w:r>
          </w:p>
          <w:p w:rsidR="00000000" w:rsidRPr="004D12F4" w:rsidP="004D12F4">
            <w:pPr>
              <w:pStyle w:val="BodyText"/>
            </w:pPr>
            <w:r w:rsidRPr="004D12F4">
              <w:t>It advises on 'what to d</w:t>
            </w:r>
            <w:r w:rsidRPr="004D12F4">
              <w:t xml:space="preserve">o' and 'how to do it'. </w:t>
            </w:r>
          </w:p>
          <w:p w:rsidR="00000000" w:rsidP="004D12F4">
            <w:pPr>
              <w:pStyle w:val="BodyText"/>
              <w:rPr>
                <w:lang w:val="en-NZ"/>
              </w:rPr>
            </w:pPr>
            <w:r w:rsidRPr="004D12F4">
              <w:t>Guidance material has no legal standing.</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OHS information includes</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Persons, organisations and references where knowledge about OHS may be obtained. </w:t>
            </w:r>
          </w:p>
          <w:p w:rsidR="00000000" w:rsidRPr="004D12F4" w:rsidP="004D12F4">
            <w:pPr>
              <w:pStyle w:val="BodyText"/>
            </w:pPr>
            <w:r w:rsidRPr="004D12F4">
              <w:t>These may be:</w:t>
            </w:r>
          </w:p>
          <w:p w:rsidR="00000000" w:rsidRPr="004D12F4" w:rsidP="004D12F4">
            <w:pPr>
              <w:pStyle w:val="ListBullet"/>
            </w:pPr>
            <w:r w:rsidRPr="004D12F4">
              <w:t>Internal, including:</w:t>
            </w:r>
          </w:p>
          <w:p w:rsidR="00000000" w:rsidRPr="004D12F4" w:rsidP="004D12F4">
            <w:pPr>
              <w:pStyle w:val="ListBullet2"/>
            </w:pPr>
            <w:r w:rsidRPr="004D12F4">
              <w:t xml:space="preserve">hazard, incident and investigation reports </w:t>
            </w:r>
          </w:p>
          <w:p w:rsidR="00000000" w:rsidRPr="004D12F4" w:rsidP="004D12F4">
            <w:pPr>
              <w:pStyle w:val="ListBullet2"/>
            </w:pPr>
            <w:r w:rsidRPr="004D12F4">
              <w:t>workplace inspections</w:t>
            </w:r>
          </w:p>
          <w:p w:rsidR="00000000" w:rsidRPr="004D12F4" w:rsidP="004D12F4">
            <w:pPr>
              <w:pStyle w:val="ListBullet2"/>
            </w:pPr>
            <w:r w:rsidRPr="004D12F4">
              <w:t>incident investigations</w:t>
            </w:r>
          </w:p>
          <w:p w:rsidR="00000000" w:rsidRPr="004D12F4" w:rsidP="004D12F4">
            <w:pPr>
              <w:pStyle w:val="ListBullet2"/>
            </w:pPr>
            <w:r w:rsidRPr="004D12F4">
              <w:t>minutes of meetings</w:t>
            </w:r>
          </w:p>
          <w:p w:rsidR="00000000" w:rsidRPr="004D12F4" w:rsidP="004D12F4">
            <w:pPr>
              <w:pStyle w:val="ListBullet2"/>
            </w:pPr>
            <w:r w:rsidRPr="004D12F4">
              <w:t xml:space="preserve">Job Safety Analyses (JSAs) and risk assessments </w:t>
            </w:r>
          </w:p>
          <w:p w:rsidR="00000000" w:rsidRPr="004D12F4" w:rsidP="004D12F4">
            <w:pPr>
              <w:pStyle w:val="ListBullet2"/>
            </w:pPr>
            <w:r w:rsidRPr="004D12F4">
              <w:t>organisation data such as insurance records, enforcement notices and actions, workers compensatio</w:t>
            </w:r>
            <w:r w:rsidRPr="004D12F4">
              <w:t>n data, OHS performance data</w:t>
            </w:r>
          </w:p>
          <w:p w:rsidR="00000000" w:rsidRPr="004D12F4" w:rsidP="004D12F4">
            <w:pPr>
              <w:pStyle w:val="ListBullet2"/>
            </w:pPr>
            <w:r w:rsidRPr="004D12F4">
              <w:t>reports and audits</w:t>
            </w:r>
          </w:p>
          <w:p w:rsidR="00000000" w:rsidRPr="004D12F4" w:rsidP="004D12F4">
            <w:pPr>
              <w:pStyle w:val="ListBullet2"/>
            </w:pPr>
            <w:r w:rsidRPr="004D12F4">
              <w:t>material safety data sheets (MSDSs) and registers</w:t>
            </w:r>
          </w:p>
          <w:p w:rsidR="00000000" w:rsidRPr="004D12F4" w:rsidP="004D12F4">
            <w:pPr>
              <w:pStyle w:val="ListBullet2"/>
            </w:pPr>
            <w:r w:rsidRPr="004D12F4">
              <w:t xml:space="preserve">employees handbooks </w:t>
            </w:r>
          </w:p>
          <w:p w:rsidR="00000000" w:rsidRPr="004D12F4" w:rsidP="004D12F4">
            <w:pPr>
              <w:pStyle w:val="ListBullet2"/>
            </w:pPr>
            <w:r w:rsidRPr="004D12F4">
              <w:t>employees including questionnaire results</w:t>
            </w:r>
          </w:p>
          <w:p w:rsidR="00000000" w:rsidRPr="004D12F4" w:rsidP="004D12F4">
            <w:pPr>
              <w:pStyle w:val="ListBullet2"/>
            </w:pPr>
            <w:r w:rsidRPr="004D12F4">
              <w:t>OHS advisors</w:t>
            </w:r>
          </w:p>
          <w:p w:rsidR="00000000" w:rsidP="004D12F4">
            <w:pPr>
              <w:pStyle w:val="ListBullet2"/>
              <w:rPr>
                <w:lang w:val="en-NZ"/>
              </w:rPr>
            </w:pPr>
            <w:r w:rsidRPr="004D12F4">
              <w:t>manufacturers' manuals and specifications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 xml:space="preserve">External, including: </w:t>
            </w:r>
          </w:p>
          <w:p w:rsidR="00000000" w:rsidRPr="004D12F4" w:rsidP="004D12F4">
            <w:pPr>
              <w:pStyle w:val="ListBullet2"/>
            </w:pPr>
            <w:r w:rsidRPr="004D12F4">
              <w:t xml:space="preserve">regulatory bodies </w:t>
            </w:r>
          </w:p>
          <w:p w:rsidR="00000000" w:rsidRPr="004D12F4" w:rsidP="004D12F4">
            <w:pPr>
              <w:pStyle w:val="ListBullet2"/>
            </w:pPr>
            <w:r w:rsidRPr="004D12F4">
              <w:t>Office of the Australian Safety and Compensation Council (ASCC)</w:t>
            </w:r>
          </w:p>
          <w:p w:rsidR="00000000" w:rsidRPr="004D12F4" w:rsidP="004D12F4">
            <w:pPr>
              <w:pStyle w:val="ListBullet2"/>
            </w:pPr>
            <w:r w:rsidRPr="004D12F4">
              <w:t xml:space="preserve">databases such as national and state injury data </w:t>
            </w:r>
          </w:p>
          <w:p w:rsidR="00000000" w:rsidRPr="004D12F4" w:rsidP="004D12F4">
            <w:pPr>
              <w:pStyle w:val="ListBullet2"/>
            </w:pPr>
            <w:r w:rsidRPr="004D12F4">
              <w:t>OHS specialists and consultants</w:t>
            </w:r>
          </w:p>
          <w:p w:rsidR="00000000" w:rsidRPr="004D12F4" w:rsidP="004D12F4">
            <w:pPr>
              <w:pStyle w:val="ListBullet2"/>
            </w:pPr>
            <w:r w:rsidRPr="004D12F4">
              <w:t>newspapers and journals, trade/industry publications</w:t>
            </w:r>
          </w:p>
          <w:p w:rsidR="00000000" w:rsidRPr="004D12F4" w:rsidP="004D12F4">
            <w:pPr>
              <w:pStyle w:val="ListBullet2"/>
            </w:pPr>
            <w:r w:rsidRPr="004D12F4">
              <w:t>internet sites</w:t>
            </w:r>
          </w:p>
          <w:p w:rsidR="00000000" w:rsidRPr="004D12F4" w:rsidP="004D12F4">
            <w:pPr>
              <w:pStyle w:val="ListBullet2"/>
            </w:pPr>
            <w:r w:rsidRPr="004D12F4">
              <w:t>industry networks and a</w:t>
            </w:r>
            <w:r w:rsidRPr="004D12F4">
              <w:t xml:space="preserve">ssociations including unions and employer groups </w:t>
            </w:r>
          </w:p>
          <w:p w:rsidR="00000000" w:rsidRPr="004D12F4" w:rsidP="004D12F4">
            <w:pPr>
              <w:pStyle w:val="ListBullet2"/>
            </w:pPr>
            <w:r w:rsidRPr="004D12F4">
              <w:t>OHS professional bodies</w:t>
            </w:r>
          </w:p>
          <w:p w:rsidR="00000000" w:rsidRPr="004D12F4" w:rsidP="004D12F4">
            <w:pPr>
              <w:pStyle w:val="ListBullet2"/>
            </w:pPr>
            <w:r w:rsidRPr="004D12F4">
              <w:t>specialist advisors</w:t>
            </w:r>
          </w:p>
          <w:p w:rsidR="00000000" w:rsidP="004D12F4">
            <w:pPr>
              <w:pStyle w:val="ListBullet2"/>
              <w:rPr>
                <w:lang w:val="en-NZ"/>
              </w:rPr>
            </w:pPr>
            <w:r w:rsidRPr="004D12F4">
              <w:t>research information</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Due diligence requirements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All precautions reasonable in the circumstances to protect the health and safety of employees and others who may be affected by actions or omissions of the individual or corporation.</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Other functional areas and management processes refers to</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Functions </w:t>
            </w:r>
            <w:r w:rsidRPr="004D12F4">
              <w:t xml:space="preserve">other than OHS specific functions that impact on the management of OHS and may include: </w:t>
            </w:r>
          </w:p>
          <w:p w:rsidR="00000000" w:rsidRPr="004D12F4" w:rsidP="004D12F4">
            <w:pPr>
              <w:pStyle w:val="ListBullet"/>
            </w:pPr>
            <w:r w:rsidRPr="004D12F4">
              <w:t>strategic planning</w:t>
            </w:r>
          </w:p>
          <w:p w:rsidR="00000000" w:rsidRPr="004D12F4" w:rsidP="004D12F4">
            <w:pPr>
              <w:pStyle w:val="ListBullet"/>
            </w:pPr>
            <w:r w:rsidRPr="004D12F4">
              <w:t xml:space="preserve">purchasing, procurement and contracting </w:t>
            </w:r>
          </w:p>
          <w:p w:rsidR="00000000" w:rsidRPr="004D12F4" w:rsidP="004D12F4">
            <w:pPr>
              <w:pStyle w:val="ListBullet"/>
            </w:pPr>
            <w:r w:rsidRPr="004D12F4">
              <w:t>logistics including supply chain and distribution</w:t>
            </w:r>
          </w:p>
          <w:p w:rsidR="00000000" w:rsidRPr="004D12F4" w:rsidP="004D12F4">
            <w:pPr>
              <w:pStyle w:val="ListBullet"/>
            </w:pPr>
            <w:r w:rsidRPr="004D12F4">
              <w:t xml:space="preserve">HR, IR and personnel management, including payroll </w:t>
            </w:r>
          </w:p>
          <w:p w:rsidR="00000000" w:rsidRPr="004D12F4" w:rsidP="004D12F4">
            <w:pPr>
              <w:pStyle w:val="ListBullet"/>
            </w:pPr>
            <w:r w:rsidRPr="004D12F4">
              <w:t>engineering and maintenance</w:t>
            </w:r>
          </w:p>
          <w:p w:rsidR="00000000" w:rsidRPr="004D12F4" w:rsidP="004D12F4">
            <w:pPr>
              <w:pStyle w:val="ListBullet"/>
            </w:pPr>
            <w:r w:rsidRPr="004D12F4">
              <w:t>information, data and records management</w:t>
            </w:r>
          </w:p>
          <w:p w:rsidR="00000000" w:rsidRPr="004D12F4" w:rsidP="004D12F4">
            <w:pPr>
              <w:pStyle w:val="ListBullet"/>
            </w:pPr>
            <w:r w:rsidRPr="004D12F4">
              <w:t>finance and auditing</w:t>
            </w:r>
          </w:p>
          <w:p w:rsidR="00000000" w:rsidRPr="004D12F4" w:rsidP="004D12F4">
            <w:pPr>
              <w:pStyle w:val="ListBullet"/>
            </w:pPr>
            <w:r w:rsidRPr="004D12F4">
              <w:t xml:space="preserve">environmental management </w:t>
            </w:r>
          </w:p>
          <w:p w:rsidR="00000000" w:rsidP="004D12F4">
            <w:pPr>
              <w:pStyle w:val="ListBullet"/>
              <w:rPr>
                <w:lang w:val="en-NZ"/>
              </w:rPr>
            </w:pPr>
            <w:r w:rsidRPr="004D12F4">
              <w:t>quality management.</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Indicators of OHS performance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Lead indicators that assess how successfully a workplace is developing or im</w:t>
            </w:r>
            <w:r w:rsidRPr="004D12F4">
              <w:t>proving OHS by measuring the activities that drive or 'lead' the safety performance. They may be either:</w:t>
            </w:r>
          </w:p>
          <w:p w:rsidR="00000000" w:rsidRPr="004D12F4" w:rsidP="004D12F4">
            <w:pPr>
              <w:pStyle w:val="ListBullet2"/>
            </w:pPr>
            <w:r w:rsidRPr="004D12F4">
              <w:t>a quantitative indicator that can be counted or measured and described numerically (for example, number of safety audits conducted) or</w:t>
            </w:r>
          </w:p>
          <w:p w:rsidR="00000000" w:rsidRPr="004D12F4" w:rsidP="004D12F4">
            <w:pPr>
              <w:pStyle w:val="ListBullet2"/>
            </w:pPr>
            <w:r w:rsidRPr="004D12F4">
              <w:t>a qu</w:t>
            </w:r>
            <w:r w:rsidRPr="004D12F4">
              <w:t>alitative indicator that describes or assesses a quality or behaviour (such as rating of management commitment to achieving 'best practice' in OHS).</w:t>
            </w:r>
          </w:p>
          <w:p w:rsidR="00000000" w:rsidRPr="004D12F4" w:rsidP="004D12F4">
            <w:pPr>
              <w:pStyle w:val="ListBullet"/>
            </w:pPr>
            <w:r w:rsidRPr="004D12F4">
              <w:t>Lag indicators that assess how successfully a workplace is developing or improving OHS by measuring outcom</w:t>
            </w:r>
            <w:r w:rsidRPr="004D12F4">
              <w:t>es such as numbers or frequency of injuries or claims costs:</w:t>
            </w:r>
          </w:p>
          <w:p w:rsidR="00000000" w:rsidP="004D12F4">
            <w:pPr>
              <w:pStyle w:val="ListBullet2"/>
              <w:rPr>
                <w:lang w:val="en-NZ"/>
              </w:rPr>
            </w:pPr>
            <w:r w:rsidRPr="004D12F4">
              <w:t>They measure loss and, as changes to these measures usually take considerable time (or 'lag') behind the implementation of any improvement strategy, they are termed lag indicators.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Stakeholders are</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Those people or organisations who may be affected by, or perceive themselves to be affected by, an activity or decision including: </w:t>
            </w:r>
          </w:p>
          <w:p w:rsidR="00000000" w:rsidRPr="004D12F4" w:rsidP="004D12F4">
            <w:pPr>
              <w:pStyle w:val="ListBullet"/>
            </w:pPr>
            <w:r w:rsidRPr="004D12F4">
              <w:t>managers</w:t>
            </w:r>
          </w:p>
          <w:p w:rsidR="00000000" w:rsidRPr="004D12F4" w:rsidP="004D12F4">
            <w:pPr>
              <w:pStyle w:val="ListBullet"/>
            </w:pPr>
            <w:r w:rsidRPr="004D12F4">
              <w:t xml:space="preserve">supervisors </w:t>
            </w:r>
          </w:p>
          <w:p w:rsidR="00000000" w:rsidRPr="004D12F4" w:rsidP="004D12F4">
            <w:pPr>
              <w:pStyle w:val="ListBullet"/>
            </w:pPr>
            <w:r w:rsidRPr="004D12F4">
              <w:t>health and safety and other employee representatives</w:t>
            </w:r>
          </w:p>
          <w:p w:rsidR="00000000" w:rsidRPr="004D12F4" w:rsidP="004D12F4">
            <w:pPr>
              <w:pStyle w:val="ListBullet"/>
            </w:pPr>
            <w:r w:rsidRPr="004D12F4">
              <w:t>OHS committees</w:t>
            </w:r>
          </w:p>
          <w:p w:rsidR="00000000" w:rsidRPr="004D12F4" w:rsidP="004D12F4">
            <w:pPr>
              <w:pStyle w:val="ListBullet"/>
            </w:pPr>
            <w:r w:rsidRPr="004D12F4">
              <w:t>employees and c</w:t>
            </w:r>
            <w:r w:rsidRPr="004D12F4">
              <w:t>ontractors</w:t>
            </w:r>
          </w:p>
          <w:p w:rsidR="00000000" w:rsidP="004D12F4">
            <w:pPr>
              <w:pStyle w:val="ListBullet"/>
              <w:rPr>
                <w:lang w:val="en-NZ"/>
              </w:rPr>
            </w:pPr>
            <w:r w:rsidRPr="004D12F4">
              <w:t>the community</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Organisation policies and procedures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Policies and procedures underpinning the management of OHS including:</w:t>
            </w:r>
          </w:p>
          <w:p w:rsidR="00000000" w:rsidRPr="004D12F4" w:rsidP="004D12F4">
            <w:pPr>
              <w:pStyle w:val="ListBullet"/>
            </w:pPr>
            <w:r w:rsidRPr="004D12F4">
              <w:t xml:space="preserve">hazard, incident and injury reporting </w:t>
            </w:r>
          </w:p>
          <w:p w:rsidR="00000000" w:rsidRPr="004D12F4" w:rsidP="004D12F4">
            <w:pPr>
              <w:pStyle w:val="ListBullet"/>
            </w:pPr>
            <w:r w:rsidRPr="004D12F4">
              <w:t>hazard identification, risk assessment and control</w:t>
            </w:r>
          </w:p>
          <w:p w:rsidR="00000000" w:rsidRPr="004D12F4" w:rsidP="004D12F4">
            <w:pPr>
              <w:pStyle w:val="ListBullet"/>
            </w:pPr>
            <w:r w:rsidRPr="004D12F4">
              <w:t>consultation and participation</w:t>
            </w:r>
          </w:p>
          <w:p w:rsidR="00000000" w:rsidRPr="004D12F4" w:rsidP="004D12F4">
            <w:pPr>
              <w:pStyle w:val="ListBullet"/>
            </w:pPr>
            <w:r w:rsidRPr="004D12F4">
              <w:t xml:space="preserve">incident investigation </w:t>
            </w:r>
          </w:p>
          <w:p w:rsidR="00000000" w:rsidP="004D12F4">
            <w:pPr>
              <w:pStyle w:val="ListBullet"/>
              <w:rPr>
                <w:lang w:val="en-NZ"/>
              </w:rPr>
            </w:pPr>
            <w:r w:rsidRPr="004D12F4">
              <w:t>quality system documentation.</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Legislative requirements include</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Commonwealth and relevant state/territory OHS specific acts and regulations, as well as legislation covering: </w:t>
            </w:r>
          </w:p>
          <w:p w:rsidR="00000000" w:rsidRPr="004D12F4" w:rsidP="004D12F4">
            <w:pPr>
              <w:pStyle w:val="ListBullet"/>
            </w:pPr>
            <w:r w:rsidRPr="004D12F4">
              <w:t>dangerous goods</w:t>
            </w:r>
          </w:p>
          <w:p w:rsidR="00000000" w:rsidRPr="004D12F4" w:rsidP="004D12F4">
            <w:pPr>
              <w:pStyle w:val="ListBullet"/>
            </w:pPr>
            <w:r w:rsidRPr="004D12F4">
              <w:t>work</w:t>
            </w:r>
            <w:r w:rsidRPr="004D12F4">
              <w:t xml:space="preserve">ers compensation </w:t>
            </w:r>
          </w:p>
          <w:p w:rsidR="00000000" w:rsidRPr="004D12F4" w:rsidP="004D12F4">
            <w:pPr>
              <w:pStyle w:val="ListBullet"/>
            </w:pPr>
            <w:r w:rsidRPr="004D12F4">
              <w:t>environment protection</w:t>
            </w:r>
          </w:p>
          <w:p w:rsidR="00000000" w:rsidRPr="004D12F4" w:rsidP="004D12F4">
            <w:pPr>
              <w:pStyle w:val="ListBullet"/>
            </w:pPr>
            <w:r w:rsidRPr="004D12F4">
              <w:t>privacy legislation</w:t>
            </w:r>
          </w:p>
          <w:p w:rsidR="00000000" w:rsidRPr="004D12F4" w:rsidP="004D12F4">
            <w:pPr>
              <w:pStyle w:val="ListBullet"/>
            </w:pPr>
            <w:r w:rsidRPr="004D12F4">
              <w:t>contract law</w:t>
            </w:r>
          </w:p>
          <w:p w:rsidR="00000000" w:rsidRPr="004D12F4" w:rsidP="004D12F4">
            <w:pPr>
              <w:pStyle w:val="ListBullet"/>
            </w:pPr>
            <w:r w:rsidRPr="004D12F4">
              <w:t xml:space="preserve">criminal law </w:t>
            </w:r>
          </w:p>
          <w:p w:rsidR="00000000" w:rsidRPr="004D12F4" w:rsidP="004D12F4">
            <w:pPr>
              <w:pStyle w:val="ListBullet"/>
            </w:pPr>
            <w:r w:rsidRPr="004D12F4">
              <w:t>common law</w:t>
            </w:r>
          </w:p>
          <w:p w:rsidR="00000000" w:rsidRPr="004D12F4" w:rsidP="004D12F4">
            <w:pPr>
              <w:pStyle w:val="ListBullet"/>
            </w:pPr>
            <w:r w:rsidRPr="004D12F4">
              <w:t>industrial relations law</w:t>
            </w:r>
          </w:p>
          <w:p w:rsidR="00000000" w:rsidP="004D12F4">
            <w:pPr>
              <w:pStyle w:val="ListBullet"/>
              <w:rPr>
                <w:lang w:val="en-NZ"/>
              </w:rPr>
            </w:pPr>
            <w:r w:rsidRPr="004D12F4">
              <w:t>equal employment opportunity and anti- discrimination law.</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Systematic approach to managing OHS includes</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 xml:space="preserve">all the comprehensive processes that are combined in a methodical and ordered manner to minimise the risk of injury or ill health in the workplace </w:t>
            </w:r>
          </w:p>
          <w:p w:rsidR="00000000" w:rsidP="004D12F4">
            <w:pPr>
              <w:pStyle w:val="ListBullet"/>
              <w:rPr>
                <w:lang w:val="en-NZ"/>
              </w:rPr>
            </w:pPr>
            <w:r w:rsidRPr="004D12F4">
              <w:t>processes of planning, allocation of resources, communication, consultation, hazard management, record keepi</w:t>
            </w:r>
            <w:r w:rsidRPr="004D12F4">
              <w:t>ng, reporting, training and assessment, and review and evaluation for ongoing improvement.</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Accountability includes</w:t>
            </w:r>
            <w:r w:rsidRPr="004D12F4">
              <w:t>:</w:t>
            </w: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t xml:space="preserve">The processes of verification of proper conduct or by which a person with (OHS) responsibilities demonstrates fulfilment of those responsibilities to those to whom they are answerable.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Safe design is</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A process that applies information and data about </w:t>
            </w:r>
            <w:r w:rsidRPr="004D12F4">
              <w:t xml:space="preserve">human capabilities and behaviour to the design of objects, facilities, procedures and environments that people use. </w:t>
            </w:r>
          </w:p>
          <w:p w:rsidR="00000000" w:rsidP="004D12F4">
            <w:pPr>
              <w:pStyle w:val="BodyText"/>
              <w:rPr>
                <w:lang w:val="en-NZ"/>
              </w:rPr>
            </w:pPr>
            <w:r w:rsidRPr="004D12F4">
              <w:t xml:space="preserve">Safe design generally provides for the minimisation of risk through engineering, rather than reliance on human behaviour.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Benchmarks m</w:t>
            </w:r>
            <w:r w:rsidRPr="004D12F4">
              <w:rPr>
                <w:rStyle w:val="Emphasis"/>
              </w:rPr>
              <w:t>ay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Legislation</w:t>
            </w:r>
          </w:p>
          <w:p w:rsidR="00000000" w:rsidRPr="004D12F4" w:rsidP="004D12F4">
            <w:pPr>
              <w:pStyle w:val="ListBullet"/>
            </w:pPr>
            <w:r w:rsidRPr="004D12F4">
              <w:t>regulations</w:t>
            </w:r>
          </w:p>
          <w:p w:rsidR="00000000" w:rsidRPr="004D12F4" w:rsidP="004D12F4">
            <w:pPr>
              <w:pStyle w:val="ListBullet"/>
            </w:pPr>
            <w:r w:rsidRPr="004D12F4">
              <w:t>codes of practice/compliance codes</w:t>
            </w:r>
          </w:p>
          <w:p w:rsidR="00000000" w:rsidRPr="004D12F4" w:rsidP="004D12F4">
            <w:pPr>
              <w:pStyle w:val="ListBullet"/>
            </w:pPr>
            <w:r w:rsidRPr="004D12F4">
              <w:t>national standards</w:t>
            </w:r>
          </w:p>
          <w:p w:rsidR="00000000" w:rsidRPr="004D12F4" w:rsidP="004D12F4">
            <w:pPr>
              <w:pStyle w:val="ListBullet"/>
            </w:pPr>
            <w:r w:rsidRPr="004D12F4">
              <w:t>Australian standards</w:t>
            </w:r>
          </w:p>
          <w:p w:rsidR="00000000" w:rsidRPr="004D12F4" w:rsidP="004D12F4">
            <w:pPr>
              <w:pStyle w:val="ListBullet"/>
            </w:pPr>
            <w:r w:rsidRPr="004D12F4">
              <w:t>industry standards</w:t>
            </w:r>
          </w:p>
          <w:p w:rsidR="00000000" w:rsidRPr="004D12F4" w:rsidP="004D12F4">
            <w:pPr>
              <w:pStyle w:val="ListBullet"/>
            </w:pPr>
            <w:r w:rsidRPr="004D12F4">
              <w:t xml:space="preserve">standards established by other organisations </w:t>
            </w:r>
          </w:p>
          <w:p w:rsidR="00000000" w:rsidP="004D12F4">
            <w:pPr>
              <w:pStyle w:val="ListBullet"/>
              <w:rPr>
                <w:lang w:val="en-NZ"/>
              </w:rPr>
            </w:pPr>
            <w:r w:rsidRPr="004D12F4">
              <w:t xml:space="preserve">standards developed internally by the organisation.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Resources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personnel</w:t>
            </w:r>
          </w:p>
          <w:p w:rsidR="00000000" w:rsidRPr="004D12F4" w:rsidP="004D12F4">
            <w:pPr>
              <w:pStyle w:val="ListBullet"/>
            </w:pPr>
            <w:r w:rsidRPr="004D12F4">
              <w:t xml:space="preserve">finance </w:t>
            </w:r>
          </w:p>
          <w:p w:rsidR="00000000" w:rsidP="004D12F4">
            <w:pPr>
              <w:pStyle w:val="ListBullet"/>
              <w:rPr>
                <w:lang w:val="en-NZ"/>
              </w:rPr>
            </w:pPr>
            <w:r w:rsidRPr="004D12F4">
              <w:t xml:space="preserve">hardware and equipment. </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Expert advice may be sought from</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 xml:space="preserve">Persons either internal or external to the organisation including </w:t>
            </w:r>
          </w:p>
          <w:p w:rsidR="00000000" w:rsidRPr="004D12F4" w:rsidP="004D12F4">
            <w:pPr>
              <w:pStyle w:val="ListBullet"/>
            </w:pPr>
            <w:r w:rsidRPr="004D12F4">
              <w:t xml:space="preserve">safety professionals </w:t>
            </w:r>
          </w:p>
          <w:p w:rsidR="00000000" w:rsidRPr="004D12F4" w:rsidP="004D12F4">
            <w:pPr>
              <w:pStyle w:val="ListBullet"/>
            </w:pPr>
            <w:r w:rsidRPr="004D12F4">
              <w:t>ergonomists</w:t>
            </w:r>
          </w:p>
          <w:p w:rsidR="00000000" w:rsidRPr="004D12F4" w:rsidP="004D12F4">
            <w:pPr>
              <w:pStyle w:val="ListBullet"/>
            </w:pPr>
            <w:r w:rsidRPr="004D12F4">
              <w:t>occupational hygienists</w:t>
            </w:r>
          </w:p>
          <w:p w:rsidR="00000000" w:rsidRPr="004D12F4" w:rsidP="004D12F4">
            <w:pPr>
              <w:pStyle w:val="ListBullet"/>
            </w:pPr>
            <w:r w:rsidRPr="004D12F4">
              <w:t>audiologists</w:t>
            </w:r>
          </w:p>
          <w:p w:rsidR="00000000" w:rsidRPr="004D12F4" w:rsidP="004D12F4">
            <w:pPr>
              <w:pStyle w:val="ListBullet"/>
            </w:pPr>
            <w:r w:rsidRPr="004D12F4">
              <w:t xml:space="preserve">safety engineers </w:t>
            </w:r>
          </w:p>
          <w:p w:rsidR="00000000" w:rsidRPr="004D12F4" w:rsidP="004D12F4">
            <w:pPr>
              <w:pStyle w:val="ListBullet"/>
            </w:pPr>
            <w:r w:rsidRPr="004D12F4">
              <w:t xml:space="preserve">toxicologists </w:t>
            </w:r>
          </w:p>
          <w:p w:rsidR="00000000" w:rsidRPr="004D12F4" w:rsidP="004D12F4">
            <w:pPr>
              <w:pStyle w:val="ListBullet"/>
            </w:pPr>
            <w:r w:rsidRPr="004D12F4">
              <w:t>occupational health professionals.</w:t>
            </w:r>
          </w:p>
          <w:p w:rsidR="00000000" w:rsidRPr="004D12F4" w:rsidP="004D12F4">
            <w:pPr>
              <w:pStyle w:val="BodyText"/>
            </w:pPr>
          </w:p>
          <w:p w:rsidR="00000000" w:rsidRPr="004D12F4" w:rsidP="004D12F4">
            <w:pPr>
              <w:pStyle w:val="BodyText"/>
            </w:pPr>
            <w:r w:rsidRPr="004D12F4">
              <w:t xml:space="preserve">Other persons providing specific technical knowledge or expertise in areas related to OHS including: </w:t>
            </w:r>
          </w:p>
          <w:p w:rsidR="00000000" w:rsidRPr="004D12F4" w:rsidP="004D12F4">
            <w:pPr>
              <w:pStyle w:val="ListBullet"/>
            </w:pPr>
            <w:r w:rsidRPr="004D12F4">
              <w:t xml:space="preserve">risk managers </w:t>
            </w:r>
          </w:p>
          <w:p w:rsidR="00000000" w:rsidRPr="004D12F4" w:rsidP="004D12F4">
            <w:pPr>
              <w:pStyle w:val="ListBullet"/>
            </w:pPr>
            <w:r w:rsidRPr="004D12F4">
              <w:t xml:space="preserve">health professionals </w:t>
            </w:r>
          </w:p>
          <w:p w:rsidR="00000000" w:rsidRPr="004D12F4" w:rsidP="004D12F4">
            <w:pPr>
              <w:pStyle w:val="ListBullet"/>
            </w:pPr>
            <w:r w:rsidRPr="004D12F4">
              <w:t>injury management advisors</w:t>
            </w:r>
          </w:p>
          <w:p w:rsidR="00000000" w:rsidRPr="004D12F4" w:rsidP="004D12F4">
            <w:pPr>
              <w:pStyle w:val="ListBullet"/>
            </w:pPr>
            <w:r w:rsidRPr="004D12F4">
              <w:t>legal practitioners with experience in OHS</w:t>
            </w:r>
          </w:p>
          <w:p w:rsidR="00000000" w:rsidRPr="004D12F4" w:rsidP="004D12F4">
            <w:pPr>
              <w:pStyle w:val="ListBullet"/>
            </w:pPr>
            <w:r w:rsidRPr="004D12F4">
              <w:t>engineers (such as design, acoustic, mechanical, civil)</w:t>
            </w:r>
          </w:p>
          <w:p w:rsidR="00000000" w:rsidRPr="004D12F4" w:rsidP="004D12F4">
            <w:pPr>
              <w:pStyle w:val="ListBullet"/>
            </w:pPr>
            <w:r w:rsidRPr="004D12F4">
              <w:t>security and emergency response personnel</w:t>
            </w:r>
          </w:p>
          <w:p w:rsidR="00000000" w:rsidRPr="004D12F4" w:rsidP="004D12F4">
            <w:pPr>
              <w:pStyle w:val="ListBullet"/>
            </w:pPr>
            <w:r w:rsidRPr="004D12F4">
              <w:t>workplace trainers and assessors</w:t>
            </w:r>
          </w:p>
          <w:p w:rsidR="00000000" w:rsidP="004D12F4">
            <w:pPr>
              <w:pStyle w:val="ListBullet"/>
              <w:rPr>
                <w:lang w:val="en-NZ"/>
              </w:rPr>
            </w:pPr>
            <w:r w:rsidRPr="004D12F4">
              <w:t>maintenance and tradepersons.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Barriers may include</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language</w:t>
            </w:r>
          </w:p>
          <w:p w:rsidR="00000000" w:rsidRPr="004D12F4" w:rsidP="004D12F4">
            <w:pPr>
              <w:pStyle w:val="ListBullet"/>
            </w:pPr>
            <w:r w:rsidRPr="004D12F4">
              <w:t>literacy and numeracy</w:t>
            </w:r>
          </w:p>
          <w:p w:rsidR="00000000" w:rsidRPr="004D12F4" w:rsidP="004D12F4">
            <w:pPr>
              <w:pStyle w:val="ListBullet"/>
            </w:pPr>
            <w:r w:rsidRPr="004D12F4">
              <w:t>special needs of employees</w:t>
            </w:r>
          </w:p>
          <w:p w:rsidR="00000000" w:rsidRPr="004D12F4" w:rsidP="004D12F4">
            <w:pPr>
              <w:pStyle w:val="ListBullet"/>
            </w:pPr>
            <w:r w:rsidRPr="004D12F4">
              <w:t>shift work and rostering arrangements</w:t>
            </w:r>
          </w:p>
          <w:p w:rsidR="00000000" w:rsidRPr="004D12F4" w:rsidP="004D12F4">
            <w:pPr>
              <w:pStyle w:val="ListBullet"/>
            </w:pPr>
            <w:r w:rsidRPr="004D12F4">
              <w:t>contractual arrangements</w:t>
            </w:r>
          </w:p>
          <w:p w:rsidR="00000000" w:rsidRPr="004D12F4" w:rsidP="004D12F4">
            <w:pPr>
              <w:pStyle w:val="ListBullet"/>
            </w:pPr>
            <w:r w:rsidRPr="004D12F4">
              <w:t>timing of information provision</w:t>
            </w:r>
          </w:p>
          <w:p w:rsidR="00000000" w:rsidRPr="004D12F4" w:rsidP="004D12F4">
            <w:pPr>
              <w:pStyle w:val="ListBullet"/>
            </w:pPr>
            <w:r w:rsidRPr="004D12F4">
              <w:t>workplace organisation structures (e.g. geographic, hierarchical)</w:t>
            </w:r>
          </w:p>
          <w:p w:rsidR="00000000" w:rsidP="004D12F4">
            <w:pPr>
              <w:pStyle w:val="ListBullet"/>
              <w:rPr>
                <w:lang w:val="en-NZ"/>
              </w:rPr>
            </w:pPr>
            <w:r w:rsidRPr="004D12F4">
              <w:t>workplace culture related to OHS.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OHS plan is</w:t>
            </w:r>
            <w:r w:rsidRPr="004D12F4">
              <w:t xml:space="preserve"> </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r w:rsidRPr="004D12F4">
              <w:t>The strategy for implementing the OHS policy</w:t>
            </w:r>
            <w:r w:rsidRPr="004D12F4">
              <w:t xml:space="preserve"> and includes:</w:t>
            </w:r>
          </w:p>
          <w:p w:rsidR="00000000" w:rsidRPr="004D12F4" w:rsidP="004D12F4">
            <w:pPr>
              <w:pStyle w:val="ListBullet"/>
            </w:pPr>
            <w:r w:rsidRPr="004D12F4">
              <w:t>strategic documents developed to improve OHS within an organisation that identifies objectives together with strategies and accountabilities for achieving the objectives and:</w:t>
            </w:r>
          </w:p>
          <w:p w:rsidR="00000000" w:rsidRPr="004D12F4" w:rsidP="004D12F4">
            <w:pPr>
              <w:pStyle w:val="ListBullet"/>
            </w:pPr>
            <w:r w:rsidRPr="004D12F4">
              <w:t xml:space="preserve">OHS performance indicators (i.e. objectives and targets that are </w:t>
            </w:r>
            <w:r w:rsidRPr="004D12F4">
              <w:t>achievable and practical) reflecting systematic approaches to managing OHS</w:t>
            </w:r>
          </w:p>
          <w:p w:rsidR="00000000" w:rsidRPr="004D12F4" w:rsidP="004D12F4">
            <w:pPr>
              <w:pStyle w:val="ListBullet"/>
            </w:pPr>
            <w:r w:rsidRPr="004D12F4">
              <w:t>is usually developed annually but may be developed for a shorter or longer period</w:t>
            </w:r>
          </w:p>
          <w:p w:rsidR="00000000" w:rsidRPr="004D12F4" w:rsidP="004D12F4">
            <w:pPr>
              <w:pStyle w:val="ListBullet"/>
            </w:pPr>
            <w:r w:rsidRPr="004D12F4">
              <w:t>is reviewed regularly</w:t>
            </w:r>
          </w:p>
          <w:p w:rsidR="00000000" w:rsidP="004D12F4">
            <w:pPr>
              <w:pStyle w:val="ListBullet"/>
              <w:rPr>
                <w:lang w:val="en-NZ"/>
              </w:rPr>
            </w:pPr>
            <w:r w:rsidRPr="004D12F4">
              <w:t>provides the basis for OHS Action Plans which are developed to implement the strategic OHS plan</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12F4">
            <w:pPr>
              <w:pStyle w:val="BodyText"/>
              <w:rPr>
                <w:lang w:val="en-NZ"/>
              </w:rPr>
            </w:pPr>
            <w:r w:rsidRPr="004D12F4">
              <w:rPr>
                <w:rStyle w:val="Emphasis"/>
              </w:rPr>
              <w:t>Key personnel include</w:t>
            </w:r>
            <w:r w:rsidRPr="004D12F4">
              <w:t>:</w:t>
            </w: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ListBullet"/>
            </w:pPr>
            <w:r w:rsidRPr="004D12F4">
              <w:t>managers from other areas</w:t>
            </w:r>
          </w:p>
          <w:p w:rsidR="00000000" w:rsidRPr="004D12F4" w:rsidP="004D12F4">
            <w:pPr>
              <w:pStyle w:val="ListBullet"/>
            </w:pPr>
            <w:r w:rsidRPr="004D12F4">
              <w:t>people involved in OHS decision making</w:t>
            </w:r>
          </w:p>
          <w:p w:rsidR="00000000" w:rsidP="004D12F4">
            <w:pPr>
              <w:pStyle w:val="ListBullet"/>
              <w:rPr>
                <w:lang w:val="en-NZ"/>
              </w:rPr>
            </w:pPr>
            <w:r w:rsidRPr="004D12F4">
              <w:t>people who are impacted by decisions</w:t>
            </w:r>
          </w:p>
        </w:tc>
      </w:tr>
      <w:tr w:rsidTr="008D26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12F4" w:rsidP="004D12F4">
            <w:pPr>
              <w:pStyle w:val="BodyText"/>
            </w:pPr>
          </w:p>
        </w:tc>
      </w:tr>
    </w:tbl>
    <w:p w:rsidR="008D2631" w:rsidP="004D12F4">
      <w:pPr>
        <w:pStyle w:val="BodyText"/>
      </w:pPr>
    </w:p>
    <w:p w:rsidR="008D2631" w:rsidP="004D12F4">
      <w:pPr>
        <w:pStyle w:val="BodyText"/>
      </w:pPr>
    </w:p>
    <w:p w:rsidR="00000000" w:rsidRPr="004D12F4" w:rsidP="004D12F4">
      <w:pPr>
        <w:pStyle w:val="Heading1"/>
      </w:pPr>
      <w:bookmarkStart w:id="12" w:name="O_295242"/>
      <w:bookmarkEnd w:id="12"/>
      <w:r w:rsidRPr="004D12F4">
        <w:t>Unit Sector(s)</w:t>
      </w:r>
    </w:p>
    <w:p w:rsidR="00000000" w:rsidRPr="004D12F4" w:rsidP="004D12F4">
      <w:pPr>
        <w:pStyle w:val="BodyText"/>
      </w:pPr>
      <w:r w:rsidRPr="004D12F4">
        <w:t>Not Applicable</w:t>
      </w:r>
    </w:p>
    <w:p w:rsidR="00000000" w:rsidRPr="004D12F4" w:rsidP="004D12F4"/>
    <w:sectPr w:rsidSect="004D12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631" w:rsidP="008D2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31" w:rsidP="004D1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D2631" w:rsidP="004D12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2631" w:rsidP="004D12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631" w:rsidP="008D26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631" w:rsidP="004D12F4">
    <w:pPr>
      <w:pStyle w:val="Header"/>
      <w:framePr w:wrap="around"/>
    </w:pPr>
    <w:r>
      <w:fldChar w:fldCharType="begin"/>
    </w:r>
    <w:r>
      <w:instrText xml:space="preserve"> TITLE   \* MERGEFORMAT </w:instrText>
    </w:r>
    <w:r>
      <w:fldChar w:fldCharType="separate"/>
    </w:r>
    <w:r>
      <w:t>HLTOHS601A Improve workplace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2631" w:rsidP="004D12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50B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EF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6D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12F4"/>
    <w:pPr>
      <w:spacing w:before="360" w:after="60"/>
      <w:outlineLvl w:val="0"/>
    </w:pPr>
    <w:rPr>
      <w:sz w:val="32"/>
    </w:rPr>
  </w:style>
  <w:style w:type="paragraph" w:styleId="Heading2">
    <w:name w:val="heading 2"/>
    <w:basedOn w:val="HeadingBase"/>
    <w:next w:val="BodyText"/>
    <w:link w:val="Heading2Char"/>
    <w:qFormat/>
    <w:rsid w:val="004D12F4"/>
    <w:pPr>
      <w:keepLines/>
      <w:spacing w:before="240" w:after="120"/>
      <w:outlineLvl w:val="1"/>
    </w:pPr>
    <w:rPr>
      <w:sz w:val="28"/>
      <w:szCs w:val="40"/>
    </w:rPr>
  </w:style>
  <w:style w:type="paragraph" w:styleId="Heading3">
    <w:name w:val="heading 3"/>
    <w:basedOn w:val="HeadingBase"/>
    <w:next w:val="BodyText"/>
    <w:link w:val="Heading3Char"/>
    <w:qFormat/>
    <w:rsid w:val="004D12F4"/>
    <w:pPr>
      <w:spacing w:before="180" w:after="120"/>
      <w:outlineLvl w:val="2"/>
    </w:pPr>
    <w:rPr>
      <w:spacing w:val="-10"/>
      <w:kern w:val="32"/>
    </w:rPr>
  </w:style>
  <w:style w:type="paragraph" w:styleId="Heading4">
    <w:name w:val="heading 4"/>
    <w:basedOn w:val="HeadingBase"/>
    <w:next w:val="BodyText"/>
    <w:link w:val="Heading4Char"/>
    <w:qFormat/>
    <w:rsid w:val="004D12F4"/>
    <w:pPr>
      <w:spacing w:before="160" w:after="120"/>
      <w:outlineLvl w:val="3"/>
    </w:pPr>
    <w:rPr>
      <w:sz w:val="22"/>
    </w:rPr>
  </w:style>
  <w:style w:type="paragraph" w:styleId="Heading5">
    <w:name w:val="heading 5"/>
    <w:basedOn w:val="HeadingBase"/>
    <w:next w:val="Normal"/>
    <w:link w:val="Heading5Char"/>
    <w:qFormat/>
    <w:rsid w:val="004D12F4"/>
    <w:pPr>
      <w:spacing w:before="80"/>
      <w:outlineLvl w:val="4"/>
    </w:pPr>
    <w:rPr>
      <w:color w:val="918585"/>
      <w:sz w:val="20"/>
    </w:rPr>
  </w:style>
  <w:style w:type="paragraph" w:styleId="Heading6">
    <w:name w:val="heading 6"/>
    <w:basedOn w:val="HeadingBase"/>
    <w:next w:val="Normal"/>
    <w:link w:val="Heading6Char"/>
    <w:qFormat/>
    <w:rsid w:val="004D12F4"/>
    <w:pPr>
      <w:spacing w:before="60"/>
      <w:outlineLvl w:val="5"/>
    </w:pPr>
    <w:rPr>
      <w:color w:val="918585"/>
      <w:sz w:val="20"/>
    </w:rPr>
  </w:style>
  <w:style w:type="paragraph" w:styleId="Heading7">
    <w:name w:val="heading 7"/>
    <w:basedOn w:val="Normal"/>
    <w:next w:val="Normal"/>
    <w:link w:val="Heading7Char"/>
    <w:qFormat/>
    <w:rsid w:val="004D12F4"/>
    <w:pPr>
      <w:ind w:left="720"/>
      <w:outlineLvl w:val="6"/>
    </w:pPr>
    <w:rPr>
      <w:i/>
    </w:rPr>
  </w:style>
  <w:style w:type="paragraph" w:styleId="Heading8">
    <w:name w:val="heading 8"/>
    <w:basedOn w:val="Normal"/>
    <w:next w:val="Normal"/>
    <w:link w:val="Heading8Char"/>
    <w:qFormat/>
    <w:rsid w:val="004D12F4"/>
    <w:pPr>
      <w:ind w:left="720"/>
      <w:outlineLvl w:val="7"/>
    </w:pPr>
    <w:rPr>
      <w:i/>
    </w:rPr>
  </w:style>
  <w:style w:type="paragraph" w:styleId="Heading9">
    <w:name w:val="heading 9"/>
    <w:basedOn w:val="Normal"/>
    <w:next w:val="Normal"/>
    <w:link w:val="Heading9Char"/>
    <w:qFormat/>
    <w:rsid w:val="004D12F4"/>
    <w:pPr>
      <w:ind w:left="720"/>
      <w:outlineLvl w:val="8"/>
    </w:pPr>
    <w:rPr>
      <w:i/>
    </w:rPr>
  </w:style>
  <w:style w:type="character" w:default="1" w:styleId="DefaultParagraphFont">
    <w:name w:val="Default Paragraph Font"/>
    <w:uiPriority w:val="1"/>
    <w:unhideWhenUsed/>
    <w:rsid w:val="004D1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2F4"/>
  </w:style>
  <w:style w:type="character" w:customStyle="1" w:styleId="Heading1Char">
    <w:name w:val="Heading 1 Char"/>
    <w:basedOn w:val="DefaultParagraphFont"/>
    <w:link w:val="Heading1"/>
    <w:rsid w:val="004D12F4"/>
    <w:rPr>
      <w:rFonts w:ascii="Times New Roman" w:eastAsia="Times New Roman" w:hAnsi="Times New Roman" w:cs="Times New Roman"/>
      <w:b/>
      <w:sz w:val="32"/>
      <w:szCs w:val="20"/>
      <w:lang w:eastAsia="en-US"/>
    </w:rPr>
  </w:style>
  <w:style w:type="paragraph" w:styleId="BodyText">
    <w:name w:val="Body Text"/>
    <w:basedOn w:val="Normal"/>
    <w:link w:val="BodyTextChar"/>
    <w:rsid w:val="004D12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2F4"/>
    <w:rPr>
      <w:rFonts w:ascii="Times New Roman" w:eastAsia="Times New Roman" w:hAnsi="Times New Roman" w:cs="Times New Roman"/>
      <w:sz w:val="24"/>
      <w:lang w:val="en-US" w:eastAsia="en-US"/>
    </w:rPr>
  </w:style>
  <w:style w:type="paragraph" w:styleId="Footer">
    <w:name w:val="footer"/>
    <w:basedOn w:val="Normal"/>
    <w:link w:val="FooterChar"/>
    <w:rsid w:val="004D1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2F4"/>
    <w:rPr>
      <w:rFonts w:ascii="Times New Roman" w:eastAsia="Times New Roman" w:hAnsi="Times New Roman" w:cs="Times New Roman"/>
      <w:sz w:val="16"/>
      <w:lang w:val="en-US" w:eastAsia="en-US"/>
    </w:rPr>
  </w:style>
  <w:style w:type="paragraph" w:styleId="List">
    <w:name w:val="List"/>
    <w:basedOn w:val="BodyText"/>
    <w:next w:val="BodyText"/>
    <w:rsid w:val="004D12F4"/>
    <w:pPr>
      <w:tabs>
        <w:tab w:val="left" w:pos="340"/>
      </w:tabs>
      <w:spacing w:before="60" w:after="60"/>
      <w:ind w:left="340" w:hanging="340"/>
    </w:pPr>
  </w:style>
  <w:style w:type="paragraph" w:styleId="ListBullet">
    <w:name w:val="List Bullet"/>
    <w:basedOn w:val="List"/>
    <w:rsid w:val="004D12F4"/>
    <w:pPr>
      <w:numPr>
        <w:numId w:val="13"/>
      </w:numPr>
      <w:tabs>
        <w:tab w:val="clear" w:pos="340"/>
      </w:tabs>
      <w:spacing w:before="40" w:after="40"/>
    </w:pPr>
  </w:style>
  <w:style w:type="character" w:customStyle="1" w:styleId="SpecialBold">
    <w:name w:val="Special Bold"/>
    <w:basedOn w:val="DefaultParagraphFont"/>
    <w:rsid w:val="004D12F4"/>
    <w:rPr>
      <w:b/>
      <w:spacing w:val="0"/>
    </w:rPr>
  </w:style>
  <w:style w:type="paragraph" w:styleId="ListBullet2">
    <w:name w:val="List Bullet 2"/>
    <w:basedOn w:val="List2"/>
    <w:rsid w:val="004D12F4"/>
    <w:pPr>
      <w:numPr>
        <w:numId w:val="14"/>
      </w:numPr>
      <w:tabs>
        <w:tab w:val="clear" w:pos="680"/>
      </w:tabs>
    </w:pPr>
  </w:style>
  <w:style w:type="paragraph" w:styleId="Header">
    <w:name w:val="header"/>
    <w:basedOn w:val="Normal"/>
    <w:link w:val="HeaderChar"/>
    <w:rsid w:val="004D1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2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12F4"/>
    <w:rPr>
      <w:i/>
    </w:rPr>
  </w:style>
  <w:style w:type="paragraph" w:customStyle="1" w:styleId="SuperHeading">
    <w:name w:val="SuperHeading"/>
    <w:basedOn w:val="Normal"/>
    <w:rsid w:val="004D12F4"/>
    <w:pPr>
      <w:spacing w:before="240" w:after="120"/>
      <w:outlineLvl w:val="0"/>
    </w:pPr>
    <w:rPr>
      <w:rFonts w:ascii="Times New Roman" w:hAnsi="Times New Roman"/>
      <w:b/>
      <w:sz w:val="28"/>
    </w:rPr>
  </w:style>
  <w:style w:type="paragraph" w:customStyle="1" w:styleId="AllowPageBreak">
    <w:name w:val="AllowPageBreak"/>
    <w:rsid w:val="004D1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2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12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12F4"/>
    <w:rPr>
      <w:rFonts w:ascii="Courier New" w:eastAsia="Times New Roman" w:hAnsi="Courier New" w:cs="Times New Roman"/>
      <w:i/>
      <w:szCs w:val="20"/>
      <w:lang w:val="en-US" w:eastAsia="en-US"/>
    </w:rPr>
  </w:style>
  <w:style w:type="paragraph" w:customStyle="1" w:styleId="HeadingBase">
    <w:name w:val="Heading Base"/>
    <w:rsid w:val="004D1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2F4"/>
    <w:pPr>
      <w:tabs>
        <w:tab w:val="right" w:leader="dot" w:pos="9072"/>
      </w:tabs>
      <w:ind w:left="567"/>
    </w:pPr>
    <w:rPr>
      <w:szCs w:val="22"/>
    </w:rPr>
  </w:style>
  <w:style w:type="paragraph" w:customStyle="1" w:styleId="TOCBase">
    <w:name w:val="TOC Base"/>
    <w:rsid w:val="004D1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2F4"/>
    <w:pPr>
      <w:tabs>
        <w:tab w:val="right" w:leader="dot" w:pos="9072"/>
      </w:tabs>
      <w:spacing w:before="40" w:after="40"/>
      <w:ind w:left="284"/>
    </w:pPr>
    <w:rPr>
      <w:rFonts w:ascii="Times New Roman" w:hAnsi="Times New Roman"/>
    </w:rPr>
  </w:style>
  <w:style w:type="paragraph" w:styleId="TOC1">
    <w:name w:val="toc 1"/>
    <w:basedOn w:val="TOCBase"/>
    <w:next w:val="Normal"/>
    <w:rsid w:val="004D12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12F4"/>
    <w:pPr>
      <w:spacing w:before="5040"/>
      <w:jc w:val="center"/>
    </w:pPr>
    <w:rPr>
      <w:sz w:val="48"/>
      <w:szCs w:val="72"/>
      <w:lang w:val="en-US"/>
    </w:rPr>
  </w:style>
  <w:style w:type="character" w:customStyle="1" w:styleId="TitleChar">
    <w:name w:val="Title Char"/>
    <w:basedOn w:val="DefaultParagraphFont"/>
    <w:link w:val="Title"/>
    <w:rsid w:val="004D1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2F4"/>
    <w:pPr>
      <w:tabs>
        <w:tab w:val="left" w:pos="3600"/>
        <w:tab w:val="left" w:pos="3958"/>
      </w:tabs>
    </w:pPr>
  </w:style>
  <w:style w:type="paragraph" w:customStyle="1" w:styleId="Note">
    <w:name w:val="Note"/>
    <w:basedOn w:val="BodyText"/>
    <w:rsid w:val="004D1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2F4"/>
    <w:pPr>
      <w:framePr w:wrap="auto" w:hAnchor="text" w:y="6049"/>
    </w:pPr>
    <w:rPr>
      <w:color w:val="000000"/>
      <w:sz w:val="40"/>
    </w:rPr>
  </w:style>
  <w:style w:type="paragraph" w:customStyle="1" w:styleId="TOCTitle">
    <w:name w:val="TOCTitle"/>
    <w:basedOn w:val="Heading1"/>
    <w:rsid w:val="004D12F4"/>
    <w:pPr>
      <w:spacing w:after="240"/>
      <w:jc w:val="center"/>
      <w:outlineLvl w:val="9"/>
    </w:pPr>
    <w:rPr>
      <w:caps/>
    </w:rPr>
  </w:style>
  <w:style w:type="paragraph" w:customStyle="1" w:styleId="Version">
    <w:name w:val="Version"/>
    <w:rsid w:val="004D1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2F4"/>
    <w:pPr>
      <w:keepNext w:val="0"/>
      <w:tabs>
        <w:tab w:val="right" w:pos="4176"/>
      </w:tabs>
      <w:ind w:left="198" w:hanging="198"/>
    </w:pPr>
    <w:rPr>
      <w:rFonts w:ascii="Garamond" w:hAnsi="Garamond"/>
    </w:rPr>
  </w:style>
  <w:style w:type="paragraph" w:styleId="IndexHeading">
    <w:name w:val="index heading"/>
    <w:basedOn w:val="Normal"/>
    <w:next w:val="Index1"/>
    <w:semiHidden/>
    <w:rsid w:val="004D12F4"/>
    <w:pPr>
      <w:spacing w:before="120" w:after="120"/>
    </w:pPr>
    <w:rPr>
      <w:rFonts w:ascii="Arial" w:hAnsi="Arial"/>
      <w:b/>
      <w:color w:val="918585"/>
      <w:sz w:val="24"/>
    </w:rPr>
  </w:style>
  <w:style w:type="paragraph" w:customStyle="1" w:styleId="Chapter">
    <w:name w:val="Chapter"/>
    <w:basedOn w:val="Normal"/>
    <w:rsid w:val="004D12F4"/>
    <w:pPr>
      <w:spacing w:before="240"/>
    </w:pPr>
    <w:rPr>
      <w:rFonts w:ascii="Times New Roman" w:hAnsi="Times New Roman"/>
      <w:smallCaps/>
      <w:spacing w:val="80"/>
      <w:sz w:val="28"/>
    </w:rPr>
  </w:style>
  <w:style w:type="paragraph" w:customStyle="1" w:styleId="InChapter">
    <w:name w:val="InChapter"/>
    <w:basedOn w:val="Heading3"/>
    <w:rsid w:val="004D12F4"/>
    <w:pPr>
      <w:spacing w:after="240"/>
      <w:outlineLvl w:val="9"/>
    </w:pPr>
    <w:rPr>
      <w:noProof/>
    </w:rPr>
  </w:style>
  <w:style w:type="paragraph" w:styleId="Index2">
    <w:name w:val="index 2"/>
    <w:basedOn w:val="Normal"/>
    <w:next w:val="Normal"/>
    <w:semiHidden/>
    <w:rsid w:val="004D12F4"/>
    <w:pPr>
      <w:tabs>
        <w:tab w:val="right" w:pos="4176"/>
      </w:tabs>
      <w:ind w:left="568" w:hanging="284"/>
    </w:pPr>
    <w:rPr>
      <w:rFonts w:ascii="Garamond" w:hAnsi="Garamond"/>
    </w:rPr>
  </w:style>
  <w:style w:type="paragraph" w:customStyle="1" w:styleId="Byline">
    <w:name w:val="Byline"/>
    <w:rsid w:val="004D1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2F4"/>
    <w:pPr>
      <w:tabs>
        <w:tab w:val="clear" w:pos="3600"/>
        <w:tab w:val="clear" w:pos="3958"/>
      </w:tabs>
      <w:jc w:val="right"/>
    </w:pPr>
  </w:style>
  <w:style w:type="paragraph" w:styleId="Caption">
    <w:name w:val="caption"/>
    <w:basedOn w:val="BodyText"/>
    <w:next w:val="Normal"/>
    <w:qFormat/>
    <w:rsid w:val="004D12F4"/>
    <w:pPr>
      <w:framePr w:w="2268" w:hSpace="181" w:vSpace="181" w:wrap="around" w:vAnchor="text" w:hAnchor="page" w:x="1135" w:y="285" w:anchorLock="1"/>
    </w:pPr>
    <w:rPr>
      <w:i/>
    </w:rPr>
  </w:style>
  <w:style w:type="paragraph" w:customStyle="1" w:styleId="MiniTOCTitle">
    <w:name w:val="MiniTOCTitle"/>
    <w:basedOn w:val="Heading4"/>
    <w:rsid w:val="004D12F4"/>
    <w:pPr>
      <w:spacing w:before="240"/>
      <w:outlineLvl w:val="9"/>
    </w:pPr>
    <w:rPr>
      <w:noProof/>
      <w:sz w:val="24"/>
    </w:rPr>
  </w:style>
  <w:style w:type="paragraph" w:customStyle="1" w:styleId="MiniTOCItem">
    <w:name w:val="MiniTOCItem"/>
    <w:basedOn w:val="ListBullet"/>
    <w:rsid w:val="004D12F4"/>
    <w:pPr>
      <w:numPr>
        <w:numId w:val="0"/>
      </w:numPr>
      <w:tabs>
        <w:tab w:val="right" w:leader="dot" w:pos="6521"/>
      </w:tabs>
      <w:spacing w:before="0" w:after="0"/>
    </w:pPr>
  </w:style>
  <w:style w:type="paragraph" w:customStyle="1" w:styleId="TOFTitle">
    <w:name w:val="TOFTitle"/>
    <w:basedOn w:val="TOCTitle"/>
    <w:rsid w:val="004D12F4"/>
  </w:style>
  <w:style w:type="paragraph" w:styleId="TableofFigures">
    <w:name w:val="table of figures"/>
    <w:basedOn w:val="Normal"/>
    <w:next w:val="Normal"/>
    <w:semiHidden/>
    <w:rsid w:val="004D12F4"/>
    <w:pPr>
      <w:tabs>
        <w:tab w:val="right" w:leader="dot" w:pos="9072"/>
      </w:tabs>
      <w:ind w:left="970" w:hanging="403"/>
    </w:pPr>
    <w:rPr>
      <w:rFonts w:ascii="Times New Roman" w:hAnsi="Times New Roman"/>
      <w:b/>
    </w:rPr>
  </w:style>
  <w:style w:type="paragraph" w:styleId="ListNumber">
    <w:name w:val="List Number"/>
    <w:basedOn w:val="List"/>
    <w:rsid w:val="004D12F4"/>
    <w:pPr>
      <w:numPr>
        <w:numId w:val="11"/>
      </w:numPr>
    </w:pPr>
  </w:style>
  <w:style w:type="character" w:customStyle="1" w:styleId="WingdingSymbols">
    <w:name w:val="Wingding Symbols"/>
    <w:rsid w:val="004D12F4"/>
    <w:rPr>
      <w:rFonts w:ascii="Wingdings" w:hAnsi="Wingdings"/>
    </w:rPr>
  </w:style>
  <w:style w:type="paragraph" w:customStyle="1" w:styleId="TableHeading">
    <w:name w:val="Table Heading"/>
    <w:basedOn w:val="HeadingBase"/>
    <w:rsid w:val="004D12F4"/>
    <w:pPr>
      <w:keepLines/>
      <w:pBdr>
        <w:bottom w:val="single" w:sz="6" w:space="1" w:color="918585"/>
      </w:pBdr>
      <w:spacing w:before="240"/>
    </w:pPr>
  </w:style>
  <w:style w:type="character" w:customStyle="1" w:styleId="HotSpot">
    <w:name w:val="HotSpot"/>
    <w:rsid w:val="004D12F4"/>
    <w:rPr>
      <w:color w:val="0033CC"/>
      <w:u w:val="none"/>
    </w:rPr>
  </w:style>
  <w:style w:type="paragraph" w:customStyle="1" w:styleId="BodyTextRight">
    <w:name w:val="Body Text Right"/>
    <w:basedOn w:val="BodyText"/>
    <w:rsid w:val="004D12F4"/>
    <w:pPr>
      <w:spacing w:before="0" w:after="0"/>
      <w:jc w:val="right"/>
    </w:pPr>
  </w:style>
  <w:style w:type="paragraph" w:styleId="Index3">
    <w:name w:val="index 3"/>
    <w:basedOn w:val="ListNumber2"/>
    <w:next w:val="Normal"/>
    <w:semiHidden/>
    <w:rsid w:val="004D12F4"/>
    <w:pPr>
      <w:numPr>
        <w:numId w:val="0"/>
      </w:numPr>
      <w:tabs>
        <w:tab w:val="right" w:leader="dot" w:pos="4176"/>
      </w:tabs>
    </w:pPr>
  </w:style>
  <w:style w:type="paragraph" w:styleId="ListNumber2">
    <w:name w:val="List Number 2"/>
    <w:basedOn w:val="List2"/>
    <w:rsid w:val="004D12F4"/>
    <w:pPr>
      <w:numPr>
        <w:numId w:val="10"/>
      </w:numPr>
      <w:tabs>
        <w:tab w:val="clear" w:pos="1060"/>
      </w:tabs>
    </w:pPr>
  </w:style>
  <w:style w:type="paragraph" w:customStyle="1" w:styleId="MarginNote">
    <w:name w:val="Margin Note"/>
    <w:basedOn w:val="BodyText"/>
    <w:rsid w:val="004D1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2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12F4"/>
    <w:rPr>
      <w:sz w:val="32"/>
    </w:rPr>
  </w:style>
  <w:style w:type="paragraph" w:customStyle="1" w:styleId="HeadingProcedure">
    <w:name w:val="Heading Procedure"/>
    <w:basedOn w:val="HeadingBase"/>
    <w:next w:val="Normal"/>
    <w:rsid w:val="004D12F4"/>
    <w:pPr>
      <w:tabs>
        <w:tab w:val="left" w:pos="0"/>
      </w:tabs>
      <w:spacing w:before="120" w:after="60"/>
    </w:pPr>
    <w:rPr>
      <w:i/>
      <w:color w:val="918585"/>
      <w:sz w:val="22"/>
    </w:rPr>
  </w:style>
  <w:style w:type="paragraph" w:customStyle="1" w:styleId="TableBodyText">
    <w:name w:val="Table Body Text"/>
    <w:basedOn w:val="BodyText"/>
    <w:rsid w:val="004D12F4"/>
    <w:pPr>
      <w:spacing w:before="60" w:after="60"/>
    </w:pPr>
  </w:style>
  <w:style w:type="paragraph" w:styleId="ListContinue">
    <w:name w:val="List Continue"/>
    <w:basedOn w:val="List"/>
    <w:rsid w:val="004D12F4"/>
    <w:pPr>
      <w:ind w:firstLine="0"/>
    </w:pPr>
  </w:style>
  <w:style w:type="paragraph" w:customStyle="1" w:styleId="ListNote">
    <w:name w:val="List Note"/>
    <w:basedOn w:val="List"/>
    <w:rsid w:val="004D12F4"/>
    <w:pPr>
      <w:pBdr>
        <w:top w:val="single" w:sz="6" w:space="2" w:color="918585"/>
        <w:bottom w:val="single" w:sz="6" w:space="2" w:color="918585"/>
      </w:pBdr>
      <w:tabs>
        <w:tab w:val="left" w:pos="1021"/>
      </w:tabs>
      <w:ind w:firstLine="0"/>
    </w:pPr>
  </w:style>
  <w:style w:type="paragraph" w:customStyle="1" w:styleId="Warning">
    <w:name w:val="Warning"/>
    <w:basedOn w:val="BodyText"/>
    <w:rsid w:val="004D12F4"/>
    <w:pPr>
      <w:shd w:val="clear" w:color="auto" w:fill="D9D9D9"/>
      <w:tabs>
        <w:tab w:val="left" w:pos="992"/>
      </w:tabs>
      <w:ind w:left="119" w:right="119"/>
    </w:pPr>
    <w:rPr>
      <w:sz w:val="20"/>
    </w:rPr>
  </w:style>
  <w:style w:type="paragraph" w:customStyle="1" w:styleId="MarginIcons">
    <w:name w:val="Margin Icons"/>
    <w:basedOn w:val="BodyText"/>
    <w:rsid w:val="004D1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2F4"/>
    <w:rPr>
      <w:rFonts w:ascii="Courier New" w:hAnsi="Courier New"/>
    </w:rPr>
  </w:style>
  <w:style w:type="paragraph" w:customStyle="1" w:styleId="NoteBullet">
    <w:name w:val="Note Bullet"/>
    <w:basedOn w:val="Note"/>
    <w:rsid w:val="004D12F4"/>
    <w:pPr>
      <w:tabs>
        <w:tab w:val="clear" w:pos="680"/>
      </w:tabs>
      <w:spacing w:before="60" w:after="60"/>
    </w:pPr>
  </w:style>
  <w:style w:type="paragraph" w:customStyle="1" w:styleId="SubHeading2">
    <w:name w:val="SubHeading2"/>
    <w:basedOn w:val="HeadingBase"/>
    <w:rsid w:val="004D12F4"/>
    <w:pPr>
      <w:spacing w:before="240" w:after="60"/>
    </w:pPr>
    <w:rPr>
      <w:sz w:val="20"/>
    </w:rPr>
  </w:style>
  <w:style w:type="paragraph" w:customStyle="1" w:styleId="SubHeading1">
    <w:name w:val="SubHeading1"/>
    <w:basedOn w:val="HeadingBase"/>
    <w:rsid w:val="004D12F4"/>
    <w:pPr>
      <w:spacing w:before="240" w:after="60"/>
    </w:pPr>
    <w:rPr>
      <w:color w:val="918585"/>
      <w:sz w:val="22"/>
    </w:rPr>
  </w:style>
  <w:style w:type="paragraph" w:customStyle="1" w:styleId="SideHeading">
    <w:name w:val="Side Heading"/>
    <w:basedOn w:val="HeadingBase"/>
    <w:rsid w:val="004D1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2F4"/>
    <w:pPr>
      <w:numPr>
        <w:numId w:val="12"/>
      </w:numPr>
    </w:pPr>
  </w:style>
  <w:style w:type="paragraph" w:styleId="PlainText">
    <w:name w:val="Plain Text"/>
    <w:basedOn w:val="Normal"/>
    <w:link w:val="PlainTextChar"/>
    <w:rsid w:val="004D12F4"/>
    <w:rPr>
      <w:sz w:val="20"/>
    </w:rPr>
  </w:style>
  <w:style w:type="character" w:customStyle="1" w:styleId="PlainTextChar">
    <w:name w:val="Plain Text Char"/>
    <w:basedOn w:val="DefaultParagraphFont"/>
    <w:link w:val="PlainText"/>
    <w:rsid w:val="004D12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12F4"/>
    <w:rPr>
      <w:b/>
      <w:smallCaps/>
    </w:rPr>
  </w:style>
  <w:style w:type="paragraph" w:customStyle="1" w:styleId="TableListNumber">
    <w:name w:val="Table List Number"/>
    <w:basedOn w:val="ListNumber"/>
    <w:rsid w:val="004D12F4"/>
    <w:pPr>
      <w:numPr>
        <w:numId w:val="0"/>
      </w:numPr>
    </w:pPr>
  </w:style>
  <w:style w:type="paragraph" w:styleId="TOC4">
    <w:name w:val="toc 4"/>
    <w:basedOn w:val="TOCBase"/>
    <w:next w:val="Normal"/>
    <w:semiHidden/>
    <w:rsid w:val="004D12F4"/>
    <w:pPr>
      <w:tabs>
        <w:tab w:val="right" w:leader="dot" w:pos="9071"/>
      </w:tabs>
      <w:ind w:left="1701"/>
    </w:pPr>
  </w:style>
  <w:style w:type="paragraph" w:customStyle="1" w:styleId="ListAlpha">
    <w:name w:val="List Alpha"/>
    <w:basedOn w:val="List"/>
    <w:rsid w:val="004D12F4"/>
    <w:pPr>
      <w:numPr>
        <w:numId w:val="9"/>
      </w:numPr>
    </w:pPr>
  </w:style>
  <w:style w:type="paragraph" w:customStyle="1" w:styleId="ListAlpha2">
    <w:name w:val="List Alpha 2"/>
    <w:basedOn w:val="List2"/>
    <w:rsid w:val="004D12F4"/>
    <w:pPr>
      <w:numPr>
        <w:numId w:val="8"/>
      </w:numPr>
    </w:pPr>
  </w:style>
  <w:style w:type="paragraph" w:styleId="List2">
    <w:name w:val="List 2"/>
    <w:basedOn w:val="BodyText"/>
    <w:rsid w:val="004D12F4"/>
    <w:pPr>
      <w:tabs>
        <w:tab w:val="left" w:pos="680"/>
      </w:tabs>
      <w:spacing w:before="60" w:after="60"/>
      <w:ind w:left="680" w:hanging="340"/>
    </w:pPr>
  </w:style>
  <w:style w:type="paragraph" w:styleId="List3">
    <w:name w:val="List 3"/>
    <w:basedOn w:val="BodyText"/>
    <w:rsid w:val="004D12F4"/>
    <w:pPr>
      <w:tabs>
        <w:tab w:val="left" w:pos="1021"/>
      </w:tabs>
      <w:spacing w:before="60" w:after="60"/>
      <w:ind w:left="1020" w:hanging="340"/>
    </w:pPr>
  </w:style>
  <w:style w:type="paragraph" w:styleId="List4">
    <w:name w:val="List 4"/>
    <w:basedOn w:val="BodyText"/>
    <w:rsid w:val="004D12F4"/>
    <w:pPr>
      <w:tabs>
        <w:tab w:val="left" w:pos="1361"/>
      </w:tabs>
      <w:spacing w:before="60" w:after="60"/>
      <w:ind w:left="1361" w:hanging="340"/>
    </w:pPr>
  </w:style>
  <w:style w:type="paragraph" w:styleId="List5">
    <w:name w:val="List 5"/>
    <w:basedOn w:val="BodyText"/>
    <w:rsid w:val="004D12F4"/>
    <w:pPr>
      <w:tabs>
        <w:tab w:val="left" w:pos="1701"/>
      </w:tabs>
      <w:spacing w:before="60" w:after="60"/>
      <w:ind w:left="1701" w:hanging="340"/>
    </w:pPr>
  </w:style>
  <w:style w:type="paragraph" w:styleId="ListBullet3">
    <w:name w:val="List Bullet 3"/>
    <w:basedOn w:val="List3"/>
    <w:rsid w:val="004D12F4"/>
    <w:pPr>
      <w:numPr>
        <w:numId w:val="15"/>
      </w:numPr>
      <w:tabs>
        <w:tab w:val="clear" w:pos="1021"/>
      </w:tabs>
      <w:ind w:left="1037" w:hanging="357"/>
    </w:pPr>
  </w:style>
  <w:style w:type="paragraph" w:styleId="ListBullet4">
    <w:name w:val="List Bullet 4"/>
    <w:basedOn w:val="List4"/>
    <w:rsid w:val="004D12F4"/>
    <w:pPr>
      <w:numPr>
        <w:numId w:val="3"/>
      </w:numPr>
    </w:pPr>
  </w:style>
  <w:style w:type="paragraph" w:styleId="ListBullet5">
    <w:name w:val="List Bullet 5"/>
    <w:basedOn w:val="List5"/>
    <w:rsid w:val="004D12F4"/>
    <w:pPr>
      <w:numPr>
        <w:numId w:val="4"/>
      </w:numPr>
    </w:pPr>
  </w:style>
  <w:style w:type="paragraph" w:styleId="ListContinue2">
    <w:name w:val="List Continue 2"/>
    <w:basedOn w:val="List2"/>
    <w:rsid w:val="004D12F4"/>
    <w:pPr>
      <w:ind w:firstLine="0"/>
    </w:pPr>
  </w:style>
  <w:style w:type="paragraph" w:styleId="ListContinue3">
    <w:name w:val="List Continue 3"/>
    <w:basedOn w:val="List3"/>
    <w:rsid w:val="004D12F4"/>
    <w:pPr>
      <w:ind w:left="1021" w:firstLine="0"/>
    </w:pPr>
  </w:style>
  <w:style w:type="paragraph" w:styleId="ListContinue4">
    <w:name w:val="List Continue 4"/>
    <w:basedOn w:val="List4"/>
    <w:rsid w:val="004D12F4"/>
    <w:pPr>
      <w:ind w:firstLine="0"/>
    </w:pPr>
  </w:style>
  <w:style w:type="paragraph" w:styleId="ListContinue5">
    <w:name w:val="List Continue 5"/>
    <w:basedOn w:val="List5"/>
    <w:rsid w:val="004D12F4"/>
    <w:pPr>
      <w:ind w:firstLine="0"/>
    </w:pPr>
  </w:style>
  <w:style w:type="paragraph" w:styleId="ListNumber3">
    <w:name w:val="List Number 3"/>
    <w:basedOn w:val="List3"/>
    <w:rsid w:val="004D12F4"/>
    <w:pPr>
      <w:numPr>
        <w:numId w:val="5"/>
      </w:numPr>
    </w:pPr>
  </w:style>
  <w:style w:type="paragraph" w:styleId="ListNumber4">
    <w:name w:val="List Number 4"/>
    <w:basedOn w:val="List4"/>
    <w:rsid w:val="004D12F4"/>
    <w:pPr>
      <w:numPr>
        <w:numId w:val="6"/>
      </w:numPr>
    </w:pPr>
  </w:style>
  <w:style w:type="paragraph" w:styleId="ListNumber5">
    <w:name w:val="List Number 5"/>
    <w:basedOn w:val="List5"/>
    <w:rsid w:val="004D12F4"/>
    <w:pPr>
      <w:numPr>
        <w:numId w:val="7"/>
      </w:numPr>
    </w:pPr>
  </w:style>
  <w:style w:type="paragraph" w:styleId="BlockText">
    <w:name w:val="Block Text"/>
    <w:basedOn w:val="Normal"/>
    <w:rsid w:val="004D12F4"/>
    <w:pPr>
      <w:spacing w:after="120"/>
      <w:ind w:left="1440" w:right="1440"/>
    </w:pPr>
  </w:style>
  <w:style w:type="character" w:customStyle="1" w:styleId="Subscript">
    <w:name w:val="Subscript"/>
    <w:basedOn w:val="DefaultParagraphFont"/>
    <w:rsid w:val="004D12F4"/>
    <w:rPr>
      <w:sz w:val="16"/>
      <w:vertAlign w:val="subscript"/>
    </w:rPr>
  </w:style>
  <w:style w:type="character" w:customStyle="1" w:styleId="Superscript">
    <w:name w:val="Superscript"/>
    <w:basedOn w:val="DefaultParagraphFont"/>
    <w:rsid w:val="004D12F4"/>
    <w:rPr>
      <w:sz w:val="16"/>
      <w:vertAlign w:val="superscript"/>
    </w:rPr>
  </w:style>
  <w:style w:type="character" w:customStyle="1" w:styleId="Symbols">
    <w:name w:val="Symbols"/>
    <w:basedOn w:val="DefaultParagraphFont"/>
    <w:rsid w:val="004D12F4"/>
    <w:rPr>
      <w:rFonts w:ascii="Symbol" w:hAnsi="Symbol"/>
    </w:rPr>
  </w:style>
  <w:style w:type="character" w:customStyle="1" w:styleId="MenuOptions">
    <w:name w:val="Menu Options"/>
    <w:basedOn w:val="DefaultParagraphFont"/>
    <w:rsid w:val="004D12F4"/>
    <w:rPr>
      <w:rFonts w:ascii="Arial Narrow" w:hAnsi="Arial Narrow"/>
      <w:smallCaps/>
    </w:rPr>
  </w:style>
  <w:style w:type="character" w:customStyle="1" w:styleId="Buttons">
    <w:name w:val="Buttons"/>
    <w:basedOn w:val="DefaultParagraphFont"/>
    <w:rsid w:val="004D12F4"/>
    <w:rPr>
      <w:b/>
    </w:rPr>
  </w:style>
  <w:style w:type="character" w:customStyle="1" w:styleId="Underlined">
    <w:name w:val="Underlined"/>
    <w:basedOn w:val="DefaultParagraphFont"/>
    <w:rsid w:val="004D12F4"/>
    <w:rPr>
      <w:u w:val="single"/>
    </w:rPr>
  </w:style>
  <w:style w:type="paragraph" w:customStyle="1" w:styleId="TableBodyTextRight">
    <w:name w:val="Table Body Text Right"/>
    <w:basedOn w:val="TableBodyText"/>
    <w:rsid w:val="004D12F4"/>
    <w:pPr>
      <w:widowControl w:val="0"/>
      <w:autoSpaceDE w:val="0"/>
      <w:autoSpaceDN w:val="0"/>
      <w:adjustRightInd w:val="0"/>
      <w:jc w:val="right"/>
    </w:pPr>
    <w:rPr>
      <w:rFonts w:cs="Arial"/>
      <w:szCs w:val="18"/>
    </w:rPr>
  </w:style>
  <w:style w:type="paragraph" w:customStyle="1" w:styleId="CopyrightText">
    <w:name w:val="Copyright Text"/>
    <w:basedOn w:val="BodyText"/>
    <w:rsid w:val="004D12F4"/>
    <w:rPr>
      <w:sz w:val="18"/>
    </w:rPr>
  </w:style>
  <w:style w:type="paragraph" w:customStyle="1" w:styleId="BodySmallRight">
    <w:name w:val="Body Small Right"/>
    <w:basedOn w:val="BodyTextRight"/>
    <w:rsid w:val="004D12F4"/>
    <w:rPr>
      <w:sz w:val="18"/>
      <w:szCs w:val="18"/>
    </w:rPr>
  </w:style>
  <w:style w:type="paragraph" w:customStyle="1" w:styleId="MarginEdition">
    <w:name w:val="Margin Edition"/>
    <w:basedOn w:val="MarginNote"/>
    <w:rsid w:val="004D12F4"/>
    <w:pPr>
      <w:spacing w:before="0" w:after="0"/>
    </w:pPr>
    <w:rPr>
      <w:rFonts w:ascii="Times New Roman" w:hAnsi="Times New Roman"/>
      <w:color w:val="999999"/>
    </w:rPr>
  </w:style>
  <w:style w:type="paragraph" w:customStyle="1" w:styleId="Spacer">
    <w:name w:val="Spacer"/>
    <w:basedOn w:val="Normal"/>
    <w:rsid w:val="004D12F4"/>
    <w:rPr>
      <w:sz w:val="2"/>
      <w:szCs w:val="2"/>
    </w:rPr>
  </w:style>
  <w:style w:type="character" w:customStyle="1" w:styleId="Small">
    <w:name w:val="Small"/>
    <w:basedOn w:val="DefaultParagraphFont"/>
    <w:rsid w:val="004D12F4"/>
    <w:rPr>
      <w:sz w:val="16"/>
    </w:rPr>
  </w:style>
  <w:style w:type="paragraph" w:customStyle="1" w:styleId="WideTable">
    <w:name w:val="Wide Table"/>
    <w:basedOn w:val="Normal"/>
    <w:rsid w:val="004D12F4"/>
    <w:pPr>
      <w:ind w:left="-1418"/>
    </w:pPr>
    <w:rPr>
      <w:sz w:val="2"/>
      <w:szCs w:val="2"/>
    </w:rPr>
  </w:style>
  <w:style w:type="character" w:styleId="PageNumber">
    <w:name w:val="page number"/>
    <w:basedOn w:val="DefaultParagraphFont"/>
    <w:rsid w:val="004D12F4"/>
  </w:style>
  <w:style w:type="paragraph" w:styleId="Quote">
    <w:name w:val="Quote"/>
    <w:basedOn w:val="Heading1"/>
    <w:link w:val="QuoteChar"/>
    <w:qFormat/>
    <w:rsid w:val="004D12F4"/>
    <w:rPr>
      <w:b w:val="0"/>
      <w:sz w:val="72"/>
      <w:szCs w:val="72"/>
      <w:lang w:val="en-NZ"/>
    </w:rPr>
  </w:style>
  <w:style w:type="character" w:customStyle="1" w:styleId="QuoteChar">
    <w:name w:val="Quote Char"/>
    <w:basedOn w:val="DefaultParagraphFont"/>
    <w:link w:val="Quote"/>
    <w:rsid w:val="004D1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2F4"/>
    <w:pPr>
      <w:pageBreakBefore/>
    </w:pPr>
  </w:style>
  <w:style w:type="paragraph" w:customStyle="1" w:styleId="Border">
    <w:name w:val="Border"/>
    <w:basedOn w:val="Normal"/>
    <w:qFormat/>
    <w:rsid w:val="004D1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2F4"/>
    <w:rPr>
      <w:b/>
      <w:bCs/>
      <w:i/>
      <w:iCs/>
      <w:color w:val="auto"/>
    </w:rPr>
  </w:style>
  <w:style w:type="paragraph" w:styleId="IntenseQuote">
    <w:name w:val="Intense Quote"/>
    <w:basedOn w:val="Normal"/>
    <w:next w:val="Normal"/>
    <w:link w:val="IntenseQuoteChar"/>
    <w:uiPriority w:val="30"/>
    <w:qFormat/>
    <w:rsid w:val="004D1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2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12F4"/>
    <w:rPr>
      <w:smallCaps/>
      <w:color w:val="auto"/>
      <w:u w:val="single"/>
    </w:rPr>
  </w:style>
  <w:style w:type="character" w:styleId="IntenseReference">
    <w:name w:val="Intense Reference"/>
    <w:basedOn w:val="DefaultParagraphFont"/>
    <w:uiPriority w:val="32"/>
    <w:qFormat/>
    <w:rsid w:val="004D12F4"/>
    <w:rPr>
      <w:b/>
      <w:bCs/>
      <w:smallCaps/>
      <w:color w:val="auto"/>
      <w:spacing w:val="5"/>
      <w:u w:val="single"/>
    </w:rPr>
  </w:style>
  <w:style w:type="paragraph" w:customStyle="1" w:styleId="2ColumnHeading">
    <w:name w:val="2Column Heading"/>
    <w:basedOn w:val="BodyText"/>
    <w:qFormat/>
    <w:rsid w:val="004D12F4"/>
    <w:pPr>
      <w:spacing w:after="60"/>
      <w:ind w:left="-2268"/>
    </w:pPr>
    <w:rPr>
      <w:b/>
    </w:rPr>
  </w:style>
  <w:style w:type="paragraph" w:customStyle="1" w:styleId="Heading1TOC">
    <w:name w:val="Heading1 TOC"/>
    <w:basedOn w:val="Normal"/>
    <w:qFormat/>
    <w:rsid w:val="004D12F4"/>
    <w:pPr>
      <w:spacing w:before="240" w:after="120"/>
    </w:pPr>
    <w:rPr>
      <w:rFonts w:ascii="Times New Roman" w:hAnsi="Times New Roman"/>
      <w:b/>
      <w:sz w:val="32"/>
    </w:rPr>
  </w:style>
  <w:style w:type="paragraph" w:customStyle="1" w:styleId="Heading2TOC">
    <w:name w:val="Heading2 TOC"/>
    <w:basedOn w:val="Normal"/>
    <w:qFormat/>
    <w:rsid w:val="004D12F4"/>
    <w:pPr>
      <w:spacing w:before="240" w:after="60"/>
    </w:pPr>
    <w:rPr>
      <w:rFonts w:ascii="Times New Roman" w:hAnsi="Times New Roman"/>
      <w:b/>
      <w:sz w:val="28"/>
    </w:rPr>
  </w:style>
  <w:style w:type="character" w:customStyle="1" w:styleId="Underline">
    <w:name w:val="Underline"/>
    <w:basedOn w:val="DefaultParagraphFont"/>
    <w:qFormat/>
    <w:rsid w:val="004D12F4"/>
    <w:rPr>
      <w:u w:val="single"/>
    </w:rPr>
  </w:style>
  <w:style w:type="character" w:customStyle="1" w:styleId="BoldandItalics">
    <w:name w:val="Bold and Italics"/>
    <w:qFormat/>
    <w:rsid w:val="004D12F4"/>
    <w:rPr>
      <w:b/>
      <w:i/>
      <w:u w:val="none"/>
    </w:rPr>
  </w:style>
  <w:style w:type="paragraph" w:styleId="BalloonText">
    <w:name w:val="Balloon Text"/>
    <w:basedOn w:val="Normal"/>
    <w:link w:val="BalloonTextChar"/>
    <w:rsid w:val="004D12F4"/>
    <w:rPr>
      <w:rFonts w:ascii="Tahoma" w:hAnsi="Tahoma" w:cs="Tahoma"/>
      <w:sz w:val="16"/>
      <w:szCs w:val="16"/>
    </w:rPr>
  </w:style>
  <w:style w:type="character" w:customStyle="1" w:styleId="BalloonTextChar">
    <w:name w:val="Balloon Text Char"/>
    <w:basedOn w:val="DefaultParagraphFont"/>
    <w:link w:val="BalloonText"/>
    <w:rsid w:val="004D12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12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2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2301</Words>
  <Characters>14529</Characters>
  <Application>Microsoft Office Word</Application>
  <DocSecurity>0</DocSecurity>
  <Lines>521</Lines>
  <Paragraphs>272</Paragraphs>
  <ScaleCrop>false</ScaleCrop>
  <Company>Author-it Software Corporation Ltd.</Company>
  <LinksUpToDate>false</LinksUpToDate>
  <CharactersWithSpaces>16798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HLTOHS601A Improve workplace OHS processes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2012-05-26T16:59:00Z</dcterms:created>
  <dcterms:modified xsi:type="dcterms:W3CDTF">2012-05-26T16:59:00Z</dcterms:modified>
</cp:coreProperties>
</file>