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10A5A" w:rsidP="00210A5A">
      <w:pPr>
        <w:pStyle w:val="Title"/>
      </w:pPr>
      <w:r>
        <w:fldChar w:fldCharType="begin"/>
      </w:r>
      <w:r>
        <w:instrText xml:space="preserve"> TITLE   \* MERGEFORMAT </w:instrText>
      </w:r>
      <w:r>
        <w:fldChar w:fldCharType="separate"/>
      </w:r>
      <w:r>
        <w:t>HLTMT514C Procure and store tissues</w:t>
      </w:r>
      <w:r>
        <w:fldChar w:fldCharType="end"/>
      </w:r>
    </w:p>
    <w:p w:rsidR="00210A5A" w:rsidP="00210A5A">
      <w:pPr>
        <w:pStyle w:val="Version"/>
        <w:sectPr w:rsidSect="00D11AA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1AA9" w:rsidP="00D11AA9">
      <w:pPr>
        <w:pStyle w:val="SuperHeading"/>
      </w:pPr>
      <w:r w:rsidRPr="00D11AA9">
        <w:t>HLTMT514C Procure and store tissues</w:t>
      </w:r>
    </w:p>
    <w:p w:rsidR="00000000" w:rsidRPr="00D11AA9" w:rsidP="00D11AA9">
      <w:pPr>
        <w:pStyle w:val="Heading1"/>
      </w:pPr>
      <w:bookmarkStart w:id="1" w:name="O_433791"/>
      <w:bookmarkEnd w:id="1"/>
      <w:r w:rsidRPr="00D11AA9">
        <w:t>Modification History</w:t>
      </w:r>
    </w:p>
    <w:tbl>
      <w:tblPr>
        <w:tblW w:w="0" w:type="auto"/>
        <w:tblCellMar>
          <w:left w:w="62" w:type="dxa"/>
          <w:right w:w="62" w:type="dxa"/>
        </w:tblCellMar>
        <w:tblLook w:val="0000"/>
      </w:tblPr>
      <w:tblGrid>
        <w:gridCol w:w="2335"/>
        <w:gridCol w:w="2853"/>
        <w:gridCol w:w="4008"/>
      </w:tblGrid>
      <w:tr w:rsidTr="00210A5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A9">
            <w:pPr>
              <w:pStyle w:val="BodyText"/>
              <w:rPr>
                <w:lang w:val="en-NZ"/>
              </w:rPr>
            </w:pPr>
            <w:r w:rsidRPr="00D11AA9">
              <w:t>HLTMT514B Procure and store tissues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1AA9">
            <w:pPr>
              <w:pStyle w:val="BodyText"/>
              <w:rPr>
                <w:lang w:val="en-NZ"/>
              </w:rPr>
            </w:pPr>
            <w:r w:rsidRPr="00D11AA9">
              <w:t>HLTMT514C Procure and store tissues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1AA9" w:rsidP="00D11AA9">
            <w:pPr>
              <w:pStyle w:val="BodyText"/>
            </w:pPr>
            <w:r w:rsidRPr="00D11AA9">
              <w:t>ISC upgrade changes to remove references to old OHS legislation and replace with references to</w:t>
            </w:r>
            <w:r w:rsidRPr="00D11AA9">
              <w:t xml:space="preserve"> new WHS legislation. No change to competency outcome.</w:t>
            </w:r>
          </w:p>
        </w:tc>
      </w:tr>
    </w:tbl>
    <w:p w:rsidR="00000000" w:rsidRPr="00D11AA9" w:rsidP="00D11AA9">
      <w:pPr>
        <w:pStyle w:val="BodyText"/>
      </w:pPr>
    </w:p>
    <w:p w:rsidR="00000000" w:rsidRPr="00D11AA9" w:rsidP="00D11AA9">
      <w:pPr>
        <w:pStyle w:val="AllowPageBreak"/>
      </w:pPr>
    </w:p>
    <w:p w:rsidR="00000000" w:rsidRPr="00D11AA9" w:rsidP="00D11AA9">
      <w:pPr>
        <w:pStyle w:val="Heading1"/>
      </w:pPr>
      <w:bookmarkStart w:id="2" w:name="O_433789"/>
      <w:bookmarkEnd w:id="2"/>
      <w:r w:rsidRPr="00D11AA9">
        <w:t>Unit Descriptor</w:t>
      </w:r>
    </w:p>
    <w:tbl>
      <w:tblPr>
        <w:tblW w:w="0" w:type="auto"/>
        <w:tblLayout w:type="fixed"/>
        <w:tblCellMar>
          <w:left w:w="62" w:type="dxa"/>
          <w:right w:w="62" w:type="dxa"/>
        </w:tblCellMar>
        <w:tblLook w:val="0000"/>
      </w:tblPr>
      <w:tblGrid>
        <w:gridCol w:w="3339"/>
        <w:gridCol w:w="5217"/>
      </w:tblGrid>
      <w:tr w:rsidTr="00210A5A">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t xml:space="preserve">This unit of competency describes the skills and knowledge required for a mortuary theatre technician to prepare for and assist with the procurement </w:t>
            </w:r>
            <w:r w:rsidRPr="00D11AA9">
              <w:t>and storage of tissues</w:t>
            </w:r>
          </w:p>
          <w:p w:rsidR="00000000" w:rsidRPr="00D11AA9" w:rsidP="00D11AA9">
            <w:pPr>
              <w:pStyle w:val="BodyText"/>
            </w:pPr>
            <w:r w:rsidRPr="00D11AA9">
              <w:t>It includes the removal, handling and storage of tissues for diagnostic and tissue bank purposes</w:t>
            </w:r>
          </w:p>
        </w:tc>
      </w:tr>
    </w:tbl>
    <w:p w:rsidR="00210A5A" w:rsidP="00D11AA9">
      <w:pPr>
        <w:pStyle w:val="BodyText"/>
      </w:pPr>
    </w:p>
    <w:p w:rsidR="00210A5A" w:rsidP="00D11AA9">
      <w:pPr>
        <w:pStyle w:val="BodyText"/>
      </w:pPr>
    </w:p>
    <w:p w:rsidR="00000000" w:rsidRPr="00D11AA9" w:rsidP="00D11AA9">
      <w:pPr>
        <w:pStyle w:val="Heading1"/>
      </w:pPr>
      <w:bookmarkStart w:id="3" w:name="O_433779"/>
      <w:bookmarkEnd w:id="3"/>
      <w:r w:rsidRPr="00D11AA9">
        <w:t>Application of the Unit</w:t>
      </w:r>
    </w:p>
    <w:tbl>
      <w:tblPr>
        <w:tblW w:w="0" w:type="auto"/>
        <w:tblLayout w:type="fixed"/>
        <w:tblCellMar>
          <w:left w:w="62" w:type="dxa"/>
          <w:right w:w="62" w:type="dxa"/>
        </w:tblCellMar>
        <w:tblLook w:val="0000"/>
      </w:tblPr>
      <w:tblGrid>
        <w:gridCol w:w="3341"/>
        <w:gridCol w:w="5215"/>
      </w:tblGrid>
      <w:tr w:rsidTr="00210A5A">
        <w:tblPrEx>
          <w:tblW w:w="0" w:type="auto"/>
          <w:tblLayout w:type="fixed"/>
          <w:tblCellMar>
            <w:left w:w="62" w:type="dxa"/>
            <w:right w:w="62" w:type="dxa"/>
          </w:tblCellMar>
          <w:tblLook w:val="0000"/>
        </w:tblPrEx>
        <w:tc>
          <w:tcPr>
            <w:tcW w:w="3341"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SpecialBold"/>
              </w:rPr>
              <w:t>Application</w:t>
            </w:r>
          </w:p>
        </w:tc>
        <w:tc>
          <w:tcPr>
            <w:tcW w:w="5215"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t>Work performed requires a broad knowledge base and the ability to apply solution</w:t>
            </w:r>
            <w:r w:rsidRPr="00D11AA9">
              <w:t>s to a defined range of unpredictable problems</w:t>
            </w:r>
          </w:p>
          <w:p w:rsidR="00000000" w:rsidRPr="00D11AA9" w:rsidP="00D11AA9">
            <w:pPr>
              <w:pStyle w:val="BodyText"/>
            </w:pPr>
            <w:r w:rsidRPr="00D11AA9">
              <w:t>Individuals will take responsibility for their own outputs and limited responsibility for the quantity and quality of output of others</w:t>
            </w:r>
          </w:p>
          <w:p w:rsidR="00000000" w:rsidRPr="00D11AA9" w:rsidP="00D11AA9">
            <w:pPr>
              <w:pStyle w:val="BodyText"/>
            </w:pPr>
            <w:r w:rsidRPr="00D11AA9">
              <w:t>All tasks are conducted in accordance with organisation policies and proce</w:t>
            </w:r>
            <w:r w:rsidRPr="00D11AA9">
              <w:t>dures including work health and safety (WHS) and infection control guidelines</w:t>
            </w:r>
          </w:p>
        </w:tc>
      </w:tr>
    </w:tbl>
    <w:p w:rsidR="00210A5A" w:rsidP="00D11AA9">
      <w:pPr>
        <w:pStyle w:val="BodyText"/>
      </w:pPr>
    </w:p>
    <w:p w:rsidR="00210A5A" w:rsidP="00D11AA9">
      <w:pPr>
        <w:pStyle w:val="BodyText"/>
      </w:pPr>
    </w:p>
    <w:p w:rsidR="00000000" w:rsidRPr="00D11AA9" w:rsidP="00D11AA9">
      <w:pPr>
        <w:pStyle w:val="Heading1"/>
      </w:pPr>
      <w:bookmarkStart w:id="4" w:name="O_433785"/>
      <w:bookmarkEnd w:id="4"/>
      <w:r w:rsidRPr="00D11AA9">
        <w:t>Licensing/Regulatory Information</w:t>
      </w:r>
    </w:p>
    <w:p w:rsidR="00000000" w:rsidRPr="00D11AA9" w:rsidP="00D11AA9">
      <w:pPr>
        <w:pStyle w:val="BodyText"/>
      </w:pPr>
      <w:r w:rsidRPr="00D11AA9">
        <w:t>Not Applicable</w:t>
      </w:r>
    </w:p>
    <w:p w:rsidR="00000000" w:rsidRPr="00D11AA9" w:rsidP="00D11AA9">
      <w:pPr>
        <w:pStyle w:val="AllowPageBreak"/>
      </w:pPr>
    </w:p>
    <w:p w:rsidR="00000000" w:rsidRPr="00D11AA9" w:rsidP="00D11AA9">
      <w:pPr>
        <w:pStyle w:val="Heading1"/>
      </w:pPr>
      <w:bookmarkStart w:id="5" w:name="O_433786"/>
      <w:bookmarkEnd w:id="5"/>
      <w:r w:rsidRPr="00D11AA9">
        <w:t>Pre-Requisites</w:t>
      </w:r>
    </w:p>
    <w:p w:rsidR="00000000" w:rsidRPr="00D11AA9" w:rsidP="00D11AA9">
      <w:pPr>
        <w:pStyle w:val="BodyText"/>
      </w:pPr>
      <w:r w:rsidRPr="00D11AA9">
        <w:t>Not Applicable</w:t>
      </w:r>
    </w:p>
    <w:p w:rsidR="00000000" w:rsidRPr="00D11AA9" w:rsidP="00D11AA9">
      <w:pPr>
        <w:pStyle w:val="AllowPageBreak"/>
      </w:pPr>
    </w:p>
    <w:p w:rsidR="00000000" w:rsidRPr="00D11AA9" w:rsidP="00D11AA9">
      <w:pPr>
        <w:pStyle w:val="Heading1"/>
      </w:pPr>
      <w:bookmarkStart w:id="6" w:name="O_433782"/>
      <w:bookmarkEnd w:id="6"/>
      <w:r w:rsidRPr="00D11AA9">
        <w:t>Employability Skills Information</w:t>
      </w:r>
    </w:p>
    <w:tbl>
      <w:tblPr>
        <w:tblW w:w="0" w:type="auto"/>
        <w:tblLayout w:type="fixed"/>
        <w:tblCellMar>
          <w:left w:w="62" w:type="dxa"/>
          <w:right w:w="62" w:type="dxa"/>
        </w:tblCellMar>
        <w:tblLook w:val="0000"/>
      </w:tblPr>
      <w:tblGrid>
        <w:gridCol w:w="3320"/>
        <w:gridCol w:w="5236"/>
      </w:tblGrid>
      <w:tr w:rsidTr="00210A5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t>This unit contains Employability Skills</w:t>
            </w:r>
          </w:p>
        </w:tc>
      </w:tr>
    </w:tbl>
    <w:p w:rsidR="00210A5A" w:rsidP="00D11AA9">
      <w:pPr>
        <w:pStyle w:val="BodyText"/>
      </w:pPr>
    </w:p>
    <w:p w:rsidR="00210A5A" w:rsidP="00D11AA9">
      <w:pPr>
        <w:pStyle w:val="BodyText"/>
      </w:pPr>
    </w:p>
    <w:p w:rsidR="00000000" w:rsidRPr="00D11AA9" w:rsidP="00D11AA9">
      <w:pPr>
        <w:pStyle w:val="Heading1"/>
      </w:pPr>
      <w:bookmarkStart w:id="7" w:name="O_433781"/>
      <w:bookmarkEnd w:id="7"/>
      <w:r w:rsidRPr="00D11AA9">
        <w:t>Elements and Performance Criteria Pre-Content</w:t>
      </w:r>
    </w:p>
    <w:tbl>
      <w:tblPr>
        <w:tblW w:w="0" w:type="auto"/>
        <w:tblLayout w:type="fixed"/>
        <w:tblCellMar>
          <w:left w:w="62" w:type="dxa"/>
          <w:right w:w="62" w:type="dxa"/>
        </w:tblCellMar>
        <w:tblLook w:val="0000"/>
      </w:tblPr>
      <w:tblGrid>
        <w:gridCol w:w="3369"/>
        <w:gridCol w:w="5702"/>
      </w:tblGrid>
      <w:tr w:rsidTr="0021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t xml:space="preserve">The Performance Criteria specify </w:t>
            </w:r>
            <w:r w:rsidRPr="00D11AA9">
              <w:t xml:space="preserve">the level of performance required to demonstrate achievement of the Element. Terms in italics are elaborated in the Range Statement. </w:t>
            </w:r>
          </w:p>
        </w:tc>
      </w:tr>
    </w:tbl>
    <w:p w:rsidR="00000000" w:rsidRPr="00D11AA9" w:rsidP="00D11AA9">
      <w:pPr>
        <w:pStyle w:val="BodyText"/>
      </w:pPr>
    </w:p>
    <w:p w:rsidR="00000000" w:rsidRPr="00D11AA9" w:rsidP="00D11AA9">
      <w:pPr>
        <w:pStyle w:val="AllowPageBreak"/>
      </w:pPr>
    </w:p>
    <w:p w:rsidR="00000000" w:rsidRPr="00D11AA9" w:rsidP="00D11AA9">
      <w:pPr>
        <w:pStyle w:val="Heading1"/>
      </w:pPr>
      <w:bookmarkStart w:id="8" w:name="O_433780"/>
      <w:bookmarkEnd w:id="8"/>
      <w:r w:rsidRPr="00D11AA9">
        <w:t>Elements and Performance Criteria</w:t>
      </w:r>
    </w:p>
    <w:tbl>
      <w:tblPr>
        <w:tblW w:w="0" w:type="auto"/>
        <w:tblLayout w:type="fixed"/>
        <w:tblCellMar>
          <w:left w:w="62" w:type="dxa"/>
          <w:right w:w="62" w:type="dxa"/>
        </w:tblCellMar>
        <w:tblLook w:val="0000"/>
      </w:tblPr>
      <w:tblGrid>
        <w:gridCol w:w="3369"/>
        <w:gridCol w:w="5702"/>
      </w:tblGrid>
      <w:tr w:rsidTr="00210A5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SpecialBold"/>
              </w:rPr>
              <w:t>PERFORMANCE CRITERIA</w:t>
            </w:r>
          </w:p>
        </w:tc>
      </w:tr>
      <w:tr w:rsidTr="0021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1AA9">
            <w:pPr>
              <w:pStyle w:val="List"/>
              <w:rPr>
                <w:lang w:val="en-NZ"/>
              </w:rPr>
            </w:pPr>
            <w:r w:rsidRPr="00D11AA9">
              <w:t>1.</w:t>
            </w:r>
            <w:r w:rsidRPr="00D11AA9">
              <w:tab/>
              <w:t>Ensure suitability of donor</w:t>
            </w:r>
          </w:p>
        </w:tc>
        <w:tc>
          <w:tcPr>
            <w:tcW w:w="5702"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t>1.1</w:t>
            </w:r>
            <w:r w:rsidRPr="00D11AA9">
              <w:tab/>
            </w:r>
            <w:r w:rsidRPr="00D11AA9">
              <w:t xml:space="preserve">Check </w:t>
            </w:r>
            <w:r w:rsidRPr="00D11AA9">
              <w:rPr>
                <w:rStyle w:val="Emphasis"/>
              </w:rPr>
              <w:t>consent for tissue removal</w:t>
            </w:r>
          </w:p>
          <w:p w:rsidR="00000000" w:rsidRPr="00D11AA9" w:rsidP="00D11AA9">
            <w:pPr>
              <w:pStyle w:val="BodyText"/>
            </w:pPr>
            <w:r w:rsidRPr="00D11AA9">
              <w:t>1.2</w:t>
            </w:r>
            <w:r w:rsidRPr="00D11AA9">
              <w:tab/>
              <w:t xml:space="preserve">Confirm details of tissue removal </w:t>
            </w:r>
          </w:p>
          <w:p w:rsidR="00000000" w:rsidRPr="00D11AA9" w:rsidP="00D11AA9">
            <w:pPr>
              <w:pStyle w:val="BodyText"/>
            </w:pPr>
            <w:r w:rsidRPr="00D11AA9">
              <w:t>1.3</w:t>
            </w:r>
            <w:r w:rsidRPr="00D11AA9">
              <w:tab/>
              <w:t xml:space="preserve">Use </w:t>
            </w:r>
            <w:r w:rsidRPr="00D11AA9">
              <w:rPr>
                <w:rStyle w:val="Emphasis"/>
              </w:rPr>
              <w:t>personal protective equipment</w:t>
            </w:r>
            <w:r w:rsidRPr="00D11AA9">
              <w:t xml:space="preserve"> correctly</w:t>
            </w:r>
          </w:p>
          <w:p w:rsidR="00000000" w:rsidRPr="00D11AA9" w:rsidP="00D11AA9">
            <w:pPr>
              <w:pStyle w:val="BodyText"/>
            </w:pPr>
            <w:r w:rsidRPr="00D11AA9">
              <w:t>1.4</w:t>
            </w:r>
            <w:r w:rsidRPr="00D11AA9">
              <w:tab/>
              <w:t>Ensure aseptic techniques are followed</w:t>
            </w:r>
          </w:p>
          <w:p w:rsidR="00000000" w:rsidRPr="00D11AA9" w:rsidP="00D11AA9">
            <w:pPr>
              <w:pStyle w:val="BodyText"/>
            </w:pPr>
            <w:r w:rsidRPr="00D11AA9">
              <w:t>1.5</w:t>
            </w:r>
            <w:r w:rsidRPr="00D11AA9">
              <w:tab/>
              <w:t xml:space="preserve">Undertake </w:t>
            </w:r>
            <w:r w:rsidRPr="00D11AA9">
              <w:rPr>
                <w:rStyle w:val="Emphasis"/>
              </w:rPr>
              <w:t>external examination</w:t>
            </w:r>
            <w:r w:rsidRPr="00D11AA9">
              <w:t xml:space="preserve"> of body in order to confirm identify and suitability of do</w:t>
            </w:r>
            <w:r w:rsidRPr="00D11AA9">
              <w:t xml:space="preserve">nor </w:t>
            </w:r>
          </w:p>
          <w:p w:rsidR="00000000" w:rsidRPr="00D11AA9" w:rsidP="00D11AA9">
            <w:pPr>
              <w:pStyle w:val="BodyText"/>
            </w:pPr>
            <w:r w:rsidRPr="00D11AA9">
              <w:t>1.6</w:t>
            </w:r>
            <w:r w:rsidRPr="00D11AA9">
              <w:tab/>
              <w:t xml:space="preserve">Undertake </w:t>
            </w:r>
            <w:r w:rsidRPr="00D11AA9">
              <w:rPr>
                <w:rStyle w:val="Emphasis"/>
              </w:rPr>
              <w:t>tests</w:t>
            </w:r>
            <w:r w:rsidRPr="00D11AA9">
              <w:t xml:space="preserve"> to ensure suitability of donor</w:t>
            </w:r>
          </w:p>
          <w:p w:rsidR="00000000" w:rsidP="00D11AA9">
            <w:pPr>
              <w:pStyle w:val="BodyText"/>
              <w:rPr>
                <w:lang w:val="en-NZ"/>
              </w:rPr>
            </w:pPr>
            <w:r w:rsidRPr="00D11AA9">
              <w:t>1.7</w:t>
            </w:r>
            <w:r w:rsidRPr="00D11AA9">
              <w:tab/>
              <w:t>Assess medical and social history to ensure suitability of donor</w:t>
            </w:r>
          </w:p>
        </w:tc>
      </w:tr>
      <w:tr w:rsidTr="0021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1AA9">
            <w:pPr>
              <w:pStyle w:val="List"/>
              <w:rPr>
                <w:lang w:val="en-NZ"/>
              </w:rPr>
            </w:pPr>
            <w:r w:rsidRPr="00D11AA9">
              <w:t>2.</w:t>
            </w:r>
            <w:r w:rsidRPr="00D11AA9">
              <w:tab/>
              <w:t>Prepare for retrieval</w:t>
            </w:r>
          </w:p>
        </w:tc>
        <w:tc>
          <w:tcPr>
            <w:tcW w:w="5702"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t>2.1</w:t>
            </w:r>
            <w:r w:rsidRPr="00D11AA9">
              <w:tab/>
              <w:t xml:space="preserve">Notify </w:t>
            </w:r>
            <w:r w:rsidRPr="00D11AA9">
              <w:rPr>
                <w:rStyle w:val="Emphasis"/>
              </w:rPr>
              <w:t>retrieval team</w:t>
            </w:r>
          </w:p>
          <w:p w:rsidR="00000000" w:rsidRPr="00D11AA9" w:rsidP="00D11AA9">
            <w:pPr>
              <w:pStyle w:val="BodyText"/>
            </w:pPr>
            <w:r w:rsidRPr="00D11AA9">
              <w:t>2.2</w:t>
            </w:r>
            <w:r w:rsidRPr="00D11AA9">
              <w:tab/>
              <w:t>Liaise with medical officer as appropriate</w:t>
            </w:r>
          </w:p>
          <w:p w:rsidR="00000000" w:rsidP="00D11AA9">
            <w:pPr>
              <w:pStyle w:val="BodyText"/>
              <w:rPr>
                <w:lang w:val="en-NZ"/>
              </w:rPr>
            </w:pPr>
            <w:r w:rsidRPr="00D11AA9">
              <w:t>2.3</w:t>
            </w:r>
            <w:r w:rsidRPr="00D11AA9">
              <w:tab/>
              <w:t xml:space="preserve">Obtain and prepare </w:t>
            </w:r>
            <w:r w:rsidRPr="00D11AA9">
              <w:rPr>
                <w:rStyle w:val="Emphasis"/>
              </w:rPr>
              <w:t>relevant equipment and consumable items</w:t>
            </w:r>
            <w:r w:rsidRPr="00D11AA9">
              <w:t xml:space="preserve"> </w:t>
            </w:r>
          </w:p>
        </w:tc>
      </w:tr>
      <w:tr w:rsidTr="0021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t>3</w:t>
            </w:r>
            <w:r w:rsidRPr="00D11AA9">
              <w:tab/>
              <w:t xml:space="preserve">Retrieve tissue </w:t>
            </w:r>
          </w:p>
        </w:tc>
        <w:tc>
          <w:tcPr>
            <w:tcW w:w="5702"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t>3.1</w:t>
            </w:r>
            <w:r w:rsidRPr="00D11AA9">
              <w:tab/>
              <w:t>Eviscerate body following medical officer's instructions and in line with consent and legislative requirements</w:t>
            </w:r>
          </w:p>
          <w:p w:rsidR="00000000" w:rsidRPr="00D11AA9" w:rsidP="00D11AA9">
            <w:pPr>
              <w:pStyle w:val="BodyText"/>
            </w:pPr>
            <w:r w:rsidRPr="00D11AA9">
              <w:t>3.2</w:t>
            </w:r>
            <w:r w:rsidRPr="00D11AA9">
              <w:tab/>
              <w:t xml:space="preserve">Follow aseptic techniques </w:t>
            </w:r>
          </w:p>
          <w:p w:rsidR="00000000" w:rsidRPr="00D11AA9" w:rsidP="00D11AA9">
            <w:pPr>
              <w:pStyle w:val="BodyText"/>
            </w:pPr>
            <w:r w:rsidRPr="00D11AA9">
              <w:t>3.3</w:t>
            </w:r>
            <w:r w:rsidRPr="00D11AA9">
              <w:tab/>
              <w:t xml:space="preserve">Obtain </w:t>
            </w:r>
            <w:r w:rsidRPr="00D11AA9">
              <w:rPr>
                <w:rStyle w:val="Emphasis"/>
              </w:rPr>
              <w:t>specialist tissues</w:t>
            </w:r>
            <w:r w:rsidRPr="00D11AA9">
              <w:t xml:space="preserve"> for testing eg b</w:t>
            </w:r>
            <w:r w:rsidRPr="00D11AA9">
              <w:t>rain for CJD</w:t>
            </w:r>
          </w:p>
          <w:p w:rsidR="00000000" w:rsidRPr="00D11AA9" w:rsidP="00D11AA9">
            <w:pPr>
              <w:pStyle w:val="BodyText"/>
            </w:pPr>
            <w:r w:rsidRPr="00D11AA9">
              <w:t>3.4</w:t>
            </w:r>
            <w:r w:rsidRPr="00D11AA9">
              <w:tab/>
            </w:r>
            <w:r w:rsidRPr="00D11AA9">
              <w:rPr>
                <w:rStyle w:val="Emphasis"/>
              </w:rPr>
              <w:t>Reconstruct</w:t>
            </w:r>
            <w:r w:rsidRPr="00D11AA9">
              <w:t xml:space="preserve">, </w:t>
            </w:r>
            <w:r w:rsidRPr="00D11AA9">
              <w:rPr>
                <w:rStyle w:val="Emphasis"/>
              </w:rPr>
              <w:t>clean and restore body</w:t>
            </w:r>
            <w:r w:rsidRPr="00D11AA9">
              <w:t xml:space="preserve"> to acceptable condition for viewing </w:t>
            </w:r>
          </w:p>
          <w:p w:rsidR="00000000" w:rsidP="00D11AA9">
            <w:pPr>
              <w:pStyle w:val="BodyText"/>
              <w:rPr>
                <w:lang w:val="en-NZ"/>
              </w:rPr>
            </w:pPr>
            <w:r w:rsidRPr="00D11AA9">
              <w:t>3.5</w:t>
            </w:r>
            <w:r w:rsidRPr="00D11AA9">
              <w:tab/>
              <w:t>Prepare body for storage and return for refrigeration storage</w:t>
            </w:r>
          </w:p>
        </w:tc>
      </w:tr>
      <w:tr w:rsidTr="0021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1AA9">
            <w:pPr>
              <w:pStyle w:val="List"/>
              <w:rPr>
                <w:lang w:val="en-NZ"/>
              </w:rPr>
            </w:pPr>
            <w:r w:rsidRPr="00D11AA9">
              <w:t>4</w:t>
            </w:r>
            <w:r w:rsidRPr="00D11AA9">
              <w:tab/>
              <w:t>Package and store tissue</w:t>
            </w:r>
          </w:p>
        </w:tc>
        <w:tc>
          <w:tcPr>
            <w:tcW w:w="5702"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t>4.1</w:t>
            </w:r>
            <w:r w:rsidRPr="00D11AA9">
              <w:tab/>
              <w:t>Collect samples for micro contamination testing of tissues</w:t>
            </w:r>
          </w:p>
          <w:p w:rsidR="00000000" w:rsidRPr="00D11AA9" w:rsidP="00D11AA9">
            <w:pPr>
              <w:pStyle w:val="BodyText"/>
            </w:pPr>
            <w:r w:rsidRPr="00D11AA9">
              <w:t>4.2</w:t>
            </w:r>
            <w:r w:rsidRPr="00D11AA9">
              <w:tab/>
              <w:t>Pa</w:t>
            </w:r>
            <w:r w:rsidRPr="00D11AA9">
              <w:t xml:space="preserve">ck tissue on collection </w:t>
            </w:r>
          </w:p>
          <w:p w:rsidR="00000000" w:rsidP="00D11AA9">
            <w:pPr>
              <w:pStyle w:val="BodyText"/>
              <w:rPr>
                <w:lang w:val="en-NZ"/>
              </w:rPr>
            </w:pPr>
            <w:r w:rsidRPr="00D11AA9">
              <w:t>4.3</w:t>
            </w:r>
            <w:r w:rsidRPr="00D11AA9">
              <w:tab/>
              <w:t xml:space="preserve">Store tissue as per the </w:t>
            </w:r>
            <w:r w:rsidRPr="00D11AA9">
              <w:rPr>
                <w:rStyle w:val="Emphasis"/>
              </w:rPr>
              <w:t>relevant standards</w:t>
            </w:r>
          </w:p>
        </w:tc>
      </w:tr>
      <w:tr w:rsidTr="0021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D11AA9">
            <w:pPr>
              <w:pStyle w:val="List"/>
              <w:rPr>
                <w:lang w:val="en-NZ"/>
              </w:rPr>
            </w:pPr>
            <w:r w:rsidRPr="00D11AA9">
              <w:t>5.</w:t>
            </w:r>
            <w:r w:rsidRPr="00D11AA9">
              <w:tab/>
              <w:t>Clean autopsy room</w:t>
            </w:r>
          </w:p>
        </w:tc>
        <w:tc>
          <w:tcPr>
            <w:tcW w:w="5702"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t>5.1</w:t>
            </w:r>
            <w:r w:rsidRPr="00D11AA9">
              <w:tab/>
              <w:t>Clean equipment and store safely</w:t>
            </w:r>
          </w:p>
          <w:p w:rsidR="00000000" w:rsidRPr="00D11AA9" w:rsidP="00D11AA9">
            <w:pPr>
              <w:pStyle w:val="BodyText"/>
            </w:pPr>
            <w:r w:rsidRPr="00D11AA9">
              <w:t>5.2</w:t>
            </w:r>
            <w:r w:rsidRPr="00D11AA9">
              <w:tab/>
              <w:t>Sterilise equipment as required</w:t>
            </w:r>
          </w:p>
          <w:p w:rsidR="00000000" w:rsidRPr="00D11AA9" w:rsidP="00D11AA9">
            <w:pPr>
              <w:pStyle w:val="BodyText"/>
            </w:pPr>
            <w:r w:rsidRPr="00D11AA9">
              <w:t>5.3</w:t>
            </w:r>
            <w:r w:rsidRPr="00D11AA9">
              <w:tab/>
              <w:t xml:space="preserve">Clean work area according to </w:t>
            </w:r>
            <w:r w:rsidRPr="00D11AA9">
              <w:rPr>
                <w:rStyle w:val="Emphasis"/>
              </w:rPr>
              <w:t>infection control policy and</w:t>
            </w:r>
            <w:r w:rsidRPr="00D11AA9">
              <w:t xml:space="preserve"> procedures </w:t>
            </w:r>
          </w:p>
          <w:p w:rsidR="00000000" w:rsidRPr="00D11AA9" w:rsidP="00D11AA9">
            <w:pPr>
              <w:pStyle w:val="BodyText"/>
            </w:pPr>
            <w:r w:rsidRPr="00D11AA9">
              <w:t>5.4</w:t>
            </w:r>
            <w:r w:rsidRPr="00D11AA9">
              <w:tab/>
            </w:r>
            <w:r w:rsidRPr="00D11AA9">
              <w:t xml:space="preserve">Dispose of </w:t>
            </w:r>
            <w:r w:rsidRPr="00D11AA9">
              <w:rPr>
                <w:rStyle w:val="Emphasis"/>
              </w:rPr>
              <w:t>waste</w:t>
            </w:r>
            <w:r w:rsidRPr="00D11AA9">
              <w:t xml:space="preserve"> safely and in accordance with organisation policy and procedures</w:t>
            </w:r>
          </w:p>
        </w:tc>
      </w:tr>
    </w:tbl>
    <w:p w:rsidR="00210A5A" w:rsidP="00D11AA9">
      <w:pPr>
        <w:pStyle w:val="BodyText"/>
      </w:pPr>
    </w:p>
    <w:p w:rsidR="00210A5A" w:rsidP="00D11AA9">
      <w:pPr>
        <w:pStyle w:val="BodyText"/>
      </w:pPr>
    </w:p>
    <w:p w:rsidR="00000000" w:rsidRPr="00D11AA9" w:rsidP="00D11AA9">
      <w:pPr>
        <w:pStyle w:val="Heading1"/>
      </w:pPr>
      <w:bookmarkStart w:id="9" w:name="O_433788"/>
      <w:bookmarkEnd w:id="9"/>
      <w:r w:rsidRPr="00D11AA9">
        <w:t>Required Skills and Knowledge</w:t>
      </w:r>
    </w:p>
    <w:tbl>
      <w:tblPr>
        <w:tblW w:w="0" w:type="auto"/>
        <w:tblLayout w:type="fixed"/>
        <w:tblCellMar>
          <w:left w:w="62" w:type="dxa"/>
          <w:right w:w="62" w:type="dxa"/>
        </w:tblCellMar>
        <w:tblLook w:val="0000"/>
      </w:tblPr>
      <w:tblGrid>
        <w:gridCol w:w="9072"/>
      </w:tblGrid>
      <w:tr w:rsidTr="00210A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t>This describes the essential skills and knowledge and their level required for this unit.</w:t>
            </w:r>
          </w:p>
        </w:tc>
      </w:tr>
      <w:tr w:rsidTr="00210A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rPr>
                <w:rStyle w:val="Emphasis"/>
              </w:rPr>
              <w:t>Essential knowledge</w:t>
            </w:r>
            <w:r w:rsidRPr="00D11AA9">
              <w:t>:</w:t>
            </w:r>
          </w:p>
          <w:p w:rsidR="00000000" w:rsidRPr="00D11AA9" w:rsidP="00D11AA9">
            <w:pPr>
              <w:pStyle w:val="BodyText"/>
            </w:pPr>
            <w:r w:rsidRPr="00D11AA9">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D11AA9" w:rsidP="00D11AA9">
            <w:pPr>
              <w:pStyle w:val="BodyText"/>
            </w:pPr>
            <w:r w:rsidRPr="00D11AA9">
              <w:t xml:space="preserve">This includes </w:t>
            </w:r>
            <w:r w:rsidRPr="00D11AA9">
              <w:t>knowledge of:</w:t>
            </w:r>
          </w:p>
          <w:p w:rsidR="00000000" w:rsidRPr="00D11AA9" w:rsidP="00D11AA9">
            <w:pPr>
              <w:pStyle w:val="ListBullet"/>
            </w:pPr>
            <w:r w:rsidRPr="00D11AA9">
              <w:t>Anatomy, physiology and pathology relevant to the role of the Mortuary Technician undertaking special autopsy techniques</w:t>
            </w:r>
          </w:p>
          <w:p w:rsidR="00000000" w:rsidRPr="00D11AA9" w:rsidP="00D11AA9">
            <w:pPr>
              <w:pStyle w:val="ListBullet"/>
            </w:pPr>
            <w:r w:rsidRPr="00D11AA9">
              <w:t>Cleaning techniques</w:t>
            </w:r>
          </w:p>
          <w:p w:rsidR="00000000" w:rsidRPr="00D11AA9" w:rsidP="00D11AA9">
            <w:pPr>
              <w:pStyle w:val="ListBullet"/>
            </w:pPr>
            <w:r w:rsidRPr="00D11AA9">
              <w:t>Common infection and other risks associated with autopsy procedures</w:t>
            </w:r>
          </w:p>
          <w:p w:rsidR="00000000" w:rsidRPr="00D11AA9" w:rsidP="00D11AA9">
            <w:pPr>
              <w:pStyle w:val="ListBullet"/>
            </w:pPr>
            <w:r w:rsidRPr="00D11AA9">
              <w:t>Modes of infectious disease tran</w:t>
            </w:r>
            <w:r w:rsidRPr="00D11AA9">
              <w:t>smission</w:t>
            </w:r>
          </w:p>
          <w:p w:rsidR="00000000" w:rsidRPr="00D11AA9" w:rsidP="00D11AA9">
            <w:pPr>
              <w:pStyle w:val="ListBullet"/>
            </w:pPr>
            <w:r w:rsidRPr="00D11AA9">
              <w:t>Principles of photography</w:t>
            </w:r>
          </w:p>
          <w:p w:rsidR="00000000" w:rsidRPr="00D11AA9" w:rsidP="00D11AA9">
            <w:pPr>
              <w:pStyle w:val="ListBullet"/>
            </w:pPr>
            <w:r w:rsidRPr="00D11AA9">
              <w:t>Relevant basic medical terminology</w:t>
            </w:r>
          </w:p>
          <w:p w:rsidR="00000000" w:rsidRPr="00D11AA9" w:rsidP="00D11AA9">
            <w:pPr>
              <w:pStyle w:val="ListBullet"/>
            </w:pPr>
            <w:r w:rsidRPr="00D11AA9">
              <w:t>Relevant organisation policies and procedures</w:t>
            </w:r>
          </w:p>
          <w:p w:rsidR="00000000" w:rsidP="00D11AA9">
            <w:pPr>
              <w:pStyle w:val="ListBullet"/>
              <w:rPr>
                <w:lang w:val="en-NZ"/>
              </w:rPr>
            </w:pPr>
            <w:r w:rsidRPr="00D11AA9">
              <w:t>WHS in a mortuary</w:t>
            </w:r>
          </w:p>
        </w:tc>
      </w:tr>
      <w:tr w:rsidTr="00210A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rPr>
                <w:rStyle w:val="Emphasis"/>
              </w:rPr>
              <w:t>Essential skills</w:t>
            </w:r>
            <w:r w:rsidRPr="00D11AA9">
              <w:t>:</w:t>
            </w:r>
          </w:p>
          <w:p w:rsidR="00000000" w:rsidRPr="00D11AA9" w:rsidP="00D11AA9">
            <w:pPr>
              <w:pStyle w:val="BodyText"/>
            </w:pPr>
            <w:r w:rsidRPr="00D11AA9">
              <w:t>It</w:t>
            </w:r>
            <w:r w:rsidRPr="00D11AA9">
              <w:t xml:space="preserve"> is critical that the candidate demonstrate the ability to effectively do the task outlined in elements and performance criteria of this unit, manage the task and manage contingencies in the context of the identified work role</w:t>
            </w:r>
          </w:p>
          <w:p w:rsidR="00000000" w:rsidRPr="00D11AA9" w:rsidP="00D11AA9">
            <w:pPr>
              <w:pStyle w:val="BodyText"/>
            </w:pPr>
            <w:r w:rsidRPr="00D11AA9">
              <w:t>This includes the ability to:</w:t>
            </w:r>
          </w:p>
          <w:p w:rsidR="00000000" w:rsidRPr="00D11AA9" w:rsidP="00D11AA9">
            <w:pPr>
              <w:pStyle w:val="ListBullet"/>
            </w:pPr>
            <w:r w:rsidRPr="00D11AA9">
              <w:t>Correctly and safely dispose of clinical and other wastes</w:t>
            </w:r>
          </w:p>
          <w:p w:rsidR="00000000" w:rsidRPr="00D11AA9" w:rsidP="00D11AA9">
            <w:pPr>
              <w:pStyle w:val="ListBullet"/>
            </w:pPr>
            <w:r w:rsidRPr="00D11AA9">
              <w:t>Correctly label, identify and transport tissues</w:t>
            </w:r>
          </w:p>
          <w:p w:rsidR="00000000" w:rsidRPr="00D11AA9" w:rsidP="00D11AA9">
            <w:pPr>
              <w:pStyle w:val="ListBullet"/>
            </w:pPr>
            <w:r w:rsidRPr="00D11AA9">
              <w:t>Effectively communicate with medical officer performing autopsy</w:t>
            </w:r>
          </w:p>
          <w:p w:rsidR="00000000" w:rsidRPr="00D11AA9" w:rsidP="00D11AA9">
            <w:pPr>
              <w:pStyle w:val="ListBullet"/>
            </w:pPr>
            <w:r w:rsidRPr="00D11AA9">
              <w:t xml:space="preserve">Follow correct documentation procedures for organ retention, specimen recording and </w:t>
            </w:r>
            <w:r w:rsidRPr="00D11AA9">
              <w:t>for photography</w:t>
            </w:r>
          </w:p>
          <w:p w:rsidR="00000000" w:rsidRPr="00D11AA9" w:rsidP="00D11AA9">
            <w:pPr>
              <w:pStyle w:val="ListBullet"/>
            </w:pPr>
            <w:r w:rsidRPr="00D11AA9">
              <w:t>Follow infection control and WHS policy and procedures</w:t>
            </w:r>
          </w:p>
          <w:p w:rsidR="00000000" w:rsidRPr="00D11AA9" w:rsidP="00D11AA9">
            <w:pPr>
              <w:pStyle w:val="ListBullet"/>
            </w:pPr>
            <w:r w:rsidRPr="00D11AA9">
              <w:t>Follow organisation waste management practices, taking into account opportunities to address waste minimisation, environmental responsibility and sustainable practice issues</w:t>
            </w:r>
          </w:p>
          <w:p w:rsidR="00000000" w:rsidRPr="00D11AA9" w:rsidP="00D11AA9">
            <w:pPr>
              <w:pStyle w:val="ListBullet"/>
            </w:pPr>
            <w:r w:rsidRPr="00D11AA9">
              <w:t>Follow safe</w:t>
            </w:r>
            <w:r w:rsidRPr="00D11AA9">
              <w:t xml:space="preserve"> working procedures during autopsies</w:t>
            </w:r>
          </w:p>
          <w:p w:rsidR="00000000" w:rsidRPr="00D11AA9" w:rsidP="00D11AA9">
            <w:pPr>
              <w:pStyle w:val="ListBullet"/>
            </w:pPr>
            <w:r w:rsidRPr="00D11AA9">
              <w:t>Operate medical imaging equipment effectively</w:t>
            </w:r>
          </w:p>
          <w:p w:rsidR="00000000" w:rsidRPr="00D11AA9" w:rsidP="00D11AA9">
            <w:pPr>
              <w:pStyle w:val="ListBullet"/>
            </w:pPr>
            <w:r w:rsidRPr="00D11AA9">
              <w:t>Perform special autopsy techniques</w:t>
            </w:r>
          </w:p>
          <w:p w:rsidR="00000000" w:rsidRPr="00D11AA9" w:rsidP="00D11AA9">
            <w:pPr>
              <w:pStyle w:val="ListBullet"/>
            </w:pPr>
            <w:r w:rsidRPr="00D11AA9">
              <w:t>Remove spine and bone marrow</w:t>
            </w:r>
          </w:p>
          <w:p w:rsidR="00000000" w:rsidRPr="00D11AA9" w:rsidP="00D11AA9">
            <w:pPr>
              <w:pStyle w:val="ListBullet"/>
            </w:pPr>
            <w:r w:rsidRPr="00D11AA9">
              <w:t>Remove tissues</w:t>
            </w:r>
          </w:p>
          <w:p w:rsidR="00000000" w:rsidRPr="00D11AA9" w:rsidP="00D11AA9">
            <w:pPr>
              <w:pStyle w:val="ListBullet"/>
            </w:pPr>
            <w:r w:rsidRPr="00D11AA9">
              <w:t>Use accurate dissection techniques</w:t>
            </w:r>
          </w:p>
          <w:p w:rsidR="00000000" w:rsidRPr="00D11AA9" w:rsidP="00D11AA9">
            <w:pPr>
              <w:pStyle w:val="ListBullet"/>
            </w:pPr>
            <w:r w:rsidRPr="00D11AA9">
              <w:t xml:space="preserve">Use autopsy equipment correctly and safely </w:t>
            </w:r>
          </w:p>
          <w:p w:rsidR="00000000" w:rsidRPr="00D11AA9" w:rsidP="00D11AA9">
            <w:pPr>
              <w:pStyle w:val="ListBullet"/>
            </w:pPr>
            <w:r w:rsidRPr="00D11AA9">
              <w:t>Use body reconstruction and restoration techniques following autopsy</w:t>
            </w:r>
          </w:p>
          <w:p w:rsidR="00000000" w:rsidRPr="00D11AA9" w:rsidP="00D11AA9">
            <w:pPr>
              <w:pStyle w:val="ListBullet"/>
            </w:pPr>
            <w:r w:rsidRPr="00D11AA9">
              <w:t>Use correct knife sharpening techniques</w:t>
            </w:r>
          </w:p>
          <w:p w:rsidR="00000000" w:rsidRPr="00D11AA9" w:rsidP="00D11AA9">
            <w:pPr>
              <w:pStyle w:val="ListBullet"/>
            </w:pPr>
            <w:r w:rsidRPr="00D11AA9">
              <w:t>Use numeracy skills including the ability to complete basic arithmetic calculations, and undertake measurements of volumes and weight</w:t>
            </w:r>
          </w:p>
          <w:p w:rsidR="00000000" w:rsidRPr="00D11AA9" w:rsidP="00D11AA9">
            <w:pPr>
              <w:pStyle w:val="ListBullet"/>
            </w:pPr>
            <w:r w:rsidRPr="00D11AA9">
              <w:t>Use oral comm</w:t>
            </w:r>
            <w:r w:rsidRPr="00D11AA9">
              <w:t>unication skills required to fulfil job roles in a safe manner and as specified by the organisation, including skills in:</w:t>
            </w:r>
          </w:p>
          <w:p w:rsidR="00000000" w:rsidRPr="00D11AA9" w:rsidP="00D11AA9">
            <w:pPr>
              <w:pStyle w:val="ListBullet2"/>
            </w:pPr>
            <w:r w:rsidRPr="00D11AA9">
              <w:t>asking questions</w:t>
            </w:r>
          </w:p>
          <w:p w:rsidR="00000000" w:rsidRPr="00D11AA9" w:rsidP="00D11AA9">
            <w:pPr>
              <w:pStyle w:val="ListBullet2"/>
            </w:pPr>
            <w:r w:rsidRPr="00D11AA9">
              <w:t>providing clear information</w:t>
            </w:r>
          </w:p>
          <w:p w:rsidR="00000000" w:rsidRPr="00D11AA9" w:rsidP="00D11AA9">
            <w:pPr>
              <w:pStyle w:val="ListBullet2"/>
            </w:pPr>
            <w:r w:rsidRPr="00D11AA9">
              <w:t>listening to and understanding workplace instructions</w:t>
            </w:r>
          </w:p>
          <w:p w:rsidR="00000000" w:rsidRPr="00D11AA9" w:rsidP="00D11AA9">
            <w:pPr>
              <w:pStyle w:val="ListBullet2"/>
            </w:pPr>
            <w:r w:rsidRPr="00D11AA9">
              <w:t xml:space="preserve">clarifying workplace instructions </w:t>
            </w:r>
            <w:r w:rsidRPr="00D11AA9">
              <w:t>when necessary</w:t>
            </w:r>
          </w:p>
          <w:p w:rsidR="00000000" w:rsidRPr="00D11AA9" w:rsidP="00D11AA9">
            <w:pPr>
              <w:pStyle w:val="ListBullet2"/>
            </w:pPr>
            <w:r w:rsidRPr="00D11AA9">
              <w:t xml:space="preserve">using effective verbal and non-verbal communication skills with a range of internal and external persons </w:t>
            </w:r>
          </w:p>
          <w:p w:rsidR="00000000" w:rsidRPr="00D11AA9" w:rsidP="00D11AA9">
            <w:pPr>
              <w:pStyle w:val="ListBullet"/>
            </w:pPr>
            <w:r w:rsidRPr="00D11AA9">
              <w:t>Use personal protective equipment correctly</w:t>
            </w:r>
          </w:p>
          <w:p w:rsidR="00000000" w:rsidRPr="00D11AA9" w:rsidP="00D11AA9">
            <w:pPr>
              <w:pStyle w:val="ListBullet"/>
            </w:pPr>
            <w:r w:rsidRPr="00D11AA9">
              <w:t>Use reading and writing skills required to fulfil job role in a safe manner and as specifi</w:t>
            </w:r>
            <w:r w:rsidRPr="00D11AA9">
              <w:t>ed by the organisation at a level of skill of skill that includes:</w:t>
            </w:r>
          </w:p>
          <w:p w:rsidR="00000000" w:rsidRPr="00D11AA9" w:rsidP="00D11AA9">
            <w:pPr>
              <w:pStyle w:val="ListBullet2"/>
            </w:pPr>
            <w:r w:rsidRPr="00D11AA9">
              <w:t xml:space="preserve"> reading workplace policy and procedure manuals </w:t>
            </w:r>
          </w:p>
          <w:p w:rsidR="00000000" w:rsidRPr="00D11AA9" w:rsidP="00D11AA9">
            <w:pPr>
              <w:pStyle w:val="ListBullet2"/>
            </w:pPr>
            <w:r w:rsidRPr="00D11AA9">
              <w:t>documenting administrative and clinical information</w:t>
            </w:r>
          </w:p>
          <w:p w:rsidR="00000000" w:rsidRPr="00D11AA9" w:rsidP="00D11AA9">
            <w:pPr>
              <w:pStyle w:val="ListBullet"/>
            </w:pPr>
            <w:r w:rsidRPr="00D11AA9">
              <w:t xml:space="preserve">Use problem solving skills required including an ability to use available resources </w:t>
            </w:r>
            <w:r w:rsidRPr="00D11AA9">
              <w:t>and manage a daily routine</w:t>
            </w:r>
          </w:p>
        </w:tc>
      </w:tr>
    </w:tbl>
    <w:p w:rsidR="00210A5A" w:rsidP="00D11AA9">
      <w:pPr>
        <w:pStyle w:val="BodyText"/>
      </w:pPr>
    </w:p>
    <w:p w:rsidR="00210A5A" w:rsidP="00D11AA9">
      <w:pPr>
        <w:pStyle w:val="BodyText"/>
      </w:pPr>
    </w:p>
    <w:p w:rsidR="00000000" w:rsidRPr="00D11AA9" w:rsidP="00D11AA9">
      <w:pPr>
        <w:pStyle w:val="Heading1"/>
      </w:pPr>
      <w:bookmarkStart w:id="10" w:name="O_433783"/>
      <w:bookmarkEnd w:id="10"/>
      <w:r w:rsidRPr="00D11AA9">
        <w:t>Evidence Guide</w:t>
      </w:r>
    </w:p>
    <w:tbl>
      <w:tblPr>
        <w:tblW w:w="0" w:type="auto"/>
        <w:tblLayout w:type="fixed"/>
        <w:tblCellMar>
          <w:left w:w="62" w:type="dxa"/>
          <w:right w:w="62" w:type="dxa"/>
        </w:tblCellMar>
        <w:tblLook w:val="0000"/>
      </w:tblPr>
      <w:tblGrid>
        <w:gridCol w:w="3402"/>
        <w:gridCol w:w="5670"/>
      </w:tblGrid>
      <w:tr w:rsidTr="00210A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t xml:space="preserve">The evidence guide provides advice on assessment and must be read in conjunction with the Performance Criteria, Required Skills and Knowledge, </w:t>
            </w:r>
            <w:r w:rsidRPr="00D11AA9">
              <w:t>the Range Statement and the Assessment Guidelines for this Training Package.</w:t>
            </w:r>
          </w:p>
        </w:tc>
      </w:tr>
      <w:tr w:rsidTr="00210A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Critical aspects for assessment and evidence required to demonstrate this competency unit</w:t>
            </w:r>
            <w:r w:rsidRPr="00D11AA9">
              <w:t>:</w:t>
            </w:r>
          </w:p>
        </w:tc>
        <w:tc>
          <w:tcPr>
            <w:tcW w:w="5670"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The individual being assessed must provide evidence of specified essential knowled</w:t>
            </w:r>
            <w:r w:rsidRPr="00D11AA9">
              <w:t>ge as well as skills</w:t>
            </w:r>
          </w:p>
          <w:p w:rsidR="00000000" w:rsidRPr="00D11AA9" w:rsidP="00D11AA9">
            <w:pPr>
              <w:pStyle w:val="ListBullet"/>
            </w:pPr>
            <w:r w:rsidRPr="00D11AA9">
              <w:t>Observation of workplace performance is essential for assessment of this unit</w:t>
            </w:r>
          </w:p>
          <w:p w:rsidR="00000000" w:rsidRPr="00D11AA9" w:rsidP="00D11AA9">
            <w:pPr>
              <w:pStyle w:val="ListBullet"/>
            </w:pPr>
            <w:r w:rsidRPr="00D11AA9">
              <w:t>Consistency of performance should be demonstrated over the required range of situations relevant to the workplace</w:t>
            </w:r>
          </w:p>
          <w:p w:rsidR="00000000" w:rsidP="00D11AA9">
            <w:pPr>
              <w:pStyle w:val="ListBullet"/>
              <w:rPr>
                <w:lang w:val="en-NZ"/>
              </w:rPr>
            </w:pPr>
            <w:r w:rsidRPr="00D11AA9">
              <w:t>Where, for reasons of safety, space, or acc</w:t>
            </w:r>
            <w:r w:rsidRPr="00D11AA9">
              <w:t>ess to equipment and resources, assessment takes place away from the workplace, the assessment environment should represent workplace conditions as closely as possible</w:t>
            </w:r>
          </w:p>
        </w:tc>
      </w:tr>
      <w:tr w:rsidTr="0021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Context of and specific resources for assessment</w:t>
            </w:r>
            <w:r w:rsidRPr="00D11AA9">
              <w:t xml:space="preserve">: </w:t>
            </w:r>
            <w:r w:rsidRPr="00D11AA9">
              <w:br/>
            </w:r>
          </w:p>
        </w:tc>
        <w:tc>
          <w:tcPr>
            <w:tcW w:w="5670"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Access to an autopsy room where assessment can take place</w:t>
            </w:r>
          </w:p>
          <w:p w:rsidR="00000000" w:rsidRPr="00D11AA9" w:rsidP="00D11AA9">
            <w:pPr>
              <w:pStyle w:val="ListBullet"/>
            </w:pPr>
            <w:r w:rsidRPr="00D11AA9">
              <w:t>Autopsy equipment</w:t>
            </w:r>
          </w:p>
          <w:p w:rsidR="00000000" w:rsidRPr="00D11AA9" w:rsidP="00D11AA9">
            <w:pPr>
              <w:pStyle w:val="ListBullet"/>
            </w:pPr>
            <w:r w:rsidRPr="00D11AA9">
              <w:t>Relevant organisation policy, guidelines, procedures and protocols</w:t>
            </w:r>
          </w:p>
          <w:p w:rsidR="00000000" w:rsidP="00D11AA9">
            <w:pPr>
              <w:pStyle w:val="ListBullet"/>
              <w:rPr>
                <w:lang w:val="en-NZ"/>
              </w:rPr>
            </w:pPr>
            <w:r w:rsidRPr="00D11AA9">
              <w:t>Relevant legislative requirements</w:t>
            </w:r>
          </w:p>
        </w:tc>
      </w:tr>
      <w:tr w:rsidTr="0021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Method of assessment</w:t>
            </w:r>
            <w:r w:rsidRPr="00D11AA9">
              <w:t xml:space="preserve"> </w:t>
            </w:r>
          </w:p>
        </w:tc>
        <w:tc>
          <w:tcPr>
            <w:tcW w:w="5670"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Observation in the work place (if possible)</w:t>
            </w:r>
          </w:p>
          <w:p w:rsidR="00000000" w:rsidRPr="00D11AA9" w:rsidP="00D11AA9">
            <w:pPr>
              <w:pStyle w:val="ListBullet"/>
            </w:pPr>
            <w:r w:rsidRPr="00D11AA9">
              <w:t>Written assignments/projects or questioning should be used to assess knowledge</w:t>
            </w:r>
          </w:p>
          <w:p w:rsidR="00000000" w:rsidP="00D11AA9">
            <w:pPr>
              <w:pStyle w:val="ListBullet"/>
              <w:rPr>
                <w:lang w:val="en-NZ"/>
              </w:rPr>
            </w:pPr>
            <w:r w:rsidRPr="00D11AA9">
              <w:t>Case study and scenario as a basis for discussion of issues and strategies to contribute to best practice</w:t>
            </w:r>
          </w:p>
        </w:tc>
      </w:tr>
      <w:tr w:rsidTr="0021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Access and equity considerations</w:t>
            </w:r>
            <w:r w:rsidRPr="00D11AA9">
              <w:t>:</w:t>
            </w:r>
          </w:p>
        </w:tc>
        <w:tc>
          <w:tcPr>
            <w:tcW w:w="5670"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All workers in the health indust</w:t>
            </w:r>
            <w:r w:rsidRPr="00D11AA9">
              <w:t>ry should be aware of access and equity issues in relation to their own area of work</w:t>
            </w:r>
          </w:p>
          <w:p w:rsidR="00000000" w:rsidRPr="00D11AA9" w:rsidP="00D11AA9">
            <w:pPr>
              <w:pStyle w:val="ListBullet"/>
            </w:pPr>
            <w:r w:rsidRPr="00D11AA9">
              <w:t xml:space="preserve">All workers should develop their ability to work in a culturally diverse environment </w:t>
            </w:r>
          </w:p>
          <w:p w:rsidR="00000000" w:rsidRPr="00D11AA9" w:rsidP="00D11AA9">
            <w:pPr>
              <w:pStyle w:val="ListBullet"/>
            </w:pPr>
            <w:r w:rsidRPr="00D11AA9">
              <w:t>In recognition of particular health issues facing Aboriginal and Torres Strait Island</w:t>
            </w:r>
            <w:r w:rsidRPr="00D11AA9">
              <w:t>er communities, workers should be aware of cultural, historical and current issues impacting on health of Aboriginal and Torres Strait Islander people</w:t>
            </w:r>
          </w:p>
          <w:p w:rsidR="00000000" w:rsidP="00D11AA9">
            <w:pPr>
              <w:pStyle w:val="ListBullet"/>
              <w:rPr>
                <w:lang w:val="en-NZ"/>
              </w:rPr>
            </w:pPr>
            <w:r w:rsidRPr="00D11AA9">
              <w:t>Assessors and trainers must take into account relevant access and equity issues, in particular relating t</w:t>
            </w:r>
            <w:r w:rsidRPr="00D11AA9">
              <w:t>o factors impacting on health of Aboriginal and/or Torres Strait Islander clients and communities</w:t>
            </w:r>
          </w:p>
        </w:tc>
      </w:tr>
      <w:tr w:rsidTr="0021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Related units</w:t>
            </w:r>
            <w:r w:rsidRPr="00D11AA9">
              <w:t>:</w:t>
            </w:r>
          </w:p>
        </w:tc>
        <w:tc>
          <w:tcPr>
            <w:tcW w:w="5670" w:type="dxa"/>
            <w:tcBorders>
              <w:top w:val="nil"/>
              <w:left w:val="nil"/>
              <w:bottom w:val="nil"/>
              <w:right w:val="nil"/>
            </w:tcBorders>
            <w:tcMar>
              <w:top w:w="0" w:type="dxa"/>
              <w:left w:w="62" w:type="dxa"/>
              <w:bottom w:w="0" w:type="dxa"/>
              <w:right w:w="62" w:type="dxa"/>
            </w:tcMar>
          </w:tcPr>
          <w:p w:rsidR="00000000" w:rsidRPr="00D11AA9" w:rsidP="00D11AA9">
            <w:pPr>
              <w:pStyle w:val="BodyText"/>
            </w:pPr>
            <w:r w:rsidRPr="00D11AA9">
              <w:t>This unit should be assessed in conjunction with the following related unit:</w:t>
            </w:r>
          </w:p>
          <w:p w:rsidR="00000000" w:rsidP="00D11AA9">
            <w:pPr>
              <w:pStyle w:val="ListBullet"/>
              <w:rPr>
                <w:lang w:val="en-NZ"/>
              </w:rPr>
            </w:pPr>
            <w:r w:rsidRPr="00D11AA9">
              <w:t>HLTMT304D Assist with autopsy</w:t>
            </w:r>
          </w:p>
        </w:tc>
      </w:tr>
      <w:tr w:rsidTr="00210A5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D11AA9" w:rsidP="00D11AA9">
            <w:pPr>
              <w:pStyle w:val="BodyText"/>
            </w:pPr>
          </w:p>
        </w:tc>
      </w:tr>
    </w:tbl>
    <w:p w:rsidR="00210A5A" w:rsidP="00D11AA9">
      <w:pPr>
        <w:pStyle w:val="BodyText"/>
      </w:pPr>
    </w:p>
    <w:p w:rsidR="00210A5A" w:rsidP="00D11AA9">
      <w:pPr>
        <w:pStyle w:val="BodyText"/>
      </w:pPr>
    </w:p>
    <w:p w:rsidR="00000000" w:rsidRPr="00D11AA9" w:rsidP="00D11AA9">
      <w:pPr>
        <w:pStyle w:val="Heading1"/>
      </w:pPr>
      <w:bookmarkStart w:id="11" w:name="O_433787"/>
      <w:bookmarkEnd w:id="11"/>
      <w:r w:rsidRPr="00D11AA9">
        <w:t>Range Statement</w:t>
      </w:r>
    </w:p>
    <w:tbl>
      <w:tblPr>
        <w:tblW w:w="0" w:type="auto"/>
        <w:tblLayout w:type="fixed"/>
        <w:tblCellMar>
          <w:left w:w="62" w:type="dxa"/>
          <w:right w:w="62" w:type="dxa"/>
        </w:tblCellMar>
        <w:tblLook w:val="0000"/>
      </w:tblPr>
      <w:tblGrid>
        <w:gridCol w:w="3348"/>
        <w:gridCol w:w="5724"/>
      </w:tblGrid>
      <w:tr w:rsidTr="00210A5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t>The Range Statement relates to the unit of competency as a whole.  It allows for different work environments and situations that may affect performance.  Add any essential operating conditions that may be present with training and assessmen</w:t>
            </w:r>
            <w:r w:rsidRPr="00D11AA9">
              <w:t>t depending on the work situation, needs of the candidate, accessibility of the item, and local industry and regional contexts.</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Consent for tissue removal includes</w:t>
            </w:r>
            <w:r w:rsidRPr="00D11AA9">
              <w:t>:</w:t>
            </w:r>
          </w:p>
        </w:tc>
        <w:tc>
          <w:tcPr>
            <w:tcW w:w="5724"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Senior available next of kin approval</w:t>
            </w:r>
          </w:p>
          <w:p w:rsidR="00000000" w:rsidRPr="00D11AA9" w:rsidP="00D11AA9">
            <w:pPr>
              <w:pStyle w:val="ListBullet"/>
            </w:pPr>
            <w:r w:rsidRPr="00D11AA9">
              <w:t>Specification of tissue to be collected, such as:</w:t>
            </w:r>
          </w:p>
          <w:p w:rsidR="00000000" w:rsidRPr="00D11AA9" w:rsidP="00D11AA9">
            <w:pPr>
              <w:pStyle w:val="ListBullet2"/>
            </w:pPr>
            <w:r w:rsidRPr="00D11AA9">
              <w:t>bone</w:t>
            </w:r>
          </w:p>
          <w:p w:rsidR="00000000" w:rsidRPr="00D11AA9" w:rsidP="00D11AA9">
            <w:pPr>
              <w:pStyle w:val="ListBullet2"/>
            </w:pPr>
            <w:r w:rsidRPr="00D11AA9">
              <w:t>eye</w:t>
            </w:r>
          </w:p>
          <w:p w:rsidR="00000000" w:rsidRPr="00D11AA9" w:rsidP="00D11AA9">
            <w:pPr>
              <w:pStyle w:val="ListBullet2"/>
            </w:pPr>
            <w:r w:rsidRPr="00D11AA9">
              <w:t>skin</w:t>
            </w:r>
          </w:p>
          <w:p w:rsidR="00000000" w:rsidP="00D11AA9">
            <w:pPr>
              <w:pStyle w:val="ListBullet"/>
              <w:rPr>
                <w:lang w:val="en-NZ"/>
              </w:rPr>
            </w:pPr>
            <w:r w:rsidRPr="00D11AA9">
              <w:t>Sign off by designated officer</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Suitability check may include</w:t>
            </w:r>
          </w:p>
        </w:tc>
        <w:tc>
          <w:tcPr>
            <w:tcW w:w="5724"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Viral checking</w:t>
            </w:r>
          </w:p>
          <w:p w:rsidR="00000000" w:rsidRPr="00D11AA9" w:rsidP="00D11AA9">
            <w:pPr>
              <w:pStyle w:val="ListBullet"/>
            </w:pPr>
            <w:r w:rsidRPr="00D11AA9">
              <w:t>External examination of body</w:t>
            </w:r>
          </w:p>
          <w:p w:rsidR="00000000" w:rsidP="00D11AA9">
            <w:pPr>
              <w:pStyle w:val="ListBullet"/>
              <w:rPr>
                <w:lang w:val="en-NZ"/>
              </w:rPr>
            </w:pPr>
            <w:r w:rsidRPr="00D11AA9">
              <w:t>Infection diseases</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Personal protective equipment includes</w:t>
            </w:r>
          </w:p>
        </w:tc>
        <w:tc>
          <w:tcPr>
            <w:tcW w:w="5724"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Face protection</w:t>
            </w:r>
          </w:p>
          <w:p w:rsidR="00000000" w:rsidRPr="00D11AA9" w:rsidP="00D11AA9">
            <w:pPr>
              <w:pStyle w:val="ListBullet"/>
            </w:pPr>
            <w:r w:rsidRPr="00D11AA9">
              <w:t>Eye protection</w:t>
            </w:r>
          </w:p>
          <w:p w:rsidR="00000000" w:rsidRPr="00D11AA9" w:rsidP="00D11AA9">
            <w:pPr>
              <w:pStyle w:val="ListBullet"/>
            </w:pPr>
            <w:r w:rsidRPr="00D11AA9">
              <w:t>Gown</w:t>
            </w:r>
          </w:p>
          <w:p w:rsidR="00000000" w:rsidRPr="00D11AA9" w:rsidP="00D11AA9">
            <w:pPr>
              <w:pStyle w:val="ListBullet"/>
            </w:pPr>
            <w:r w:rsidRPr="00D11AA9">
              <w:t>Apron</w:t>
            </w:r>
          </w:p>
          <w:p w:rsidR="00000000" w:rsidRPr="00D11AA9" w:rsidP="00D11AA9">
            <w:pPr>
              <w:pStyle w:val="ListBullet"/>
            </w:pPr>
            <w:r w:rsidRPr="00D11AA9">
              <w:t>Surgical suits</w:t>
            </w:r>
          </w:p>
          <w:p w:rsidR="00000000" w:rsidRPr="00D11AA9" w:rsidP="00D11AA9">
            <w:pPr>
              <w:pStyle w:val="ListBullet"/>
            </w:pPr>
            <w:r w:rsidRPr="00D11AA9">
              <w:t>Gloves</w:t>
            </w:r>
          </w:p>
          <w:p w:rsidR="00000000" w:rsidRPr="00D11AA9" w:rsidP="00D11AA9">
            <w:pPr>
              <w:pStyle w:val="ListBullet"/>
            </w:pPr>
            <w:r w:rsidRPr="00D11AA9">
              <w:t>Protective footwear</w:t>
            </w:r>
          </w:p>
          <w:p w:rsidR="00000000" w:rsidP="00D11AA9">
            <w:pPr>
              <w:pStyle w:val="ListBullet"/>
              <w:rPr>
                <w:lang w:val="en-NZ"/>
              </w:rPr>
            </w:pPr>
            <w:r w:rsidRPr="00D11AA9">
              <w:t>Respirators</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Relevant Standards include</w:t>
            </w:r>
          </w:p>
        </w:tc>
        <w:tc>
          <w:tcPr>
            <w:tcW w:w="5724" w:type="dxa"/>
            <w:tcBorders>
              <w:top w:val="nil"/>
              <w:left w:val="nil"/>
              <w:bottom w:val="nil"/>
              <w:right w:val="nil"/>
            </w:tcBorders>
            <w:tcMar>
              <w:top w:w="0" w:type="dxa"/>
              <w:left w:w="62" w:type="dxa"/>
              <w:bottom w:w="0" w:type="dxa"/>
              <w:right w:w="62" w:type="dxa"/>
            </w:tcMar>
          </w:tcPr>
          <w:p w:rsidR="00000000" w:rsidP="00D11AA9">
            <w:pPr>
              <w:pStyle w:val="ListBullet"/>
              <w:rPr>
                <w:lang w:val="en-NZ"/>
              </w:rPr>
            </w:pPr>
            <w:r w:rsidRPr="00D11AA9">
              <w:t>Relevant State and Territory Legislation concerning tissue removal and storage</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Tissues may include</w:t>
            </w:r>
            <w:r w:rsidRPr="00D11AA9">
              <w:t>:</w:t>
            </w:r>
          </w:p>
        </w:tc>
        <w:tc>
          <w:tcPr>
            <w:tcW w:w="5724"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Bone</w:t>
            </w:r>
          </w:p>
          <w:p w:rsidR="00000000" w:rsidRPr="00D11AA9" w:rsidP="00D11AA9">
            <w:pPr>
              <w:pStyle w:val="ListBullet"/>
            </w:pPr>
            <w:r w:rsidRPr="00D11AA9">
              <w:t>Eyes</w:t>
            </w:r>
          </w:p>
          <w:p w:rsidR="00000000" w:rsidRPr="00D11AA9" w:rsidP="00D11AA9">
            <w:pPr>
              <w:pStyle w:val="ListBullet"/>
            </w:pPr>
            <w:r w:rsidRPr="00D11AA9">
              <w:t>Skin</w:t>
            </w:r>
          </w:p>
          <w:p w:rsidR="00000000" w:rsidRPr="00D11AA9" w:rsidP="00D11AA9">
            <w:pPr>
              <w:pStyle w:val="ListBullet"/>
            </w:pPr>
            <w:r w:rsidRPr="00D11AA9">
              <w:t>Heart valves</w:t>
            </w:r>
          </w:p>
          <w:p w:rsidR="00000000" w:rsidP="00D11AA9">
            <w:pPr>
              <w:pStyle w:val="ListBullet"/>
              <w:rPr>
                <w:lang w:val="en-NZ"/>
              </w:rPr>
            </w:pPr>
            <w:r w:rsidRPr="00D11AA9">
              <w:t>Pancreas</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External examination must include</w:t>
            </w:r>
            <w:r w:rsidRPr="00D11AA9">
              <w:t>:</w:t>
            </w:r>
          </w:p>
        </w:tc>
        <w:tc>
          <w:tcPr>
            <w:tcW w:w="5724"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Donor identification</w:t>
            </w:r>
          </w:p>
          <w:p w:rsidR="00000000" w:rsidRPr="00D11AA9" w:rsidP="00D11AA9">
            <w:pPr>
              <w:pStyle w:val="ListBullet"/>
            </w:pPr>
            <w:r w:rsidRPr="00D11AA9">
              <w:t>Identifying features, including:</w:t>
            </w:r>
          </w:p>
          <w:p w:rsidR="00000000" w:rsidRPr="00D11AA9" w:rsidP="00D11AA9">
            <w:pPr>
              <w:pStyle w:val="ListBullet2"/>
            </w:pPr>
            <w:r w:rsidRPr="00D11AA9">
              <w:t>scars</w:t>
            </w:r>
          </w:p>
          <w:p w:rsidR="00000000" w:rsidRPr="00D11AA9" w:rsidP="00D11AA9">
            <w:pPr>
              <w:pStyle w:val="ListBullet2"/>
            </w:pPr>
            <w:r w:rsidRPr="00D11AA9">
              <w:t>tattoos</w:t>
            </w:r>
          </w:p>
          <w:p w:rsidR="00000000" w:rsidRPr="00D11AA9" w:rsidP="00D11AA9">
            <w:pPr>
              <w:pStyle w:val="ListBullet"/>
            </w:pPr>
            <w:r w:rsidRPr="00D11AA9">
              <w:t>Anal passage</w:t>
            </w:r>
          </w:p>
          <w:p w:rsidR="00000000" w:rsidP="00D11AA9">
            <w:pPr>
              <w:pStyle w:val="ListBullet"/>
              <w:rPr>
                <w:lang w:val="en-NZ"/>
              </w:rPr>
            </w:pPr>
            <w:r w:rsidRPr="00D11AA9">
              <w:t>Examination for evidence of illicit drugs</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Tests</w:t>
            </w:r>
            <w:r w:rsidRPr="00D11AA9">
              <w:t xml:space="preserve"> </w:t>
            </w:r>
            <w:r w:rsidRPr="00D11AA9">
              <w:rPr>
                <w:rStyle w:val="BoldandItalics"/>
              </w:rPr>
              <w:t>must</w:t>
            </w:r>
            <w:r w:rsidRPr="00D11AA9">
              <w:t xml:space="preserve"> </w:t>
            </w:r>
            <w:r w:rsidRPr="00D11AA9">
              <w:rPr>
                <w:rStyle w:val="Emphasis"/>
              </w:rPr>
              <w:t>include</w:t>
            </w:r>
            <w:r w:rsidRPr="00D11AA9">
              <w:t>:</w:t>
            </w:r>
          </w:p>
        </w:tc>
        <w:tc>
          <w:tcPr>
            <w:tcW w:w="5724"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HIV1/2</w:t>
            </w:r>
          </w:p>
          <w:p w:rsidR="00000000" w:rsidRPr="00D11AA9" w:rsidP="00D11AA9">
            <w:pPr>
              <w:pStyle w:val="ListBullet"/>
            </w:pPr>
            <w:r w:rsidRPr="00D11AA9">
              <w:t>HCV</w:t>
            </w:r>
          </w:p>
          <w:p w:rsidR="00000000" w:rsidRPr="00D11AA9" w:rsidP="00D11AA9">
            <w:pPr>
              <w:pStyle w:val="ListBullet"/>
            </w:pPr>
            <w:r w:rsidRPr="00D11AA9">
              <w:t>HBV</w:t>
            </w:r>
          </w:p>
          <w:p w:rsidR="00000000" w:rsidRPr="00D11AA9" w:rsidP="00D11AA9">
            <w:pPr>
              <w:pStyle w:val="ListBullet"/>
            </w:pPr>
            <w:r w:rsidRPr="00D11AA9">
              <w:t>HTLV1</w:t>
            </w:r>
          </w:p>
          <w:p w:rsidR="00000000" w:rsidRPr="00D11AA9" w:rsidP="00D11AA9">
            <w:pPr>
              <w:pStyle w:val="ListBullet"/>
            </w:pPr>
            <w:r w:rsidRPr="00D11AA9">
              <w:t xml:space="preserve">Syphilis  </w:t>
            </w:r>
          </w:p>
          <w:p w:rsidR="00000000" w:rsidRPr="00D11AA9" w:rsidP="00D11AA9">
            <w:pPr>
              <w:pStyle w:val="ListBullet"/>
            </w:pPr>
            <w:r w:rsidRPr="00D11AA9">
              <w:t>Micro contamination testing</w:t>
            </w:r>
          </w:p>
          <w:p w:rsidR="00000000" w:rsidRPr="00D11AA9" w:rsidP="00D11AA9">
            <w:pPr>
              <w:pStyle w:val="BodyText"/>
            </w:pPr>
          </w:p>
          <w:p w:rsidR="00000000" w:rsidRPr="00D11AA9" w:rsidP="00D11AA9">
            <w:pPr>
              <w:pStyle w:val="BodyText"/>
            </w:pPr>
            <w:r w:rsidRPr="00D11AA9">
              <w:rPr>
                <w:rStyle w:val="Emphasis"/>
              </w:rPr>
              <w:t>And</w:t>
            </w:r>
            <w:r w:rsidRPr="00D11AA9">
              <w:t xml:space="preserve"> </w:t>
            </w:r>
            <w:r w:rsidRPr="00D11AA9">
              <w:rPr>
                <w:rStyle w:val="BoldandItalics"/>
              </w:rPr>
              <w:t>may</w:t>
            </w:r>
            <w:r w:rsidRPr="00D11AA9">
              <w:t xml:space="preserve"> </w:t>
            </w:r>
            <w:r w:rsidRPr="00D11AA9">
              <w:rPr>
                <w:rStyle w:val="Emphasis"/>
              </w:rPr>
              <w:t>include</w:t>
            </w:r>
            <w:r w:rsidRPr="00D11AA9">
              <w:t>:</w:t>
            </w:r>
          </w:p>
          <w:p w:rsidR="00000000" w:rsidRPr="00D11AA9" w:rsidP="00D11AA9">
            <w:pPr>
              <w:pStyle w:val="ListBullet"/>
            </w:pPr>
            <w:r w:rsidRPr="00D11AA9">
              <w:t>CJD</w:t>
            </w:r>
          </w:p>
          <w:p w:rsidR="00000000" w:rsidRPr="00D11AA9" w:rsidP="00D11AA9">
            <w:pPr>
              <w:pStyle w:val="ListBullet"/>
            </w:pPr>
            <w:r w:rsidRPr="00D11AA9">
              <w:t>CMV</w:t>
            </w:r>
          </w:p>
          <w:p w:rsidR="00000000" w:rsidRPr="00D11AA9" w:rsidP="00D11AA9">
            <w:pPr>
              <w:pStyle w:val="ListBullet"/>
            </w:pPr>
            <w:r w:rsidRPr="00D11AA9">
              <w:t>EBV</w:t>
            </w:r>
          </w:p>
          <w:p w:rsidR="00000000" w:rsidP="00D11AA9">
            <w:pPr>
              <w:pStyle w:val="ListBullet"/>
              <w:rPr>
                <w:lang w:val="en-NZ"/>
              </w:rPr>
            </w:pPr>
            <w:r w:rsidRPr="00D11AA9">
              <w:t>Others as per specific tissue type</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Retrieval team includes</w:t>
            </w:r>
          </w:p>
        </w:tc>
        <w:tc>
          <w:tcPr>
            <w:tcW w:w="5724"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Medical practitioner</w:t>
            </w:r>
          </w:p>
          <w:p w:rsidR="00000000" w:rsidRPr="00D11AA9" w:rsidP="00D11AA9">
            <w:pPr>
              <w:pStyle w:val="ListBullet"/>
            </w:pPr>
            <w:r w:rsidRPr="00D11AA9">
              <w:t>Administration support</w:t>
            </w:r>
          </w:p>
          <w:p w:rsidR="00000000" w:rsidP="00D11AA9">
            <w:pPr>
              <w:pStyle w:val="ListBullet"/>
              <w:rPr>
                <w:lang w:val="en-NZ"/>
              </w:rPr>
            </w:pPr>
            <w:r w:rsidRPr="00D11AA9">
              <w:t xml:space="preserve">Prosectors </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Relevant equipment and consumable items</w:t>
            </w:r>
          </w:p>
        </w:tc>
        <w:tc>
          <w:tcPr>
            <w:tcW w:w="5724"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Specimen containers</w:t>
            </w:r>
          </w:p>
          <w:p w:rsidR="00000000" w:rsidRPr="00D11AA9" w:rsidP="00D11AA9">
            <w:pPr>
              <w:pStyle w:val="ListBullet"/>
            </w:pPr>
            <w:r w:rsidRPr="00D11AA9">
              <w:t>Autopsy table</w:t>
            </w:r>
          </w:p>
          <w:p w:rsidR="00000000" w:rsidRPr="00D11AA9" w:rsidP="00D11AA9">
            <w:pPr>
              <w:pStyle w:val="ListBullet"/>
            </w:pPr>
            <w:r w:rsidRPr="00D11AA9">
              <w:t>Trolleys</w:t>
            </w:r>
          </w:p>
          <w:p w:rsidR="00000000" w:rsidRPr="00D11AA9" w:rsidP="00D11AA9">
            <w:pPr>
              <w:pStyle w:val="ListBullet"/>
            </w:pPr>
            <w:r w:rsidRPr="00D11AA9">
              <w:t>Surgical instruments</w:t>
            </w:r>
          </w:p>
          <w:p w:rsidR="00000000" w:rsidRPr="00D11AA9" w:rsidP="00D11AA9">
            <w:pPr>
              <w:pStyle w:val="ListBullet"/>
            </w:pPr>
            <w:r w:rsidRPr="00D11AA9">
              <w:t>Scales</w:t>
            </w:r>
          </w:p>
          <w:p w:rsidR="00000000" w:rsidRPr="00D11AA9" w:rsidP="00D11AA9">
            <w:pPr>
              <w:pStyle w:val="ListBullet"/>
            </w:pPr>
            <w:r w:rsidRPr="00D11AA9">
              <w:t>Specimen containers</w:t>
            </w:r>
          </w:p>
          <w:p w:rsidR="00000000" w:rsidRPr="00D11AA9" w:rsidP="00D11AA9">
            <w:pPr>
              <w:pStyle w:val="ListBullet"/>
            </w:pPr>
            <w:r w:rsidRPr="00D11AA9">
              <w:t>Necropsy saw</w:t>
            </w:r>
          </w:p>
          <w:p w:rsidR="00000000" w:rsidRPr="00D11AA9" w:rsidP="00D11AA9">
            <w:pPr>
              <w:pStyle w:val="ListBullet"/>
            </w:pPr>
            <w:r w:rsidRPr="00D11AA9">
              <w:t>Knives</w:t>
            </w:r>
          </w:p>
          <w:p w:rsidR="00000000" w:rsidRPr="00D11AA9" w:rsidP="00D11AA9">
            <w:pPr>
              <w:pStyle w:val="ListBullet"/>
            </w:pPr>
            <w:r w:rsidRPr="00D11AA9">
              <w:t>Packing materials</w:t>
            </w:r>
          </w:p>
          <w:p w:rsidR="00000000" w:rsidRPr="00D11AA9" w:rsidP="00D11AA9">
            <w:pPr>
              <w:pStyle w:val="ListBullet"/>
            </w:pPr>
            <w:r w:rsidRPr="00D11AA9">
              <w:t>Needles</w:t>
            </w:r>
          </w:p>
          <w:p w:rsidR="00000000" w:rsidRPr="00D11AA9" w:rsidP="00D11AA9">
            <w:pPr>
              <w:pStyle w:val="ListBullet"/>
            </w:pPr>
            <w:r w:rsidRPr="00D11AA9">
              <w:t>Suture materials</w:t>
            </w:r>
          </w:p>
          <w:p w:rsidR="00000000" w:rsidRPr="00D11AA9" w:rsidP="00D11AA9">
            <w:pPr>
              <w:pStyle w:val="ListBullet"/>
            </w:pPr>
            <w:r w:rsidRPr="00D11AA9">
              <w:t>Body bags</w:t>
            </w:r>
          </w:p>
          <w:p w:rsidR="00000000" w:rsidP="00D11AA9">
            <w:pPr>
              <w:pStyle w:val="ListBullet"/>
              <w:rPr>
                <w:lang w:val="en-NZ"/>
              </w:rPr>
            </w:pPr>
            <w:r w:rsidRPr="00D11AA9">
              <w:t>Electric scrubbers</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Specialist tissues include</w:t>
            </w:r>
          </w:p>
        </w:tc>
        <w:tc>
          <w:tcPr>
            <w:tcW w:w="5724" w:type="dxa"/>
            <w:tcBorders>
              <w:top w:val="nil"/>
              <w:left w:val="nil"/>
              <w:bottom w:val="nil"/>
              <w:right w:val="nil"/>
            </w:tcBorders>
            <w:tcMar>
              <w:top w:w="0" w:type="dxa"/>
              <w:left w:w="62" w:type="dxa"/>
              <w:bottom w:w="0" w:type="dxa"/>
              <w:right w:w="62" w:type="dxa"/>
            </w:tcMar>
          </w:tcPr>
          <w:p w:rsidR="00000000" w:rsidP="00D11AA9">
            <w:pPr>
              <w:pStyle w:val="ListBullet"/>
              <w:rPr>
                <w:lang w:val="en-NZ"/>
              </w:rPr>
            </w:pPr>
            <w:r w:rsidRPr="00D11AA9">
              <w:t>Brain for CJD testing</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Reconstruction and restoration of bodies may include</w:t>
            </w:r>
            <w:r w:rsidRPr="00D11AA9">
              <w:t>:</w:t>
            </w:r>
          </w:p>
        </w:tc>
        <w:tc>
          <w:tcPr>
            <w:tcW w:w="5724"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Reconstruction</w:t>
            </w:r>
          </w:p>
          <w:p w:rsidR="00000000" w:rsidRPr="00D11AA9" w:rsidP="00D11AA9">
            <w:pPr>
              <w:pStyle w:val="ListBullet"/>
            </w:pPr>
            <w:r w:rsidRPr="00D11AA9">
              <w:t>Cleaning cavities</w:t>
            </w:r>
          </w:p>
          <w:p w:rsidR="00000000" w:rsidRPr="00D11AA9" w:rsidP="00D11AA9">
            <w:pPr>
              <w:pStyle w:val="ListBullet"/>
            </w:pPr>
            <w:r w:rsidRPr="00D11AA9">
              <w:t>Packing of absorbent material</w:t>
            </w:r>
          </w:p>
          <w:p w:rsidR="00000000" w:rsidRPr="00D11AA9" w:rsidP="00D11AA9">
            <w:pPr>
              <w:pStyle w:val="ListBullet"/>
            </w:pPr>
            <w:r w:rsidRPr="00D11AA9">
              <w:t>Blocking orifices</w:t>
            </w:r>
          </w:p>
          <w:p w:rsidR="00000000" w:rsidRPr="00D11AA9" w:rsidP="00D11AA9">
            <w:pPr>
              <w:pStyle w:val="ListBullet"/>
            </w:pPr>
            <w:r w:rsidRPr="00D11AA9">
              <w:t>Replacement of organs</w:t>
            </w:r>
          </w:p>
          <w:p w:rsidR="00000000" w:rsidRPr="00D11AA9" w:rsidP="00D11AA9">
            <w:pPr>
              <w:pStyle w:val="ListBullet"/>
            </w:pPr>
            <w:r w:rsidRPr="00D11AA9">
              <w:t>Suturing incisions</w:t>
            </w:r>
          </w:p>
          <w:p w:rsidR="00000000" w:rsidRPr="00D11AA9" w:rsidP="00D11AA9">
            <w:pPr>
              <w:pStyle w:val="ListBullet"/>
            </w:pPr>
            <w:r w:rsidRPr="00D11AA9">
              <w:t>Insertion of prostheses</w:t>
            </w:r>
          </w:p>
          <w:p w:rsidR="00000000" w:rsidRPr="00D11AA9" w:rsidP="00D11AA9">
            <w:pPr>
              <w:pStyle w:val="ListBullet"/>
            </w:pPr>
            <w:r w:rsidRPr="00D11AA9">
              <w:t>Washing and drying body</w:t>
            </w:r>
          </w:p>
          <w:p w:rsidR="00000000" w:rsidP="00D11AA9">
            <w:pPr>
              <w:pStyle w:val="ListBullet"/>
              <w:rPr>
                <w:lang w:val="en-NZ"/>
              </w:rPr>
            </w:pPr>
            <w:r w:rsidRPr="00D11AA9">
              <w:t>Bagging of body to appropriate standard and labelling</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Infection Control policy and procedures may include</w:t>
            </w:r>
            <w:r w:rsidRPr="00D11AA9">
              <w:t>:</w:t>
            </w:r>
          </w:p>
        </w:tc>
        <w:tc>
          <w:tcPr>
            <w:tcW w:w="5724"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Personal hygiene</w:t>
            </w:r>
          </w:p>
          <w:p w:rsidR="00000000" w:rsidRPr="00D11AA9" w:rsidP="00D11AA9">
            <w:pPr>
              <w:pStyle w:val="ListBullet"/>
            </w:pPr>
            <w:r w:rsidRPr="00D11AA9">
              <w:t>Cleaning procedures</w:t>
            </w:r>
          </w:p>
          <w:p w:rsidR="00000000" w:rsidRPr="00D11AA9" w:rsidP="00D11AA9">
            <w:pPr>
              <w:pStyle w:val="ListBullet"/>
            </w:pPr>
            <w:r w:rsidRPr="00D11AA9">
              <w:t>Cleaning of surfaces and equipment</w:t>
            </w:r>
          </w:p>
          <w:p w:rsidR="00000000" w:rsidRPr="00D11AA9" w:rsidP="00D11AA9">
            <w:pPr>
              <w:pStyle w:val="ListBullet"/>
            </w:pPr>
            <w:r w:rsidRPr="00D11AA9">
              <w:t>Use of cleaning chemicals</w:t>
            </w:r>
          </w:p>
          <w:p w:rsidR="00000000" w:rsidRPr="00D11AA9" w:rsidP="00D11AA9">
            <w:pPr>
              <w:pStyle w:val="ListBullet"/>
            </w:pPr>
            <w:r w:rsidRPr="00D11AA9">
              <w:t>Use of personal protective equipment</w:t>
            </w:r>
          </w:p>
          <w:p w:rsidR="00000000" w:rsidRPr="00D11AA9" w:rsidP="00D11AA9">
            <w:pPr>
              <w:pStyle w:val="ListBullet"/>
            </w:pPr>
            <w:r w:rsidRPr="00D11AA9">
              <w:t>Standard and additional precautions</w:t>
            </w:r>
          </w:p>
          <w:p w:rsidR="00000000" w:rsidP="00D11AA9">
            <w:pPr>
              <w:pStyle w:val="ListBullet"/>
              <w:rPr>
                <w:lang w:val="en-NZ"/>
              </w:rPr>
            </w:pPr>
            <w:r w:rsidRPr="00D11AA9">
              <w:t xml:space="preserve">Disposal of clinical and other </w:t>
            </w:r>
            <w:r w:rsidRPr="00D11AA9">
              <w:t>wastes</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rsidP="00D11AA9">
            <w:pPr>
              <w:pStyle w:val="BodyText"/>
              <w:rPr>
                <w:lang w:val="en-NZ"/>
              </w:rPr>
            </w:pPr>
            <w:r w:rsidRPr="00D11AA9">
              <w:rPr>
                <w:rStyle w:val="Emphasis"/>
              </w:rPr>
              <w:t>Waste may include</w:t>
            </w:r>
            <w:r w:rsidRPr="00D11AA9">
              <w:t>:</w:t>
            </w:r>
          </w:p>
        </w:tc>
        <w:tc>
          <w:tcPr>
            <w:tcW w:w="5724" w:type="dxa"/>
            <w:tcBorders>
              <w:top w:val="nil"/>
              <w:left w:val="nil"/>
              <w:bottom w:val="nil"/>
              <w:right w:val="nil"/>
            </w:tcBorders>
            <w:tcMar>
              <w:top w:w="0" w:type="dxa"/>
              <w:left w:w="62" w:type="dxa"/>
              <w:bottom w:w="0" w:type="dxa"/>
              <w:right w:w="62" w:type="dxa"/>
            </w:tcMar>
          </w:tcPr>
          <w:p w:rsidR="00000000" w:rsidRPr="00D11AA9" w:rsidP="00D11AA9">
            <w:pPr>
              <w:pStyle w:val="ListBullet"/>
            </w:pPr>
            <w:r w:rsidRPr="00D11AA9">
              <w:t>Clinical wastes</w:t>
            </w:r>
          </w:p>
          <w:p w:rsidR="00000000" w:rsidRPr="00D11AA9" w:rsidP="00D11AA9">
            <w:pPr>
              <w:pStyle w:val="ListBullet"/>
            </w:pPr>
            <w:r w:rsidRPr="00D11AA9">
              <w:t>General waste</w:t>
            </w:r>
          </w:p>
          <w:p w:rsidR="00000000" w:rsidP="00D11AA9">
            <w:pPr>
              <w:pStyle w:val="ListBullet"/>
              <w:rPr>
                <w:lang w:val="en-NZ"/>
              </w:rPr>
            </w:pPr>
            <w:r w:rsidRPr="00D11AA9">
              <w:t>Toxic waste</w:t>
            </w:r>
          </w:p>
        </w:tc>
      </w:tr>
      <w:tr w:rsidTr="00210A5A">
        <w:tblPrEx>
          <w:tblW w:w="0" w:type="auto"/>
          <w:tblLayout w:type="fixed"/>
          <w:tblCellMar>
            <w:left w:w="62" w:type="dxa"/>
            <w:right w:w="62" w:type="dxa"/>
          </w:tblCellMar>
          <w:tblLook w:val="0000"/>
        </w:tblPrEx>
        <w:tc>
          <w:tcPr>
            <w:tcW w:w="334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24" w:type="dxa"/>
            <w:tcBorders>
              <w:top w:val="nil"/>
              <w:left w:val="nil"/>
              <w:bottom w:val="nil"/>
              <w:right w:val="nil"/>
            </w:tcBorders>
            <w:tcMar>
              <w:top w:w="0" w:type="dxa"/>
              <w:left w:w="62" w:type="dxa"/>
              <w:bottom w:w="0" w:type="dxa"/>
              <w:right w:w="62" w:type="dxa"/>
            </w:tcMar>
          </w:tcPr>
          <w:p w:rsidR="00000000" w:rsidRPr="00D11AA9" w:rsidP="00D11AA9">
            <w:pPr>
              <w:pStyle w:val="BodyText"/>
            </w:pPr>
          </w:p>
        </w:tc>
      </w:tr>
    </w:tbl>
    <w:p w:rsidR="00210A5A" w:rsidP="00D11AA9">
      <w:pPr>
        <w:pStyle w:val="BodyText"/>
      </w:pPr>
    </w:p>
    <w:p w:rsidR="00210A5A" w:rsidP="00D11AA9">
      <w:pPr>
        <w:pStyle w:val="BodyText"/>
      </w:pPr>
    </w:p>
    <w:p w:rsidR="00000000" w:rsidRPr="00D11AA9" w:rsidP="00D11AA9">
      <w:pPr>
        <w:pStyle w:val="Heading1"/>
      </w:pPr>
      <w:bookmarkStart w:id="12" w:name="O_433790"/>
      <w:bookmarkEnd w:id="12"/>
      <w:r w:rsidRPr="00D11AA9">
        <w:t>Unit Sector(s)</w:t>
      </w:r>
    </w:p>
    <w:p w:rsidR="00000000" w:rsidRPr="00D11AA9" w:rsidP="00D11AA9">
      <w:pPr>
        <w:pStyle w:val="BodyText"/>
      </w:pPr>
      <w:r w:rsidRPr="00D11AA9">
        <w:t>Not Applicable</w:t>
      </w:r>
    </w:p>
    <w:p w:rsidR="00000000" w:rsidRPr="00D11AA9" w:rsidP="00D11AA9"/>
    <w:sectPr w:rsidSect="00D11AA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A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0A5A" w:rsidP="00210A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A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5A" w:rsidP="00D11AA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10A5A" w:rsidP="00D11AA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210A5A" w:rsidP="00D11AA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A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10A5A" w:rsidP="00210A5A">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1AA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0A5A" w:rsidP="00D11AA9">
    <w:pPr>
      <w:pStyle w:val="Header"/>
      <w:framePr w:wrap="around"/>
    </w:pPr>
    <w:r>
      <w:fldChar w:fldCharType="begin"/>
    </w:r>
    <w:r>
      <w:instrText xml:space="preserve"> TITLE   \* MERGEFORMAT </w:instrText>
    </w:r>
    <w:r>
      <w:fldChar w:fldCharType="separate"/>
    </w:r>
    <w:r>
      <w:t>HLTMT514C Procure and store tissues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10A5A" w:rsidP="00D11AA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C544D9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C8FF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AEE4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1AA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11AA9"/>
    <w:pPr>
      <w:spacing w:before="360" w:after="60"/>
      <w:outlineLvl w:val="0"/>
    </w:pPr>
    <w:rPr>
      <w:sz w:val="32"/>
    </w:rPr>
  </w:style>
  <w:style w:type="paragraph" w:styleId="Heading2">
    <w:name w:val="heading 2"/>
    <w:basedOn w:val="HeadingBase"/>
    <w:next w:val="BodyText"/>
    <w:link w:val="Heading2Char"/>
    <w:qFormat/>
    <w:rsid w:val="00D11AA9"/>
    <w:pPr>
      <w:keepLines/>
      <w:spacing w:before="240" w:after="120"/>
      <w:outlineLvl w:val="1"/>
    </w:pPr>
    <w:rPr>
      <w:sz w:val="28"/>
      <w:szCs w:val="40"/>
    </w:rPr>
  </w:style>
  <w:style w:type="paragraph" w:styleId="Heading3">
    <w:name w:val="heading 3"/>
    <w:basedOn w:val="HeadingBase"/>
    <w:next w:val="BodyText"/>
    <w:link w:val="Heading3Char"/>
    <w:qFormat/>
    <w:rsid w:val="00D11AA9"/>
    <w:pPr>
      <w:spacing w:before="180" w:after="120"/>
      <w:outlineLvl w:val="2"/>
    </w:pPr>
    <w:rPr>
      <w:spacing w:val="-10"/>
      <w:kern w:val="32"/>
    </w:rPr>
  </w:style>
  <w:style w:type="paragraph" w:styleId="Heading4">
    <w:name w:val="heading 4"/>
    <w:basedOn w:val="HeadingBase"/>
    <w:next w:val="BodyText"/>
    <w:link w:val="Heading4Char"/>
    <w:qFormat/>
    <w:rsid w:val="00D11AA9"/>
    <w:pPr>
      <w:spacing w:before="160" w:after="120"/>
      <w:outlineLvl w:val="3"/>
    </w:pPr>
    <w:rPr>
      <w:sz w:val="22"/>
    </w:rPr>
  </w:style>
  <w:style w:type="paragraph" w:styleId="Heading5">
    <w:name w:val="heading 5"/>
    <w:basedOn w:val="HeadingBase"/>
    <w:next w:val="Normal"/>
    <w:link w:val="Heading5Char"/>
    <w:qFormat/>
    <w:rsid w:val="00D11AA9"/>
    <w:pPr>
      <w:spacing w:before="80"/>
      <w:outlineLvl w:val="4"/>
    </w:pPr>
    <w:rPr>
      <w:color w:val="918585"/>
      <w:sz w:val="20"/>
    </w:rPr>
  </w:style>
  <w:style w:type="paragraph" w:styleId="Heading6">
    <w:name w:val="heading 6"/>
    <w:basedOn w:val="HeadingBase"/>
    <w:next w:val="Normal"/>
    <w:link w:val="Heading6Char"/>
    <w:qFormat/>
    <w:rsid w:val="00D11AA9"/>
    <w:pPr>
      <w:spacing w:before="60"/>
      <w:outlineLvl w:val="5"/>
    </w:pPr>
    <w:rPr>
      <w:color w:val="918585"/>
      <w:sz w:val="20"/>
    </w:rPr>
  </w:style>
  <w:style w:type="paragraph" w:styleId="Heading7">
    <w:name w:val="heading 7"/>
    <w:basedOn w:val="Normal"/>
    <w:next w:val="Normal"/>
    <w:link w:val="Heading7Char"/>
    <w:qFormat/>
    <w:rsid w:val="00D11AA9"/>
    <w:pPr>
      <w:ind w:left="720"/>
      <w:outlineLvl w:val="6"/>
    </w:pPr>
    <w:rPr>
      <w:i/>
    </w:rPr>
  </w:style>
  <w:style w:type="paragraph" w:styleId="Heading8">
    <w:name w:val="heading 8"/>
    <w:basedOn w:val="Normal"/>
    <w:next w:val="Normal"/>
    <w:link w:val="Heading8Char"/>
    <w:qFormat/>
    <w:rsid w:val="00D11AA9"/>
    <w:pPr>
      <w:ind w:left="720"/>
      <w:outlineLvl w:val="7"/>
    </w:pPr>
    <w:rPr>
      <w:i/>
    </w:rPr>
  </w:style>
  <w:style w:type="paragraph" w:styleId="Heading9">
    <w:name w:val="heading 9"/>
    <w:basedOn w:val="Normal"/>
    <w:next w:val="Normal"/>
    <w:link w:val="Heading9Char"/>
    <w:qFormat/>
    <w:rsid w:val="00D11AA9"/>
    <w:pPr>
      <w:ind w:left="720"/>
      <w:outlineLvl w:val="8"/>
    </w:pPr>
    <w:rPr>
      <w:i/>
    </w:rPr>
  </w:style>
  <w:style w:type="character" w:default="1" w:styleId="DefaultParagraphFont">
    <w:name w:val="Default Paragraph Font"/>
    <w:uiPriority w:val="1"/>
    <w:unhideWhenUsed/>
    <w:rsid w:val="00D11AA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1AA9"/>
  </w:style>
  <w:style w:type="character" w:customStyle="1" w:styleId="Heading1Char">
    <w:name w:val="Heading 1 Char"/>
    <w:link w:val="Heading1"/>
    <w:rsid w:val="00D11AA9"/>
    <w:rPr>
      <w:rFonts w:ascii="Times New Roman" w:eastAsia="Times New Roman" w:hAnsi="Times New Roman" w:cs="Times New Roman"/>
      <w:b/>
      <w:sz w:val="32"/>
      <w:szCs w:val="20"/>
      <w:lang w:eastAsia="en-US"/>
    </w:rPr>
  </w:style>
  <w:style w:type="paragraph" w:styleId="BodyText">
    <w:name w:val="Body Text"/>
    <w:basedOn w:val="Normal"/>
    <w:link w:val="BodyTextChar"/>
    <w:rsid w:val="00D11AA9"/>
    <w:pPr>
      <w:spacing w:before="120" w:after="120"/>
      <w:contextualSpacing/>
    </w:pPr>
    <w:rPr>
      <w:rFonts w:ascii="Times New Roman" w:hAnsi="Times New Roman"/>
      <w:sz w:val="24"/>
      <w:szCs w:val="22"/>
    </w:rPr>
  </w:style>
  <w:style w:type="character" w:customStyle="1" w:styleId="BodyTextChar">
    <w:name w:val="Body Text Char"/>
    <w:link w:val="BodyText"/>
    <w:rsid w:val="00D11AA9"/>
    <w:rPr>
      <w:rFonts w:ascii="Times New Roman" w:eastAsia="Times New Roman" w:hAnsi="Times New Roman" w:cs="Times New Roman"/>
      <w:sz w:val="24"/>
      <w:lang w:val="en-US" w:eastAsia="en-US"/>
    </w:rPr>
  </w:style>
  <w:style w:type="paragraph" w:styleId="Footer">
    <w:name w:val="footer"/>
    <w:basedOn w:val="Normal"/>
    <w:link w:val="FooterChar"/>
    <w:rsid w:val="00D11AA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11AA9"/>
    <w:rPr>
      <w:rFonts w:ascii="Times New Roman" w:eastAsia="Times New Roman" w:hAnsi="Times New Roman" w:cs="Times New Roman"/>
      <w:sz w:val="16"/>
      <w:lang w:val="en-US" w:eastAsia="en-US"/>
    </w:rPr>
  </w:style>
  <w:style w:type="paragraph" w:styleId="List">
    <w:name w:val="List"/>
    <w:basedOn w:val="BodyText"/>
    <w:next w:val="BodyText"/>
    <w:rsid w:val="00D11AA9"/>
    <w:pPr>
      <w:tabs>
        <w:tab w:val="left" w:pos="340"/>
      </w:tabs>
      <w:spacing w:before="60" w:after="60"/>
      <w:ind w:left="340" w:hanging="340"/>
    </w:pPr>
  </w:style>
  <w:style w:type="paragraph" w:styleId="ListBullet">
    <w:name w:val="List Bullet"/>
    <w:basedOn w:val="List"/>
    <w:rsid w:val="00D11AA9"/>
    <w:pPr>
      <w:numPr>
        <w:numId w:val="13"/>
      </w:numPr>
      <w:tabs>
        <w:tab w:val="clear" w:pos="340"/>
      </w:tabs>
      <w:spacing w:before="40" w:after="40"/>
    </w:pPr>
  </w:style>
  <w:style w:type="character" w:customStyle="1" w:styleId="SpecialBold">
    <w:name w:val="Special Bold"/>
    <w:rsid w:val="00D11AA9"/>
    <w:rPr>
      <w:b/>
      <w:spacing w:val="0"/>
    </w:rPr>
  </w:style>
  <w:style w:type="paragraph" w:styleId="ListBullet2">
    <w:name w:val="List Bullet 2"/>
    <w:basedOn w:val="List2"/>
    <w:rsid w:val="00D11AA9"/>
    <w:pPr>
      <w:numPr>
        <w:numId w:val="14"/>
      </w:numPr>
      <w:tabs>
        <w:tab w:val="clear" w:pos="680"/>
      </w:tabs>
    </w:pPr>
  </w:style>
  <w:style w:type="paragraph" w:styleId="Header">
    <w:name w:val="header"/>
    <w:basedOn w:val="Normal"/>
    <w:link w:val="HeaderChar"/>
    <w:rsid w:val="00D11AA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11AA9"/>
    <w:rPr>
      <w:rFonts w:ascii="Times New Roman" w:eastAsia="Times New Roman" w:hAnsi="Times New Roman" w:cs="Times New Roman"/>
      <w:sz w:val="16"/>
      <w:szCs w:val="20"/>
      <w:lang w:val="en-GB" w:eastAsia="en-US"/>
    </w:rPr>
  </w:style>
  <w:style w:type="character" w:styleId="Emphasis">
    <w:name w:val="Emphasis"/>
    <w:qFormat/>
    <w:rsid w:val="00D11AA9"/>
    <w:rPr>
      <w:i/>
    </w:rPr>
  </w:style>
  <w:style w:type="paragraph" w:customStyle="1" w:styleId="SuperHeading">
    <w:name w:val="SuperHeading"/>
    <w:basedOn w:val="Normal"/>
    <w:rsid w:val="00D11AA9"/>
    <w:pPr>
      <w:spacing w:before="240" w:after="120"/>
      <w:outlineLvl w:val="0"/>
    </w:pPr>
    <w:rPr>
      <w:rFonts w:ascii="Times New Roman" w:hAnsi="Times New Roman"/>
      <w:b/>
      <w:sz w:val="28"/>
    </w:rPr>
  </w:style>
  <w:style w:type="paragraph" w:customStyle="1" w:styleId="AllowPageBreak">
    <w:name w:val="AllowPageBreak"/>
    <w:rsid w:val="00D11AA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11AA9"/>
    <w:rPr>
      <w:b/>
      <w:i/>
      <w:u w:val="none"/>
    </w:rPr>
  </w:style>
  <w:style w:type="character" w:customStyle="1" w:styleId="Heading2Char">
    <w:name w:val="Heading 2 Char"/>
    <w:link w:val="Heading2"/>
    <w:rsid w:val="00D11AA9"/>
    <w:rPr>
      <w:rFonts w:ascii="Times New Roman" w:eastAsia="Times New Roman" w:hAnsi="Times New Roman" w:cs="Times New Roman"/>
      <w:b/>
      <w:sz w:val="28"/>
      <w:szCs w:val="40"/>
      <w:lang w:eastAsia="en-US"/>
    </w:rPr>
  </w:style>
  <w:style w:type="character" w:customStyle="1" w:styleId="Heading3Char">
    <w:name w:val="Heading 3 Char"/>
    <w:link w:val="Heading3"/>
    <w:rsid w:val="00D11AA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11AA9"/>
    <w:rPr>
      <w:rFonts w:ascii="Times New Roman" w:eastAsia="Times New Roman" w:hAnsi="Times New Roman" w:cs="Times New Roman"/>
      <w:b/>
      <w:szCs w:val="20"/>
      <w:lang w:eastAsia="en-US"/>
    </w:rPr>
  </w:style>
  <w:style w:type="character" w:customStyle="1" w:styleId="Heading5Char">
    <w:name w:val="Heading 5 Char"/>
    <w:link w:val="Heading5"/>
    <w:rsid w:val="00D11AA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11AA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1AA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11AA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11AA9"/>
    <w:rPr>
      <w:rFonts w:ascii="Courier New" w:eastAsia="Times New Roman" w:hAnsi="Courier New" w:cs="Times New Roman"/>
      <w:i/>
      <w:szCs w:val="20"/>
      <w:lang w:val="en-US" w:eastAsia="en-US"/>
    </w:rPr>
  </w:style>
  <w:style w:type="paragraph" w:customStyle="1" w:styleId="HeadingBase">
    <w:name w:val="Heading Base"/>
    <w:rsid w:val="00D11AA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1AA9"/>
    <w:pPr>
      <w:tabs>
        <w:tab w:val="right" w:leader="dot" w:pos="9072"/>
      </w:tabs>
      <w:ind w:left="567"/>
    </w:pPr>
    <w:rPr>
      <w:szCs w:val="22"/>
    </w:rPr>
  </w:style>
  <w:style w:type="paragraph" w:customStyle="1" w:styleId="TOCBase">
    <w:name w:val="TOC Base"/>
    <w:rsid w:val="00D11AA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1AA9"/>
    <w:pPr>
      <w:tabs>
        <w:tab w:val="right" w:leader="dot" w:pos="9072"/>
      </w:tabs>
      <w:spacing w:before="40" w:after="40"/>
      <w:ind w:left="284"/>
    </w:pPr>
    <w:rPr>
      <w:rFonts w:ascii="Times New Roman" w:hAnsi="Times New Roman"/>
    </w:rPr>
  </w:style>
  <w:style w:type="paragraph" w:styleId="TOC1">
    <w:name w:val="toc 1"/>
    <w:basedOn w:val="TOCBase"/>
    <w:next w:val="Normal"/>
    <w:rsid w:val="00D11AA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11AA9"/>
    <w:pPr>
      <w:spacing w:before="5040"/>
      <w:jc w:val="center"/>
    </w:pPr>
    <w:rPr>
      <w:sz w:val="48"/>
      <w:szCs w:val="72"/>
      <w:lang w:val="en-US"/>
    </w:rPr>
  </w:style>
  <w:style w:type="character" w:customStyle="1" w:styleId="TitleChar">
    <w:name w:val="Title Char"/>
    <w:link w:val="Title"/>
    <w:rsid w:val="00D11AA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1AA9"/>
    <w:pPr>
      <w:tabs>
        <w:tab w:val="left" w:pos="3600"/>
        <w:tab w:val="left" w:pos="3958"/>
      </w:tabs>
    </w:pPr>
  </w:style>
  <w:style w:type="paragraph" w:customStyle="1" w:styleId="Note">
    <w:name w:val="Note"/>
    <w:basedOn w:val="BodyText"/>
    <w:rsid w:val="00D11AA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1AA9"/>
    <w:pPr>
      <w:framePr w:wrap="auto" w:hAnchor="text" w:y="6049"/>
    </w:pPr>
    <w:rPr>
      <w:color w:val="000000"/>
      <w:sz w:val="40"/>
    </w:rPr>
  </w:style>
  <w:style w:type="paragraph" w:customStyle="1" w:styleId="TOCTitle">
    <w:name w:val="TOCTitle"/>
    <w:basedOn w:val="Heading1"/>
    <w:rsid w:val="00D11AA9"/>
    <w:pPr>
      <w:spacing w:after="240"/>
      <w:jc w:val="center"/>
      <w:outlineLvl w:val="9"/>
    </w:pPr>
    <w:rPr>
      <w:caps/>
    </w:rPr>
  </w:style>
  <w:style w:type="paragraph" w:customStyle="1" w:styleId="Version">
    <w:name w:val="Version"/>
    <w:rsid w:val="00D11AA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11AA9"/>
    <w:pPr>
      <w:keepNext w:val="0"/>
      <w:tabs>
        <w:tab w:val="right" w:pos="4176"/>
      </w:tabs>
      <w:ind w:left="198" w:hanging="198"/>
    </w:pPr>
    <w:rPr>
      <w:rFonts w:ascii="Garamond" w:hAnsi="Garamond"/>
    </w:rPr>
  </w:style>
  <w:style w:type="paragraph" w:styleId="IndexHeading">
    <w:name w:val="index heading"/>
    <w:basedOn w:val="Normal"/>
    <w:next w:val="Index1"/>
    <w:semiHidden/>
    <w:rsid w:val="00D11AA9"/>
    <w:pPr>
      <w:spacing w:before="120" w:after="120"/>
    </w:pPr>
    <w:rPr>
      <w:rFonts w:ascii="Arial" w:hAnsi="Arial"/>
      <w:b/>
      <w:color w:val="918585"/>
      <w:sz w:val="24"/>
    </w:rPr>
  </w:style>
  <w:style w:type="paragraph" w:customStyle="1" w:styleId="Chapter">
    <w:name w:val="Chapter"/>
    <w:basedOn w:val="Normal"/>
    <w:rsid w:val="00D11AA9"/>
    <w:pPr>
      <w:spacing w:before="240"/>
    </w:pPr>
    <w:rPr>
      <w:rFonts w:ascii="Times New Roman" w:hAnsi="Times New Roman"/>
      <w:smallCaps/>
      <w:spacing w:val="80"/>
      <w:sz w:val="28"/>
    </w:rPr>
  </w:style>
  <w:style w:type="paragraph" w:customStyle="1" w:styleId="InChapter">
    <w:name w:val="InChapter"/>
    <w:basedOn w:val="Heading3"/>
    <w:rsid w:val="00D11AA9"/>
    <w:pPr>
      <w:spacing w:after="240"/>
      <w:outlineLvl w:val="9"/>
    </w:pPr>
    <w:rPr>
      <w:noProof/>
    </w:rPr>
  </w:style>
  <w:style w:type="paragraph" w:styleId="Index2">
    <w:name w:val="index 2"/>
    <w:basedOn w:val="Normal"/>
    <w:next w:val="Normal"/>
    <w:semiHidden/>
    <w:rsid w:val="00D11AA9"/>
    <w:pPr>
      <w:tabs>
        <w:tab w:val="right" w:pos="4176"/>
      </w:tabs>
      <w:ind w:left="568" w:hanging="284"/>
    </w:pPr>
    <w:rPr>
      <w:rFonts w:ascii="Garamond" w:hAnsi="Garamond"/>
    </w:rPr>
  </w:style>
  <w:style w:type="paragraph" w:customStyle="1" w:styleId="Byline">
    <w:name w:val="Byline"/>
    <w:rsid w:val="00D11AA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1AA9"/>
    <w:pPr>
      <w:tabs>
        <w:tab w:val="clear" w:pos="3600"/>
        <w:tab w:val="clear" w:pos="3958"/>
      </w:tabs>
      <w:jc w:val="right"/>
    </w:pPr>
  </w:style>
  <w:style w:type="paragraph" w:styleId="Caption">
    <w:name w:val="caption"/>
    <w:basedOn w:val="BodyText"/>
    <w:next w:val="Normal"/>
    <w:qFormat/>
    <w:rsid w:val="00D11AA9"/>
    <w:pPr>
      <w:framePr w:w="2268" w:hSpace="181" w:vSpace="181" w:wrap="around" w:vAnchor="text" w:hAnchor="page" w:x="1135" w:y="285" w:anchorLock="1"/>
    </w:pPr>
    <w:rPr>
      <w:i/>
    </w:rPr>
  </w:style>
  <w:style w:type="paragraph" w:customStyle="1" w:styleId="MiniTOCTitle">
    <w:name w:val="MiniTOCTitle"/>
    <w:basedOn w:val="Heading4"/>
    <w:rsid w:val="00D11AA9"/>
    <w:pPr>
      <w:spacing w:before="240"/>
      <w:outlineLvl w:val="9"/>
    </w:pPr>
    <w:rPr>
      <w:noProof/>
      <w:sz w:val="24"/>
    </w:rPr>
  </w:style>
  <w:style w:type="paragraph" w:customStyle="1" w:styleId="MiniTOCItem">
    <w:name w:val="MiniTOCItem"/>
    <w:basedOn w:val="ListBullet"/>
    <w:rsid w:val="00D11AA9"/>
    <w:pPr>
      <w:numPr>
        <w:numId w:val="0"/>
      </w:numPr>
      <w:tabs>
        <w:tab w:val="right" w:leader="dot" w:pos="6521"/>
      </w:tabs>
      <w:spacing w:before="0" w:after="0"/>
    </w:pPr>
  </w:style>
  <w:style w:type="paragraph" w:customStyle="1" w:styleId="TOFTitle">
    <w:name w:val="TOFTitle"/>
    <w:basedOn w:val="TOCTitle"/>
    <w:rsid w:val="00D11AA9"/>
  </w:style>
  <w:style w:type="paragraph" w:styleId="TableofFigures">
    <w:name w:val="table of figures"/>
    <w:basedOn w:val="Normal"/>
    <w:next w:val="Normal"/>
    <w:semiHidden/>
    <w:rsid w:val="00D11AA9"/>
    <w:pPr>
      <w:tabs>
        <w:tab w:val="right" w:leader="dot" w:pos="9072"/>
      </w:tabs>
      <w:ind w:left="970" w:hanging="403"/>
    </w:pPr>
    <w:rPr>
      <w:rFonts w:ascii="Times New Roman" w:hAnsi="Times New Roman"/>
      <w:b/>
    </w:rPr>
  </w:style>
  <w:style w:type="paragraph" w:styleId="ListNumber">
    <w:name w:val="List Number"/>
    <w:basedOn w:val="List"/>
    <w:rsid w:val="00D11AA9"/>
    <w:pPr>
      <w:numPr>
        <w:numId w:val="11"/>
      </w:numPr>
    </w:pPr>
  </w:style>
  <w:style w:type="character" w:customStyle="1" w:styleId="WingdingSymbols">
    <w:name w:val="Wingding Symbols"/>
    <w:rsid w:val="00D11AA9"/>
    <w:rPr>
      <w:rFonts w:ascii="Wingdings" w:hAnsi="Wingdings"/>
    </w:rPr>
  </w:style>
  <w:style w:type="paragraph" w:customStyle="1" w:styleId="TableHeading">
    <w:name w:val="Table Heading"/>
    <w:basedOn w:val="HeadingBase"/>
    <w:rsid w:val="00D11AA9"/>
    <w:pPr>
      <w:keepLines/>
      <w:pBdr>
        <w:bottom w:val="single" w:sz="6" w:space="1" w:color="918585"/>
      </w:pBdr>
      <w:spacing w:before="240"/>
    </w:pPr>
  </w:style>
  <w:style w:type="character" w:customStyle="1" w:styleId="HotSpot">
    <w:name w:val="HotSpot"/>
    <w:rsid w:val="00D11AA9"/>
    <w:rPr>
      <w:color w:val="0033CC"/>
      <w:u w:val="none"/>
    </w:rPr>
  </w:style>
  <w:style w:type="paragraph" w:customStyle="1" w:styleId="BodyTextRight">
    <w:name w:val="Body Text Right"/>
    <w:basedOn w:val="BodyText"/>
    <w:rsid w:val="00D11AA9"/>
    <w:pPr>
      <w:spacing w:before="0" w:after="0"/>
      <w:jc w:val="right"/>
    </w:pPr>
  </w:style>
  <w:style w:type="paragraph" w:styleId="Index3">
    <w:name w:val="index 3"/>
    <w:basedOn w:val="ListNumber2"/>
    <w:next w:val="Normal"/>
    <w:semiHidden/>
    <w:rsid w:val="00D11AA9"/>
    <w:pPr>
      <w:numPr>
        <w:numId w:val="0"/>
      </w:numPr>
      <w:tabs>
        <w:tab w:val="right" w:leader="dot" w:pos="4176"/>
      </w:tabs>
    </w:pPr>
  </w:style>
  <w:style w:type="paragraph" w:styleId="ListNumber2">
    <w:name w:val="List Number 2"/>
    <w:basedOn w:val="List2"/>
    <w:rsid w:val="00D11AA9"/>
    <w:pPr>
      <w:numPr>
        <w:numId w:val="10"/>
      </w:numPr>
      <w:tabs>
        <w:tab w:val="clear" w:pos="1060"/>
      </w:tabs>
    </w:pPr>
  </w:style>
  <w:style w:type="paragraph" w:customStyle="1" w:styleId="MarginNote">
    <w:name w:val="Margin Note"/>
    <w:basedOn w:val="BodyText"/>
    <w:rsid w:val="00D11AA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1AA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11AA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11AA9"/>
    <w:rPr>
      <w:sz w:val="32"/>
    </w:rPr>
  </w:style>
  <w:style w:type="paragraph" w:customStyle="1" w:styleId="HeadingProcedure">
    <w:name w:val="Heading Procedure"/>
    <w:basedOn w:val="HeadingBase"/>
    <w:next w:val="Normal"/>
    <w:rsid w:val="00D11AA9"/>
    <w:pPr>
      <w:tabs>
        <w:tab w:val="left" w:pos="0"/>
      </w:tabs>
      <w:spacing w:before="120" w:after="60"/>
    </w:pPr>
    <w:rPr>
      <w:i/>
      <w:color w:val="918585"/>
      <w:sz w:val="22"/>
    </w:rPr>
  </w:style>
  <w:style w:type="paragraph" w:customStyle="1" w:styleId="TableBodyText">
    <w:name w:val="Table Body Text"/>
    <w:basedOn w:val="BodyText"/>
    <w:rsid w:val="00D11AA9"/>
    <w:pPr>
      <w:spacing w:before="60" w:after="60"/>
    </w:pPr>
  </w:style>
  <w:style w:type="paragraph" w:styleId="ListContinue">
    <w:name w:val="List Continue"/>
    <w:basedOn w:val="List"/>
    <w:rsid w:val="00D11AA9"/>
    <w:pPr>
      <w:ind w:firstLine="0"/>
    </w:pPr>
  </w:style>
  <w:style w:type="paragraph" w:customStyle="1" w:styleId="ListNote">
    <w:name w:val="List Note"/>
    <w:basedOn w:val="List"/>
    <w:rsid w:val="00D11AA9"/>
    <w:pPr>
      <w:pBdr>
        <w:top w:val="single" w:sz="6" w:space="2" w:color="918585"/>
        <w:bottom w:val="single" w:sz="6" w:space="2" w:color="918585"/>
      </w:pBdr>
      <w:tabs>
        <w:tab w:val="left" w:pos="1021"/>
      </w:tabs>
      <w:ind w:firstLine="0"/>
    </w:pPr>
  </w:style>
  <w:style w:type="paragraph" w:customStyle="1" w:styleId="Warning">
    <w:name w:val="Warning"/>
    <w:basedOn w:val="BodyText"/>
    <w:rsid w:val="00D11AA9"/>
    <w:pPr>
      <w:shd w:val="clear" w:color="auto" w:fill="D9D9D9"/>
      <w:tabs>
        <w:tab w:val="left" w:pos="992"/>
      </w:tabs>
      <w:ind w:left="119" w:right="119"/>
    </w:pPr>
    <w:rPr>
      <w:sz w:val="20"/>
    </w:rPr>
  </w:style>
  <w:style w:type="paragraph" w:customStyle="1" w:styleId="MarginIcons">
    <w:name w:val="Margin Icons"/>
    <w:basedOn w:val="BodyText"/>
    <w:rsid w:val="00D11AA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11AA9"/>
    <w:rPr>
      <w:rFonts w:ascii="Courier New" w:hAnsi="Courier New"/>
    </w:rPr>
  </w:style>
  <w:style w:type="paragraph" w:customStyle="1" w:styleId="NoteBullet">
    <w:name w:val="Note Bullet"/>
    <w:basedOn w:val="Note"/>
    <w:rsid w:val="00D11AA9"/>
    <w:pPr>
      <w:tabs>
        <w:tab w:val="clear" w:pos="680"/>
      </w:tabs>
      <w:spacing w:before="60" w:after="60"/>
    </w:pPr>
  </w:style>
  <w:style w:type="paragraph" w:customStyle="1" w:styleId="SubHeading2">
    <w:name w:val="SubHeading2"/>
    <w:basedOn w:val="HeadingBase"/>
    <w:rsid w:val="00D11AA9"/>
    <w:pPr>
      <w:spacing w:before="240" w:after="60"/>
    </w:pPr>
    <w:rPr>
      <w:sz w:val="20"/>
    </w:rPr>
  </w:style>
  <w:style w:type="paragraph" w:customStyle="1" w:styleId="SubHeading1">
    <w:name w:val="SubHeading1"/>
    <w:basedOn w:val="HeadingBase"/>
    <w:rsid w:val="00D11AA9"/>
    <w:pPr>
      <w:spacing w:before="240" w:after="60"/>
    </w:pPr>
    <w:rPr>
      <w:color w:val="918585"/>
      <w:sz w:val="22"/>
    </w:rPr>
  </w:style>
  <w:style w:type="paragraph" w:customStyle="1" w:styleId="SideHeading">
    <w:name w:val="Side Heading"/>
    <w:basedOn w:val="HeadingBase"/>
    <w:rsid w:val="00D11AA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1AA9"/>
    <w:pPr>
      <w:numPr>
        <w:numId w:val="12"/>
      </w:numPr>
    </w:pPr>
  </w:style>
  <w:style w:type="paragraph" w:styleId="PlainText">
    <w:name w:val="Plain Text"/>
    <w:basedOn w:val="Normal"/>
    <w:link w:val="PlainTextChar"/>
    <w:rsid w:val="00D11AA9"/>
    <w:rPr>
      <w:sz w:val="20"/>
    </w:rPr>
  </w:style>
  <w:style w:type="character" w:customStyle="1" w:styleId="PlainTextChar">
    <w:name w:val="Plain Text Char"/>
    <w:basedOn w:val="DefaultParagraphFont"/>
    <w:link w:val="PlainText"/>
    <w:rsid w:val="00D11AA9"/>
    <w:rPr>
      <w:rFonts w:ascii="Courier New" w:eastAsia="Times New Roman" w:hAnsi="Courier New" w:cs="Times New Roman"/>
      <w:sz w:val="20"/>
      <w:szCs w:val="20"/>
      <w:lang w:val="en-US" w:eastAsia="en-US"/>
    </w:rPr>
  </w:style>
  <w:style w:type="character" w:customStyle="1" w:styleId="MenuOption">
    <w:name w:val="Menu Option"/>
    <w:rsid w:val="00D11AA9"/>
    <w:rPr>
      <w:b/>
      <w:smallCaps/>
    </w:rPr>
  </w:style>
  <w:style w:type="paragraph" w:customStyle="1" w:styleId="TableListNumber">
    <w:name w:val="Table List Number"/>
    <w:basedOn w:val="ListNumber"/>
    <w:rsid w:val="00D11AA9"/>
    <w:pPr>
      <w:numPr>
        <w:numId w:val="0"/>
      </w:numPr>
    </w:pPr>
  </w:style>
  <w:style w:type="paragraph" w:styleId="TOC4">
    <w:name w:val="toc 4"/>
    <w:basedOn w:val="TOCBase"/>
    <w:next w:val="Normal"/>
    <w:semiHidden/>
    <w:rsid w:val="00D11AA9"/>
    <w:pPr>
      <w:tabs>
        <w:tab w:val="right" w:leader="dot" w:pos="9071"/>
      </w:tabs>
      <w:ind w:left="1701"/>
    </w:pPr>
  </w:style>
  <w:style w:type="paragraph" w:customStyle="1" w:styleId="ListAlpha">
    <w:name w:val="List Alpha"/>
    <w:basedOn w:val="List"/>
    <w:rsid w:val="00D11AA9"/>
    <w:pPr>
      <w:numPr>
        <w:numId w:val="9"/>
      </w:numPr>
    </w:pPr>
  </w:style>
  <w:style w:type="paragraph" w:customStyle="1" w:styleId="ListAlpha2">
    <w:name w:val="List Alpha 2"/>
    <w:basedOn w:val="List2"/>
    <w:rsid w:val="00D11AA9"/>
    <w:pPr>
      <w:numPr>
        <w:numId w:val="8"/>
      </w:numPr>
    </w:pPr>
  </w:style>
  <w:style w:type="paragraph" w:styleId="List2">
    <w:name w:val="List 2"/>
    <w:basedOn w:val="BodyText"/>
    <w:rsid w:val="00D11AA9"/>
    <w:pPr>
      <w:tabs>
        <w:tab w:val="left" w:pos="680"/>
      </w:tabs>
      <w:spacing w:before="60" w:after="60"/>
      <w:ind w:left="680" w:hanging="340"/>
    </w:pPr>
  </w:style>
  <w:style w:type="paragraph" w:styleId="List3">
    <w:name w:val="List 3"/>
    <w:basedOn w:val="BodyText"/>
    <w:rsid w:val="00D11AA9"/>
    <w:pPr>
      <w:tabs>
        <w:tab w:val="left" w:pos="1021"/>
      </w:tabs>
      <w:spacing w:before="60" w:after="60"/>
      <w:ind w:left="1020" w:hanging="340"/>
    </w:pPr>
  </w:style>
  <w:style w:type="paragraph" w:styleId="List4">
    <w:name w:val="List 4"/>
    <w:basedOn w:val="BodyText"/>
    <w:rsid w:val="00D11AA9"/>
    <w:pPr>
      <w:tabs>
        <w:tab w:val="left" w:pos="1361"/>
      </w:tabs>
      <w:spacing w:before="60" w:after="60"/>
      <w:ind w:left="1361" w:hanging="340"/>
    </w:pPr>
  </w:style>
  <w:style w:type="paragraph" w:styleId="List5">
    <w:name w:val="List 5"/>
    <w:basedOn w:val="BodyText"/>
    <w:rsid w:val="00D11AA9"/>
    <w:pPr>
      <w:tabs>
        <w:tab w:val="left" w:pos="1701"/>
      </w:tabs>
      <w:spacing w:before="60" w:after="60"/>
      <w:ind w:left="1701" w:hanging="340"/>
    </w:pPr>
  </w:style>
  <w:style w:type="paragraph" w:styleId="ListBullet3">
    <w:name w:val="List Bullet 3"/>
    <w:basedOn w:val="List3"/>
    <w:rsid w:val="00D11AA9"/>
    <w:pPr>
      <w:numPr>
        <w:numId w:val="15"/>
      </w:numPr>
      <w:tabs>
        <w:tab w:val="clear" w:pos="1021"/>
      </w:tabs>
      <w:ind w:left="1037" w:hanging="357"/>
    </w:pPr>
  </w:style>
  <w:style w:type="paragraph" w:styleId="ListBullet4">
    <w:name w:val="List Bullet 4"/>
    <w:basedOn w:val="List4"/>
    <w:rsid w:val="00D11AA9"/>
    <w:pPr>
      <w:numPr>
        <w:numId w:val="3"/>
      </w:numPr>
    </w:pPr>
  </w:style>
  <w:style w:type="paragraph" w:styleId="ListBullet5">
    <w:name w:val="List Bullet 5"/>
    <w:basedOn w:val="List5"/>
    <w:rsid w:val="00D11AA9"/>
    <w:pPr>
      <w:numPr>
        <w:numId w:val="4"/>
      </w:numPr>
    </w:pPr>
  </w:style>
  <w:style w:type="paragraph" w:styleId="ListContinue2">
    <w:name w:val="List Continue 2"/>
    <w:basedOn w:val="List2"/>
    <w:rsid w:val="00D11AA9"/>
    <w:pPr>
      <w:ind w:firstLine="0"/>
    </w:pPr>
  </w:style>
  <w:style w:type="paragraph" w:styleId="ListContinue3">
    <w:name w:val="List Continue 3"/>
    <w:basedOn w:val="List3"/>
    <w:rsid w:val="00D11AA9"/>
    <w:pPr>
      <w:ind w:left="1021" w:firstLine="0"/>
    </w:pPr>
  </w:style>
  <w:style w:type="paragraph" w:styleId="ListContinue4">
    <w:name w:val="List Continue 4"/>
    <w:basedOn w:val="List4"/>
    <w:rsid w:val="00D11AA9"/>
    <w:pPr>
      <w:ind w:firstLine="0"/>
    </w:pPr>
  </w:style>
  <w:style w:type="paragraph" w:styleId="ListContinue5">
    <w:name w:val="List Continue 5"/>
    <w:basedOn w:val="List5"/>
    <w:rsid w:val="00D11AA9"/>
    <w:pPr>
      <w:ind w:firstLine="0"/>
    </w:pPr>
  </w:style>
  <w:style w:type="paragraph" w:styleId="ListNumber3">
    <w:name w:val="List Number 3"/>
    <w:basedOn w:val="List3"/>
    <w:rsid w:val="00D11AA9"/>
    <w:pPr>
      <w:numPr>
        <w:numId w:val="5"/>
      </w:numPr>
    </w:pPr>
  </w:style>
  <w:style w:type="paragraph" w:styleId="ListNumber4">
    <w:name w:val="List Number 4"/>
    <w:basedOn w:val="List4"/>
    <w:rsid w:val="00D11AA9"/>
    <w:pPr>
      <w:numPr>
        <w:numId w:val="6"/>
      </w:numPr>
    </w:pPr>
  </w:style>
  <w:style w:type="paragraph" w:styleId="ListNumber5">
    <w:name w:val="List Number 5"/>
    <w:basedOn w:val="List5"/>
    <w:rsid w:val="00D11AA9"/>
    <w:pPr>
      <w:numPr>
        <w:numId w:val="7"/>
      </w:numPr>
    </w:pPr>
  </w:style>
  <w:style w:type="paragraph" w:styleId="BlockText">
    <w:name w:val="Block Text"/>
    <w:basedOn w:val="Normal"/>
    <w:rsid w:val="00D11AA9"/>
    <w:pPr>
      <w:spacing w:after="120"/>
      <w:ind w:left="1440" w:right="1440"/>
    </w:pPr>
  </w:style>
  <w:style w:type="character" w:customStyle="1" w:styleId="Subscript">
    <w:name w:val="Subscript"/>
    <w:rsid w:val="00D11AA9"/>
    <w:rPr>
      <w:sz w:val="16"/>
      <w:vertAlign w:val="subscript"/>
    </w:rPr>
  </w:style>
  <w:style w:type="character" w:customStyle="1" w:styleId="Superscript">
    <w:name w:val="Superscript"/>
    <w:rsid w:val="00D11AA9"/>
    <w:rPr>
      <w:sz w:val="16"/>
      <w:vertAlign w:val="superscript"/>
    </w:rPr>
  </w:style>
  <w:style w:type="character" w:customStyle="1" w:styleId="Symbols">
    <w:name w:val="Symbols"/>
    <w:rsid w:val="00D11AA9"/>
    <w:rPr>
      <w:rFonts w:ascii="Symbol" w:hAnsi="Symbol"/>
    </w:rPr>
  </w:style>
  <w:style w:type="character" w:customStyle="1" w:styleId="MenuOptions">
    <w:name w:val="Menu Options"/>
    <w:rsid w:val="00D11AA9"/>
    <w:rPr>
      <w:rFonts w:ascii="Arial Narrow" w:hAnsi="Arial Narrow"/>
      <w:smallCaps/>
    </w:rPr>
  </w:style>
  <w:style w:type="character" w:customStyle="1" w:styleId="Buttons">
    <w:name w:val="Buttons"/>
    <w:rsid w:val="00D11AA9"/>
    <w:rPr>
      <w:b/>
    </w:rPr>
  </w:style>
  <w:style w:type="character" w:customStyle="1" w:styleId="Underlined">
    <w:name w:val="Underlined"/>
    <w:rsid w:val="00D11AA9"/>
    <w:rPr>
      <w:u w:val="single"/>
    </w:rPr>
  </w:style>
  <w:style w:type="paragraph" w:customStyle="1" w:styleId="TableBodyTextRight">
    <w:name w:val="Table Body Text Right"/>
    <w:basedOn w:val="TableBodyText"/>
    <w:rsid w:val="00D11AA9"/>
    <w:pPr>
      <w:widowControl w:val="0"/>
      <w:autoSpaceDE w:val="0"/>
      <w:autoSpaceDN w:val="0"/>
      <w:adjustRightInd w:val="0"/>
      <w:jc w:val="right"/>
    </w:pPr>
    <w:rPr>
      <w:rFonts w:cs="Arial"/>
      <w:szCs w:val="18"/>
    </w:rPr>
  </w:style>
  <w:style w:type="paragraph" w:customStyle="1" w:styleId="CopyrightText">
    <w:name w:val="Copyright Text"/>
    <w:basedOn w:val="BodyText"/>
    <w:rsid w:val="00D11AA9"/>
    <w:rPr>
      <w:sz w:val="18"/>
    </w:rPr>
  </w:style>
  <w:style w:type="paragraph" w:customStyle="1" w:styleId="BodySmallRight">
    <w:name w:val="Body Small Right"/>
    <w:basedOn w:val="BodyTextRight"/>
    <w:rsid w:val="00D11AA9"/>
    <w:rPr>
      <w:sz w:val="18"/>
      <w:szCs w:val="18"/>
    </w:rPr>
  </w:style>
  <w:style w:type="paragraph" w:customStyle="1" w:styleId="MarginEdition">
    <w:name w:val="Margin Edition"/>
    <w:basedOn w:val="MarginNote"/>
    <w:rsid w:val="00D11AA9"/>
    <w:pPr>
      <w:spacing w:before="0" w:after="0"/>
    </w:pPr>
    <w:rPr>
      <w:rFonts w:ascii="Times New Roman" w:hAnsi="Times New Roman"/>
      <w:color w:val="999999"/>
    </w:rPr>
  </w:style>
  <w:style w:type="paragraph" w:customStyle="1" w:styleId="Spacer">
    <w:name w:val="Spacer"/>
    <w:basedOn w:val="Normal"/>
    <w:rsid w:val="00D11AA9"/>
    <w:rPr>
      <w:sz w:val="2"/>
      <w:szCs w:val="2"/>
    </w:rPr>
  </w:style>
  <w:style w:type="character" w:customStyle="1" w:styleId="Small">
    <w:name w:val="Small"/>
    <w:rsid w:val="00D11AA9"/>
    <w:rPr>
      <w:sz w:val="16"/>
    </w:rPr>
  </w:style>
  <w:style w:type="paragraph" w:customStyle="1" w:styleId="WideTable">
    <w:name w:val="Wide Table"/>
    <w:basedOn w:val="Normal"/>
    <w:rsid w:val="00D11AA9"/>
    <w:pPr>
      <w:ind w:left="-1418"/>
    </w:pPr>
    <w:rPr>
      <w:sz w:val="2"/>
      <w:szCs w:val="2"/>
    </w:rPr>
  </w:style>
  <w:style w:type="character" w:styleId="PageNumber">
    <w:name w:val="page number"/>
    <w:rsid w:val="00D11AA9"/>
  </w:style>
  <w:style w:type="paragraph" w:styleId="Quote">
    <w:name w:val="Quote"/>
    <w:basedOn w:val="Heading1"/>
    <w:link w:val="QuoteChar"/>
    <w:qFormat/>
    <w:rsid w:val="00D11AA9"/>
    <w:rPr>
      <w:b w:val="0"/>
      <w:sz w:val="72"/>
      <w:szCs w:val="72"/>
      <w:lang w:val="en-NZ"/>
    </w:rPr>
  </w:style>
  <w:style w:type="character" w:customStyle="1" w:styleId="QuoteChar">
    <w:name w:val="Quote Char"/>
    <w:link w:val="Quote"/>
    <w:rsid w:val="00D11AA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1AA9"/>
    <w:pPr>
      <w:pageBreakBefore/>
    </w:pPr>
  </w:style>
  <w:style w:type="paragraph" w:customStyle="1" w:styleId="Border">
    <w:name w:val="Border"/>
    <w:basedOn w:val="Normal"/>
    <w:qFormat/>
    <w:rsid w:val="00D11AA9"/>
    <w:pPr>
      <w:pBdr>
        <w:top w:val="single" w:sz="18" w:space="1" w:color="auto"/>
      </w:pBdr>
    </w:pPr>
    <w:rPr>
      <w:rFonts w:ascii="Times New Roman" w:hAnsi="Times New Roman"/>
      <w:color w:val="FFFFFF"/>
      <w:sz w:val="2"/>
    </w:rPr>
  </w:style>
  <w:style w:type="character" w:styleId="IntenseEmphasis">
    <w:name w:val="Intense Emphasis"/>
    <w:uiPriority w:val="21"/>
    <w:qFormat/>
    <w:rsid w:val="00D11AA9"/>
    <w:rPr>
      <w:b/>
      <w:bCs/>
      <w:i/>
      <w:iCs/>
      <w:color w:val="auto"/>
    </w:rPr>
  </w:style>
  <w:style w:type="paragraph" w:styleId="IntenseQuote">
    <w:name w:val="Intense Quote"/>
    <w:basedOn w:val="Normal"/>
    <w:next w:val="Normal"/>
    <w:link w:val="IntenseQuoteChar"/>
    <w:uiPriority w:val="30"/>
    <w:qFormat/>
    <w:rsid w:val="00D11AA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11AA9"/>
    <w:rPr>
      <w:rFonts w:ascii="Courier New" w:eastAsia="Times New Roman" w:hAnsi="Courier New" w:cs="Times New Roman"/>
      <w:b/>
      <w:bCs/>
      <w:i/>
      <w:iCs/>
      <w:szCs w:val="20"/>
      <w:lang w:val="en-US" w:eastAsia="en-US"/>
    </w:rPr>
  </w:style>
  <w:style w:type="character" w:styleId="SubtleReference">
    <w:name w:val="Subtle Reference"/>
    <w:uiPriority w:val="31"/>
    <w:qFormat/>
    <w:rsid w:val="00D11AA9"/>
    <w:rPr>
      <w:smallCaps/>
      <w:color w:val="auto"/>
      <w:u w:val="single"/>
    </w:rPr>
  </w:style>
  <w:style w:type="character" w:styleId="IntenseReference">
    <w:name w:val="Intense Reference"/>
    <w:uiPriority w:val="32"/>
    <w:qFormat/>
    <w:rsid w:val="00D11AA9"/>
    <w:rPr>
      <w:b/>
      <w:bCs/>
      <w:smallCaps/>
      <w:color w:val="auto"/>
      <w:spacing w:val="5"/>
      <w:u w:val="single"/>
    </w:rPr>
  </w:style>
  <w:style w:type="paragraph" w:customStyle="1" w:styleId="2ColumnHeading">
    <w:name w:val="2Column Heading"/>
    <w:basedOn w:val="BodyText"/>
    <w:qFormat/>
    <w:rsid w:val="00D11AA9"/>
    <w:pPr>
      <w:spacing w:after="60"/>
      <w:ind w:left="-2268"/>
    </w:pPr>
    <w:rPr>
      <w:b/>
    </w:rPr>
  </w:style>
  <w:style w:type="paragraph" w:customStyle="1" w:styleId="Heading1TOC">
    <w:name w:val="Heading1 TOC"/>
    <w:basedOn w:val="Normal"/>
    <w:qFormat/>
    <w:rsid w:val="00D11AA9"/>
    <w:pPr>
      <w:spacing w:before="240" w:after="120"/>
    </w:pPr>
    <w:rPr>
      <w:rFonts w:ascii="Times New Roman" w:hAnsi="Times New Roman"/>
      <w:b/>
      <w:sz w:val="32"/>
    </w:rPr>
  </w:style>
  <w:style w:type="paragraph" w:customStyle="1" w:styleId="Heading2TOC">
    <w:name w:val="Heading2 TOC"/>
    <w:basedOn w:val="Normal"/>
    <w:qFormat/>
    <w:rsid w:val="00D11AA9"/>
    <w:pPr>
      <w:spacing w:before="240" w:after="60"/>
    </w:pPr>
    <w:rPr>
      <w:rFonts w:ascii="Times New Roman" w:hAnsi="Times New Roman"/>
      <w:b/>
      <w:sz w:val="28"/>
    </w:rPr>
  </w:style>
  <w:style w:type="character" w:customStyle="1" w:styleId="Underline">
    <w:name w:val="Underline"/>
    <w:qFormat/>
    <w:rsid w:val="00D11AA9"/>
    <w:rPr>
      <w:u w:val="single"/>
    </w:rPr>
  </w:style>
  <w:style w:type="paragraph" w:styleId="BalloonText">
    <w:name w:val="Balloon Text"/>
    <w:basedOn w:val="Normal"/>
    <w:link w:val="BalloonTextChar"/>
    <w:rsid w:val="00D11AA9"/>
    <w:rPr>
      <w:rFonts w:ascii="Tahoma" w:hAnsi="Tahoma" w:cs="Tahoma"/>
      <w:sz w:val="16"/>
      <w:szCs w:val="16"/>
    </w:rPr>
  </w:style>
  <w:style w:type="character" w:customStyle="1" w:styleId="BalloonTextChar">
    <w:name w:val="Balloon Text Char"/>
    <w:link w:val="BalloonText"/>
    <w:rsid w:val="00D11AA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11AA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11AA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20471F04.dotm</Template>
  <TotalTime>0</TotalTime>
  <Pages>8</Pages>
  <Words>1427</Words>
  <Characters>8828</Characters>
  <Application>Microsoft Office Word</Application>
  <DocSecurity>0</DocSecurity>
  <Lines>370</Lines>
  <Paragraphs>216</Paragraphs>
  <ScaleCrop>false</ScaleCrop>
  <Company>Author-it Software Corporation Ltd.</Company>
  <LinksUpToDate>false</LinksUpToDate>
  <CharactersWithSpaces>10186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HLTMT514C Procure and store tissues</dc:title>
  <dc:subject>Approved</dc:subject>
  <dc:creator>Community Services and Health Industry Skills Council</dc:creator>
  <cp:keywords>Release: 1</cp:keywords>
  <dc:description>Copyright © 1996-2007 Author-it Software Corporation Ltd., all rights reserved.</dc:description>
  <cp:lastModifiedBy>Narendra Tomar</cp:lastModifiedBy>
  <cp:revision>3</cp:revision>
  <dcterms:created xsi:type="dcterms:W3CDTF">2012-05-27T00:35:00Z</dcterms:created>
  <dcterms:modified xsi:type="dcterms:W3CDTF">2012-05-27T00:35:00Z</dcterms:modified>
</cp:coreProperties>
</file>