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76F2" w:rsidP="00B976F2">
      <w:pPr>
        <w:pStyle w:val="Title"/>
      </w:pPr>
      <w:r>
        <w:fldChar w:fldCharType="begin"/>
      </w:r>
      <w:r>
        <w:instrText xml:space="preserve"> TITLE   \* MERGEFORMAT </w:instrText>
      </w:r>
      <w:r>
        <w:fldChar w:fldCharType="separate"/>
      </w:r>
      <w:r>
        <w:t>HLTMT411C Screen tissue donors</w:t>
      </w:r>
      <w:r>
        <w:fldChar w:fldCharType="end"/>
      </w:r>
    </w:p>
    <w:p w:rsidR="00B976F2" w:rsidP="00B976F2">
      <w:pPr>
        <w:pStyle w:val="Version"/>
        <w:sectPr w:rsidSect="00D6090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60908" w:rsidP="00D60908">
      <w:pPr>
        <w:pStyle w:val="SuperHeading"/>
      </w:pPr>
      <w:r w:rsidRPr="00D60908">
        <w:t>HLTMT411C Screen tissue donors</w:t>
      </w:r>
    </w:p>
    <w:p w:rsidR="00000000" w:rsidRPr="00D60908" w:rsidP="00D60908">
      <w:pPr>
        <w:pStyle w:val="Heading1"/>
      </w:pPr>
      <w:bookmarkStart w:id="1" w:name="O_433718"/>
      <w:bookmarkEnd w:id="1"/>
      <w:r w:rsidRPr="00D60908">
        <w:t>Modification History</w:t>
      </w:r>
    </w:p>
    <w:tbl>
      <w:tblPr>
        <w:tblW w:w="0" w:type="auto"/>
        <w:tblCellMar>
          <w:left w:w="62" w:type="dxa"/>
          <w:right w:w="62" w:type="dxa"/>
        </w:tblCellMar>
        <w:tblLook w:val="0000"/>
      </w:tblPr>
      <w:tblGrid>
        <w:gridCol w:w="2335"/>
        <w:gridCol w:w="2853"/>
        <w:gridCol w:w="4008"/>
      </w:tblGrid>
      <w:tr w:rsidTr="00B97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0908">
            <w:pPr>
              <w:pStyle w:val="BodyText"/>
              <w:rPr>
                <w:lang w:val="en-NZ"/>
              </w:rPr>
            </w:pPr>
            <w:r w:rsidRPr="00D60908">
              <w:t>HLT07 Version 4</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0908">
            <w:pPr>
              <w:pStyle w:val="BodyText"/>
              <w:rPr>
                <w:lang w:val="en-NZ"/>
              </w:rPr>
            </w:pPr>
            <w:r w:rsidRPr="00D60908">
              <w:t>HLT07 Version 5</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0908">
            <w:pPr>
              <w:pStyle w:val="BodyText"/>
              <w:rPr>
                <w:lang w:val="en-NZ"/>
              </w:rPr>
            </w:pPr>
            <w:r w:rsidRPr="00D60908">
              <w:t>Comments</w:t>
            </w:r>
          </w:p>
        </w:tc>
      </w:tr>
      <w:tr w:rsidTr="00B976F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0908">
            <w:pPr>
              <w:pStyle w:val="BodyText"/>
              <w:rPr>
                <w:lang w:val="en-NZ"/>
              </w:rPr>
            </w:pPr>
            <w:r w:rsidRPr="00D60908">
              <w:t>HLTMT411B Screen tissue donors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60908">
            <w:pPr>
              <w:pStyle w:val="BodyText"/>
              <w:rPr>
                <w:lang w:val="en-NZ"/>
              </w:rPr>
            </w:pPr>
            <w:r w:rsidRPr="00D60908">
              <w:t>HLTMT411C Screen tissue donors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60908" w:rsidP="00D60908">
            <w:pPr>
              <w:pStyle w:val="BodyText"/>
            </w:pPr>
            <w:r w:rsidRPr="00D60908">
              <w:t>ISC upgrade changes to remove references to old OHS legislation and replace with references to new WHS legislation. No change to competency outcome.</w:t>
            </w:r>
          </w:p>
        </w:tc>
      </w:tr>
    </w:tbl>
    <w:p w:rsidR="00000000" w:rsidRPr="00D60908" w:rsidP="00D60908">
      <w:pPr>
        <w:pStyle w:val="BodyText"/>
      </w:pPr>
    </w:p>
    <w:p w:rsidR="00000000" w:rsidRPr="00D60908" w:rsidP="00D60908">
      <w:pPr>
        <w:pStyle w:val="AllowPageBreak"/>
      </w:pPr>
    </w:p>
    <w:p w:rsidR="00000000" w:rsidRPr="00D60908" w:rsidP="00D60908">
      <w:pPr>
        <w:pStyle w:val="Heading1"/>
      </w:pPr>
      <w:bookmarkStart w:id="2" w:name="O_433715"/>
      <w:bookmarkEnd w:id="2"/>
      <w:r w:rsidRPr="00D60908">
        <w:t>Unit Descriptor</w:t>
      </w:r>
    </w:p>
    <w:tbl>
      <w:tblPr>
        <w:tblW w:w="0" w:type="auto"/>
        <w:tblLayout w:type="fixed"/>
        <w:tblCellMar>
          <w:left w:w="62" w:type="dxa"/>
          <w:right w:w="62" w:type="dxa"/>
        </w:tblCellMar>
        <w:tblLook w:val="0000"/>
      </w:tblPr>
      <w:tblGrid>
        <w:gridCol w:w="3336"/>
        <w:gridCol w:w="5220"/>
      </w:tblGrid>
      <w:tr w:rsidTr="00B976F2">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t>This unit of competency describes the skills and knowledge re</w:t>
            </w:r>
            <w:r w:rsidRPr="00D60908">
              <w:t>quired to select suitable cadaveric donors for bone, eye, skin and heart valve tissues and notifying the donor co-ordinator for transplantation of research</w:t>
            </w:r>
          </w:p>
        </w:tc>
      </w:tr>
    </w:tbl>
    <w:p w:rsidR="00B976F2" w:rsidP="00D60908">
      <w:pPr>
        <w:pStyle w:val="BodyText"/>
      </w:pPr>
    </w:p>
    <w:p w:rsidR="00B976F2" w:rsidP="00D60908">
      <w:pPr>
        <w:pStyle w:val="BodyText"/>
      </w:pPr>
    </w:p>
    <w:p w:rsidR="00000000" w:rsidRPr="00D60908" w:rsidP="00D60908">
      <w:pPr>
        <w:pStyle w:val="Heading1"/>
      </w:pPr>
      <w:bookmarkStart w:id="3" w:name="O_433705"/>
      <w:bookmarkEnd w:id="3"/>
      <w:r w:rsidRPr="00D60908">
        <w:t>Application of the Unit</w:t>
      </w:r>
    </w:p>
    <w:tbl>
      <w:tblPr>
        <w:tblW w:w="0" w:type="auto"/>
        <w:tblLayout w:type="fixed"/>
        <w:tblCellMar>
          <w:left w:w="62" w:type="dxa"/>
          <w:right w:w="62" w:type="dxa"/>
        </w:tblCellMar>
        <w:tblLook w:val="0000"/>
      </w:tblPr>
      <w:tblGrid>
        <w:gridCol w:w="3347"/>
        <w:gridCol w:w="5209"/>
      </w:tblGrid>
      <w:tr w:rsidTr="00B976F2">
        <w:tblPrEx>
          <w:tblW w:w="0" w:type="auto"/>
          <w:tblLayout w:type="fixed"/>
          <w:tblCellMar>
            <w:left w:w="62" w:type="dxa"/>
            <w:right w:w="62" w:type="dxa"/>
          </w:tblCellMar>
          <w:tblLook w:val="0000"/>
        </w:tblPrEx>
        <w:trPr>
          <w:tblHeader/>
        </w:trPr>
        <w:tc>
          <w:tcPr>
            <w:tcW w:w="3347"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SpecialBold"/>
              </w:rPr>
              <w:t>Application</w:t>
            </w:r>
          </w:p>
        </w:tc>
        <w:tc>
          <w:tcPr>
            <w:tcW w:w="5209"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t>This unit applies to workers within a mortuary environment who are expected to work with the donations of tissues for transplantation or research</w:t>
            </w:r>
          </w:p>
        </w:tc>
      </w:tr>
    </w:tbl>
    <w:p w:rsidR="00B976F2" w:rsidP="00D60908">
      <w:pPr>
        <w:pStyle w:val="BodyText"/>
      </w:pPr>
    </w:p>
    <w:p w:rsidR="00B976F2" w:rsidP="00D60908">
      <w:pPr>
        <w:pStyle w:val="BodyText"/>
      </w:pPr>
    </w:p>
    <w:p w:rsidR="00000000" w:rsidRPr="00D60908" w:rsidP="00D60908">
      <w:pPr>
        <w:pStyle w:val="Heading1"/>
      </w:pPr>
      <w:bookmarkStart w:id="4" w:name="O_433711"/>
      <w:bookmarkEnd w:id="4"/>
      <w:r w:rsidRPr="00D60908">
        <w:t>Licensing/Regulatory Information</w:t>
      </w:r>
    </w:p>
    <w:p w:rsidR="00000000" w:rsidRPr="00D60908" w:rsidP="00D60908">
      <w:pPr>
        <w:pStyle w:val="BodyText"/>
      </w:pPr>
      <w:r w:rsidRPr="00D60908">
        <w:t>Not Applicable</w:t>
      </w:r>
    </w:p>
    <w:p w:rsidR="00000000" w:rsidRPr="00D60908" w:rsidP="00D60908">
      <w:pPr>
        <w:pStyle w:val="AllowPageBreak"/>
      </w:pPr>
    </w:p>
    <w:p w:rsidR="00000000" w:rsidRPr="00D60908" w:rsidP="00D60908">
      <w:pPr>
        <w:pStyle w:val="Heading1"/>
      </w:pPr>
      <w:bookmarkStart w:id="5" w:name="O_433712"/>
      <w:bookmarkEnd w:id="5"/>
      <w:r w:rsidRPr="00D60908">
        <w:t>Pre-Requisites</w:t>
      </w:r>
    </w:p>
    <w:p w:rsidR="00000000" w:rsidRPr="00D60908" w:rsidP="00D60908">
      <w:pPr>
        <w:pStyle w:val="BodyText"/>
      </w:pPr>
      <w:r w:rsidRPr="00D60908">
        <w:t>Not Applicable</w:t>
      </w:r>
    </w:p>
    <w:p w:rsidR="00000000" w:rsidRPr="00D60908" w:rsidP="00D60908">
      <w:pPr>
        <w:pStyle w:val="AllowPageBreak"/>
      </w:pPr>
    </w:p>
    <w:p w:rsidR="00000000" w:rsidRPr="00D60908" w:rsidP="00D60908">
      <w:pPr>
        <w:pStyle w:val="Heading1"/>
      </w:pPr>
      <w:bookmarkStart w:id="6" w:name="O_433708"/>
      <w:bookmarkEnd w:id="6"/>
      <w:r w:rsidRPr="00D60908">
        <w:t>Employability Skills Information</w:t>
      </w:r>
    </w:p>
    <w:tbl>
      <w:tblPr>
        <w:tblW w:w="0" w:type="auto"/>
        <w:tblLayout w:type="fixed"/>
        <w:tblCellMar>
          <w:left w:w="62" w:type="dxa"/>
          <w:right w:w="62" w:type="dxa"/>
        </w:tblCellMar>
        <w:tblLook w:val="0000"/>
      </w:tblPr>
      <w:tblGrid>
        <w:gridCol w:w="3320"/>
        <w:gridCol w:w="5236"/>
      </w:tblGrid>
      <w:tr w:rsidTr="00B976F2">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t>This unit contains Employability Skills</w:t>
            </w:r>
          </w:p>
        </w:tc>
      </w:tr>
    </w:tbl>
    <w:p w:rsidR="00B976F2" w:rsidP="00D60908">
      <w:pPr>
        <w:pStyle w:val="BodyText"/>
      </w:pPr>
    </w:p>
    <w:p w:rsidR="00B976F2" w:rsidP="00D60908">
      <w:pPr>
        <w:pStyle w:val="BodyText"/>
      </w:pPr>
    </w:p>
    <w:p w:rsidR="00000000" w:rsidRPr="00D60908" w:rsidP="00D60908">
      <w:pPr>
        <w:pStyle w:val="Heading1"/>
      </w:pPr>
      <w:bookmarkStart w:id="7" w:name="O_433707"/>
      <w:bookmarkEnd w:id="7"/>
      <w:r w:rsidRPr="00D60908">
        <w:t>Elements and Performance Criteria Pre-Content</w:t>
      </w:r>
    </w:p>
    <w:tbl>
      <w:tblPr>
        <w:tblW w:w="0" w:type="auto"/>
        <w:tblLayout w:type="fixed"/>
        <w:tblCellMar>
          <w:left w:w="62" w:type="dxa"/>
          <w:right w:w="62" w:type="dxa"/>
        </w:tblCellMar>
        <w:tblLook w:val="0000"/>
      </w:tblPr>
      <w:tblGrid>
        <w:gridCol w:w="3369"/>
        <w:gridCol w:w="5702"/>
      </w:tblGrid>
      <w:tr w:rsidTr="00B97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t xml:space="preserve">The Performance Criteria specify the level of performance required to demonstrate achievement of the Element. Terms in italics are elaborated in the Range Statement. </w:t>
            </w:r>
          </w:p>
        </w:tc>
      </w:tr>
    </w:tbl>
    <w:p w:rsidR="00000000" w:rsidRPr="00D60908" w:rsidP="00D60908">
      <w:pPr>
        <w:pStyle w:val="BodyText"/>
      </w:pPr>
    </w:p>
    <w:p w:rsidR="00000000" w:rsidRPr="00D60908" w:rsidP="00D60908">
      <w:pPr>
        <w:pStyle w:val="AllowPageBreak"/>
      </w:pPr>
    </w:p>
    <w:p w:rsidR="00000000" w:rsidRPr="00D60908" w:rsidP="00D60908">
      <w:pPr>
        <w:pStyle w:val="Heading1"/>
      </w:pPr>
      <w:bookmarkStart w:id="8" w:name="O_433706"/>
      <w:bookmarkEnd w:id="8"/>
      <w:r w:rsidRPr="00D60908">
        <w:t>Elements and Performance Criteria</w:t>
      </w:r>
    </w:p>
    <w:tbl>
      <w:tblPr>
        <w:tblW w:w="0" w:type="auto"/>
        <w:tblLayout w:type="fixed"/>
        <w:tblCellMar>
          <w:left w:w="62" w:type="dxa"/>
          <w:right w:w="62" w:type="dxa"/>
        </w:tblCellMar>
        <w:tblLook w:val="0000"/>
      </w:tblPr>
      <w:tblGrid>
        <w:gridCol w:w="3369"/>
        <w:gridCol w:w="5702"/>
      </w:tblGrid>
      <w:tr w:rsidTr="00B976F2">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SpecialBold"/>
              </w:rPr>
              <w:t>PERFORMANCE CRITERIA</w:t>
            </w:r>
          </w:p>
        </w:tc>
      </w:tr>
      <w:tr w:rsidTr="00B97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0908">
            <w:pPr>
              <w:pStyle w:val="List"/>
              <w:rPr>
                <w:lang w:val="en-NZ"/>
              </w:rPr>
            </w:pPr>
            <w:r w:rsidRPr="00D60908">
              <w:t>1.</w:t>
            </w:r>
            <w:r w:rsidRPr="00D60908">
              <w:tab/>
            </w:r>
            <w:r w:rsidRPr="00D60908">
              <w:t>Assess suitability for donation</w:t>
            </w:r>
          </w:p>
        </w:tc>
        <w:tc>
          <w:tcPr>
            <w:tcW w:w="5702"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t>1.1</w:t>
            </w:r>
            <w:r w:rsidRPr="00D60908">
              <w:tab/>
              <w:t>Determine general suitability using regular tissue selection criteria</w:t>
            </w:r>
          </w:p>
          <w:p w:rsidR="00000000" w:rsidRPr="00D60908" w:rsidP="00D60908">
            <w:pPr>
              <w:pStyle w:val="BodyText"/>
            </w:pPr>
            <w:r w:rsidRPr="00D60908">
              <w:t>1.2</w:t>
            </w:r>
            <w:r w:rsidRPr="00D60908">
              <w:tab/>
              <w:t>Check donor's recent health history and medications to determine donor suitability</w:t>
            </w:r>
          </w:p>
          <w:p w:rsidR="00000000" w:rsidRPr="00D60908" w:rsidP="00D60908">
            <w:pPr>
              <w:pStyle w:val="BodyText"/>
            </w:pPr>
            <w:r w:rsidRPr="00D60908">
              <w:t>1.3</w:t>
            </w:r>
            <w:r w:rsidRPr="00D60908">
              <w:tab/>
              <w:t xml:space="preserve">Compare information provided through autopsy with existing </w:t>
            </w:r>
            <w:r w:rsidRPr="00D60908">
              <w:t>records and identify discrepancies</w:t>
            </w:r>
          </w:p>
          <w:p w:rsidR="00000000" w:rsidRPr="00D60908" w:rsidP="00D60908">
            <w:pPr>
              <w:pStyle w:val="BodyText"/>
            </w:pPr>
            <w:r w:rsidRPr="00D60908">
              <w:t>1.4</w:t>
            </w:r>
            <w:r w:rsidRPr="00D60908">
              <w:tab/>
              <w:t xml:space="preserve">Determine age and weight limits meet donor </w:t>
            </w:r>
            <w:r w:rsidRPr="00D60908">
              <w:rPr>
                <w:rStyle w:val="Emphasis"/>
              </w:rPr>
              <w:t>selection criteria</w:t>
            </w:r>
          </w:p>
          <w:p w:rsidR="00000000" w:rsidRPr="00D60908" w:rsidP="00D60908">
            <w:pPr>
              <w:pStyle w:val="BodyText"/>
            </w:pPr>
            <w:r w:rsidRPr="00D60908">
              <w:t>1.5</w:t>
            </w:r>
            <w:r w:rsidRPr="00D60908">
              <w:tab/>
              <w:t xml:space="preserve">Determine that </w:t>
            </w:r>
            <w:r w:rsidRPr="00D60908">
              <w:rPr>
                <w:rStyle w:val="Emphasis"/>
              </w:rPr>
              <w:t>tissue</w:t>
            </w:r>
            <w:r w:rsidRPr="00D60908">
              <w:t xml:space="preserve"> meets donor selection criteria</w:t>
            </w:r>
          </w:p>
          <w:p w:rsidR="00000000" w:rsidRPr="00D60908" w:rsidP="00D60908">
            <w:pPr>
              <w:pStyle w:val="BodyText"/>
            </w:pPr>
            <w:r w:rsidRPr="00D60908">
              <w:t>1.6</w:t>
            </w:r>
            <w:r w:rsidRPr="00D60908">
              <w:tab/>
              <w:t>Check for any tissue abnormality</w:t>
            </w:r>
          </w:p>
          <w:p w:rsidR="00000000" w:rsidP="00D60908">
            <w:pPr>
              <w:pStyle w:val="BodyText"/>
              <w:rPr>
                <w:lang w:val="en-NZ"/>
              </w:rPr>
            </w:pPr>
            <w:r w:rsidRPr="00D60908">
              <w:t>1.7</w:t>
            </w:r>
            <w:r w:rsidRPr="00D60908">
              <w:tab/>
              <w:t>Where information is obtained which indicates that the do</w:t>
            </w:r>
            <w:r w:rsidRPr="00D60908">
              <w:t>nor may be unsuitable, seek further guidance is explained clearly and sensitively and accurate information is passed on to the appropriate person</w:t>
            </w:r>
          </w:p>
        </w:tc>
      </w:tr>
      <w:tr w:rsidTr="00B97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0908">
            <w:pPr>
              <w:pStyle w:val="List"/>
              <w:rPr>
                <w:lang w:val="en-NZ"/>
              </w:rPr>
            </w:pPr>
            <w:r w:rsidRPr="00D60908">
              <w:t>2.</w:t>
            </w:r>
            <w:r w:rsidRPr="00D60908">
              <w:tab/>
              <w:t>Determine donor willingness/ability to donate</w:t>
            </w:r>
          </w:p>
        </w:tc>
        <w:tc>
          <w:tcPr>
            <w:tcW w:w="5702"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t>2.1</w:t>
            </w:r>
            <w:r w:rsidRPr="00D60908">
              <w:tab/>
              <w:t xml:space="preserve">Establish </w:t>
            </w:r>
            <w:r w:rsidRPr="00D60908">
              <w:rPr>
                <w:rStyle w:val="Emphasis"/>
              </w:rPr>
              <w:t>donor's consent</w:t>
            </w:r>
            <w:r w:rsidRPr="00D60908">
              <w:t xml:space="preserve"> for donation and  purpose o</w:t>
            </w:r>
            <w:r w:rsidRPr="00D60908">
              <w:t>f donation</w:t>
            </w:r>
          </w:p>
          <w:p w:rsidR="00000000" w:rsidRPr="00D60908" w:rsidP="00D60908">
            <w:pPr>
              <w:pStyle w:val="BodyText"/>
            </w:pPr>
            <w:r w:rsidRPr="00D60908">
              <w:t>2.2</w:t>
            </w:r>
            <w:r w:rsidRPr="00D60908">
              <w:tab/>
              <w:t>Explain the donation process accurately to relevant other/s in a manner that meets needs</w:t>
            </w:r>
          </w:p>
          <w:p w:rsidR="00000000" w:rsidRPr="00D60908" w:rsidP="00D60908">
            <w:pPr>
              <w:pStyle w:val="BodyText"/>
            </w:pPr>
            <w:r w:rsidRPr="00D60908">
              <w:t>2.3</w:t>
            </w:r>
            <w:r w:rsidRPr="00D60908">
              <w:tab/>
              <w:t xml:space="preserve">Determine relevant other/s understanding of the process </w:t>
            </w:r>
          </w:p>
          <w:p w:rsidR="00000000" w:rsidRPr="00D60908" w:rsidP="00D60908">
            <w:pPr>
              <w:pStyle w:val="BodyText"/>
            </w:pPr>
            <w:r w:rsidRPr="00D60908">
              <w:t>2.4</w:t>
            </w:r>
            <w:r w:rsidRPr="00D60908">
              <w:tab/>
              <w:t>Explain timeframes</w:t>
            </w:r>
          </w:p>
          <w:p w:rsidR="00000000" w:rsidRPr="00D60908" w:rsidP="00D60908">
            <w:pPr>
              <w:pStyle w:val="BodyText"/>
            </w:pPr>
            <w:r w:rsidRPr="00D60908">
              <w:t>2.5</w:t>
            </w:r>
            <w:r w:rsidRPr="00D60908">
              <w:tab/>
              <w:t>Obtain consent from relevant other/s where necessary</w:t>
            </w:r>
          </w:p>
          <w:p w:rsidR="00000000" w:rsidP="00D60908">
            <w:pPr>
              <w:pStyle w:val="BodyText"/>
              <w:rPr>
                <w:lang w:val="en-NZ"/>
              </w:rPr>
            </w:pPr>
            <w:r w:rsidRPr="00D60908">
              <w:t>2.6</w:t>
            </w:r>
            <w:r w:rsidRPr="00D60908">
              <w:tab/>
            </w:r>
            <w:r w:rsidRPr="00D60908">
              <w:t>Document decisions</w:t>
            </w:r>
          </w:p>
        </w:tc>
      </w:tr>
      <w:tr w:rsidTr="00B97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0908">
            <w:pPr>
              <w:pStyle w:val="List"/>
              <w:rPr>
                <w:lang w:val="en-NZ"/>
              </w:rPr>
            </w:pPr>
            <w:r w:rsidRPr="00D60908">
              <w:t>3.</w:t>
            </w:r>
            <w:r w:rsidRPr="00D60908">
              <w:tab/>
              <w:t>Remove donated tissue</w:t>
            </w:r>
          </w:p>
        </w:tc>
        <w:tc>
          <w:tcPr>
            <w:tcW w:w="5702"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t>3.1</w:t>
            </w:r>
            <w:r w:rsidRPr="00D60908">
              <w:tab/>
              <w:t>Undertake removal of donated tissue in accordance with organisation policies and procedures and work health and safety (OHS) requirements</w:t>
            </w:r>
          </w:p>
          <w:p w:rsidR="00000000" w:rsidRPr="00D60908" w:rsidP="00D60908">
            <w:pPr>
              <w:pStyle w:val="BodyText"/>
            </w:pPr>
            <w:r w:rsidRPr="00D60908">
              <w:t>3.2</w:t>
            </w:r>
            <w:r w:rsidRPr="00D60908">
              <w:tab/>
              <w:t xml:space="preserve">Store donated tissue in accordance with organisation policies </w:t>
            </w:r>
            <w:r w:rsidRPr="00D60908">
              <w:t>and procedures and WHS requirements</w:t>
            </w:r>
          </w:p>
          <w:p w:rsidR="00000000" w:rsidRPr="00D60908" w:rsidP="00D60908">
            <w:pPr>
              <w:pStyle w:val="BodyText"/>
            </w:pPr>
            <w:r w:rsidRPr="00D60908">
              <w:t>3.3</w:t>
            </w:r>
            <w:r w:rsidRPr="00D60908">
              <w:tab/>
              <w:t>Notify donor co-ordinator of donation and availability of tissue</w:t>
            </w:r>
          </w:p>
          <w:p w:rsidR="00000000" w:rsidP="00D60908">
            <w:pPr>
              <w:pStyle w:val="BodyText"/>
              <w:rPr>
                <w:lang w:val="en-NZ"/>
              </w:rPr>
            </w:pPr>
            <w:r w:rsidRPr="00D60908">
              <w:t>3.4</w:t>
            </w:r>
            <w:r w:rsidRPr="00D60908">
              <w:tab/>
              <w:t>Arrange for transportation of tissue and/or long term storage in accordance with organisation policies and procedures and WHS requirements</w:t>
            </w:r>
          </w:p>
        </w:tc>
      </w:tr>
      <w:tr w:rsidTr="00B97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60908">
            <w:pPr>
              <w:pStyle w:val="List"/>
              <w:rPr>
                <w:lang w:val="en-NZ"/>
              </w:rPr>
            </w:pPr>
            <w:r w:rsidRPr="00D60908">
              <w:t>4.</w:t>
            </w:r>
            <w:r w:rsidRPr="00D60908">
              <w:tab/>
              <w:t>D</w:t>
            </w:r>
            <w:r w:rsidRPr="00D60908">
              <w:t>ocument outcomes</w:t>
            </w:r>
          </w:p>
        </w:tc>
        <w:tc>
          <w:tcPr>
            <w:tcW w:w="5702"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t>4.1</w:t>
            </w:r>
            <w:r w:rsidRPr="00D60908">
              <w:tab/>
              <w:t>Enter relevant information clearly and accurately into the donor record</w:t>
            </w:r>
          </w:p>
          <w:p w:rsidR="00000000" w:rsidRPr="00D60908" w:rsidP="00D60908">
            <w:pPr>
              <w:pStyle w:val="BodyText"/>
            </w:pPr>
            <w:r w:rsidRPr="00D60908">
              <w:t>4.2</w:t>
            </w:r>
            <w:r w:rsidRPr="00D60908">
              <w:tab/>
              <w:t xml:space="preserve">Ensure all actions are document in accordance with organisation policies and procedures </w:t>
            </w:r>
          </w:p>
          <w:p w:rsidR="00000000" w:rsidRPr="00D60908" w:rsidP="00D60908">
            <w:pPr>
              <w:pStyle w:val="BodyText"/>
            </w:pPr>
            <w:r w:rsidRPr="00D60908">
              <w:t>4.3</w:t>
            </w:r>
            <w:r w:rsidRPr="00D60908">
              <w:tab/>
            </w:r>
            <w:r w:rsidRPr="00D60908">
              <w:t>Maintain records in accordance with organisation policies and procedures and WHS requirements</w:t>
            </w:r>
          </w:p>
          <w:p w:rsidR="00000000" w:rsidRPr="00D60908" w:rsidP="00D60908">
            <w:pPr>
              <w:pStyle w:val="BodyText"/>
            </w:pPr>
            <w:r w:rsidRPr="00D60908">
              <w:t>4.4</w:t>
            </w:r>
            <w:r w:rsidRPr="00D60908">
              <w:tab/>
              <w:t>Maintain the confidentiality of the donor</w:t>
            </w:r>
          </w:p>
        </w:tc>
      </w:tr>
    </w:tbl>
    <w:p w:rsidR="00B976F2" w:rsidP="00D60908">
      <w:pPr>
        <w:pStyle w:val="BodyText"/>
      </w:pPr>
    </w:p>
    <w:p w:rsidR="00B976F2" w:rsidP="00D60908">
      <w:pPr>
        <w:pStyle w:val="BodyText"/>
      </w:pPr>
    </w:p>
    <w:p w:rsidR="00000000" w:rsidRPr="00D60908" w:rsidP="00D60908">
      <w:pPr>
        <w:pStyle w:val="Heading1"/>
      </w:pPr>
      <w:bookmarkStart w:id="9" w:name="O_433714"/>
      <w:bookmarkEnd w:id="9"/>
      <w:r w:rsidRPr="00D60908">
        <w:t>Required Skills and Knowledge</w:t>
      </w:r>
    </w:p>
    <w:tbl>
      <w:tblPr>
        <w:tblW w:w="0" w:type="auto"/>
        <w:tblLayout w:type="fixed"/>
        <w:tblCellMar>
          <w:left w:w="62" w:type="dxa"/>
          <w:right w:w="62" w:type="dxa"/>
        </w:tblCellMar>
        <w:tblLook w:val="0000"/>
      </w:tblPr>
      <w:tblGrid>
        <w:gridCol w:w="9072"/>
      </w:tblGrid>
      <w:tr w:rsidTr="00B97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t>This describes the essential skills and knowledge and their leve</w:t>
            </w:r>
            <w:r w:rsidRPr="00D60908">
              <w:t>l required for this unit.</w:t>
            </w:r>
          </w:p>
        </w:tc>
      </w:tr>
      <w:tr w:rsidTr="00B97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rPr>
                <w:rStyle w:val="Emphasis"/>
              </w:rPr>
              <w:t>Essential knowledge</w:t>
            </w:r>
            <w:r w:rsidRPr="00D60908">
              <w:t>:</w:t>
            </w:r>
          </w:p>
          <w:p w:rsidR="00000000" w:rsidRPr="00D60908" w:rsidP="00D60908">
            <w:pPr>
              <w:pStyle w:val="BodyText"/>
            </w:pPr>
            <w:r w:rsidRPr="00D60908">
              <w:t xml:space="preserve">The candidate must be able to demonstrate essential knowledge required to effectively do the task outlined in elements and performance criteria of this unit, manage the task and manage contingencies in the </w:t>
            </w:r>
            <w:r w:rsidRPr="00D60908">
              <w:t>context of the identified work role</w:t>
            </w:r>
          </w:p>
          <w:p w:rsidR="00000000" w:rsidRPr="00D60908" w:rsidP="00D60908">
            <w:pPr>
              <w:pStyle w:val="BodyText"/>
            </w:pPr>
            <w:r w:rsidRPr="00D60908">
              <w:t>This includes knowledge of:</w:t>
            </w:r>
          </w:p>
          <w:p w:rsidR="00000000" w:rsidRPr="00D60908" w:rsidP="00D60908">
            <w:pPr>
              <w:pStyle w:val="ListBullet"/>
            </w:pPr>
            <w:r w:rsidRPr="00D60908">
              <w:t>Importance and potential impact of the quality of the donation</w:t>
            </w:r>
          </w:p>
          <w:p w:rsidR="00000000" w:rsidRPr="00D60908" w:rsidP="00D60908">
            <w:pPr>
              <w:pStyle w:val="ListBullet"/>
            </w:pPr>
            <w:r w:rsidRPr="00D60908">
              <w:t>Reasons for careful selection of tissue components</w:t>
            </w:r>
          </w:p>
          <w:p w:rsidR="00000000" w:rsidRPr="00D60908" w:rsidP="00D60908">
            <w:pPr>
              <w:pStyle w:val="ListBullet"/>
            </w:pPr>
            <w:r w:rsidRPr="00D60908">
              <w:t>Selection procedure</w:t>
            </w:r>
          </w:p>
          <w:p w:rsidR="00000000" w:rsidRPr="00D60908" w:rsidP="00D60908">
            <w:pPr>
              <w:pStyle w:val="ListBullet"/>
            </w:pPr>
            <w:r w:rsidRPr="00D60908">
              <w:t>Testing procedures</w:t>
            </w:r>
          </w:p>
          <w:p w:rsidR="00000000" w:rsidRPr="00D60908" w:rsidP="00D60908">
            <w:pPr>
              <w:pStyle w:val="ListBullet"/>
            </w:pPr>
            <w:r w:rsidRPr="00D60908">
              <w:t>Tiss</w:t>
            </w:r>
            <w:r w:rsidRPr="00D60908">
              <w:t>ue storage and transportation processes and ramifications</w:t>
            </w:r>
          </w:p>
          <w:p w:rsidR="00000000" w:rsidRPr="00D60908" w:rsidP="00D60908">
            <w:pPr>
              <w:pStyle w:val="ListBullet"/>
            </w:pPr>
            <w:r w:rsidRPr="00D60908">
              <w:t>Understanding of donor consent/declaration forms</w:t>
            </w:r>
          </w:p>
          <w:p w:rsidR="00000000" w:rsidRPr="00D60908" w:rsidP="00D60908">
            <w:pPr>
              <w:pStyle w:val="ListBullet"/>
            </w:pPr>
            <w:r w:rsidRPr="00D60908">
              <w:t>Understanding of general donor selection criteria, including</w:t>
            </w:r>
          </w:p>
          <w:p w:rsidR="00000000" w:rsidRPr="00D60908" w:rsidP="00D60908">
            <w:pPr>
              <w:pStyle w:val="ListBullet2"/>
            </w:pPr>
            <w:r w:rsidRPr="00D60908">
              <w:t>age</w:t>
            </w:r>
          </w:p>
          <w:p w:rsidR="00000000" w:rsidRPr="00D60908" w:rsidP="00D60908">
            <w:pPr>
              <w:pStyle w:val="ListBullet2"/>
            </w:pPr>
            <w:r w:rsidRPr="00D60908">
              <w:t>weight</w:t>
            </w:r>
          </w:p>
          <w:p w:rsidR="00000000" w:rsidRPr="00D60908" w:rsidP="00D60908">
            <w:pPr>
              <w:pStyle w:val="ListBullet2"/>
            </w:pPr>
            <w:r w:rsidRPr="00D60908">
              <w:t>family history</w:t>
            </w:r>
          </w:p>
          <w:p w:rsidR="00000000" w:rsidRPr="00D60908" w:rsidP="00D60908">
            <w:pPr>
              <w:pStyle w:val="ListBullet2"/>
            </w:pPr>
            <w:r w:rsidRPr="00D60908">
              <w:t>lifestyle</w:t>
            </w:r>
          </w:p>
          <w:p w:rsidR="00000000" w:rsidRPr="00D60908" w:rsidP="00D60908">
            <w:pPr>
              <w:pStyle w:val="ListBullet2"/>
            </w:pPr>
            <w:r w:rsidRPr="00D60908">
              <w:t>occupational activities</w:t>
            </w:r>
          </w:p>
          <w:p w:rsidR="00000000" w:rsidRPr="00D60908" w:rsidP="00D60908">
            <w:pPr>
              <w:pStyle w:val="ListBullet2"/>
            </w:pPr>
            <w:r w:rsidRPr="00D60908">
              <w:t>recreational activities</w:t>
            </w:r>
          </w:p>
          <w:p w:rsidR="00000000" w:rsidRPr="00D60908" w:rsidP="00D60908">
            <w:pPr>
              <w:pStyle w:val="ListBullet2"/>
            </w:pPr>
            <w:r w:rsidRPr="00D60908">
              <w:t>WHS</w:t>
            </w:r>
          </w:p>
          <w:p w:rsidR="00000000" w:rsidP="00D60908">
            <w:pPr>
              <w:pStyle w:val="ListBullet2"/>
              <w:rPr>
                <w:lang w:val="en-NZ"/>
              </w:rPr>
            </w:pPr>
            <w:r w:rsidRPr="00D60908">
              <w:t>workers compensation</w:t>
            </w:r>
          </w:p>
        </w:tc>
      </w:tr>
      <w:tr w:rsidTr="00B97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60908" w:rsidP="00D60908">
            <w:pPr>
              <w:pStyle w:val="BodyText"/>
            </w:pPr>
            <w:r w:rsidRPr="00D60908">
              <w:rPr>
                <w:rStyle w:val="Emphasis"/>
              </w:rPr>
              <w:t>Essential skills</w:t>
            </w:r>
            <w:r w:rsidRPr="00D60908">
              <w:t>:</w:t>
            </w:r>
          </w:p>
          <w:p w:rsidR="00000000" w:rsidRPr="00D60908" w:rsidP="00D60908">
            <w:pPr>
              <w:pStyle w:val="BodyText"/>
            </w:pPr>
            <w:r w:rsidRPr="00D60908">
              <w:t>It is critical that the candidate demonstrate the ability to effectively do the task outlined in elements and performance criteria of this unit, manage the task and manage contingencies in the context of the ident</w:t>
            </w:r>
            <w:r w:rsidRPr="00D60908">
              <w:t>ified work role</w:t>
            </w:r>
          </w:p>
          <w:p w:rsidR="00000000" w:rsidRPr="00D60908" w:rsidP="00D60908">
            <w:pPr>
              <w:pStyle w:val="BodyText"/>
            </w:pPr>
            <w:r w:rsidRPr="00D60908">
              <w:t>This includes the ability to:</w:t>
            </w:r>
          </w:p>
          <w:p w:rsidR="00000000" w:rsidRPr="00D60908" w:rsidP="00D60908">
            <w:pPr>
              <w:pStyle w:val="ListBullet"/>
            </w:pPr>
            <w:r w:rsidRPr="00D60908">
              <w:t>Demonstrate communication skills</w:t>
            </w:r>
          </w:p>
          <w:p w:rsidR="00000000" w:rsidRPr="00D60908" w:rsidP="00D60908">
            <w:pPr>
              <w:pStyle w:val="ListBullet"/>
            </w:pPr>
            <w:r w:rsidRPr="00D60908">
              <w:t>Remove and store tissue in accordance with organisation policies and procedures and good manufacturing practice guidelines</w:t>
            </w:r>
          </w:p>
          <w:p w:rsidR="00000000" w:rsidRPr="00D60908" w:rsidP="00D60908">
            <w:pPr>
              <w:pStyle w:val="ListBullet"/>
            </w:pPr>
            <w:r w:rsidRPr="00D60908">
              <w:t>Use information management to ensure all donor information is  recorded accurately</w:t>
            </w:r>
          </w:p>
        </w:tc>
      </w:tr>
    </w:tbl>
    <w:p w:rsidR="00B976F2" w:rsidP="00D60908">
      <w:pPr>
        <w:pStyle w:val="BodyText"/>
      </w:pPr>
    </w:p>
    <w:p w:rsidR="00B976F2" w:rsidP="00D60908">
      <w:pPr>
        <w:pStyle w:val="BodyText"/>
      </w:pPr>
    </w:p>
    <w:p w:rsidR="00000000" w:rsidRPr="00D60908" w:rsidP="00D60908">
      <w:pPr>
        <w:pStyle w:val="Heading1"/>
      </w:pPr>
      <w:bookmarkStart w:id="10" w:name="O_433709"/>
      <w:bookmarkEnd w:id="10"/>
      <w:r w:rsidRPr="00D60908">
        <w:t>Evidence Guide</w:t>
      </w:r>
    </w:p>
    <w:tbl>
      <w:tblPr>
        <w:tblW w:w="0" w:type="auto"/>
        <w:tblLayout w:type="fixed"/>
        <w:tblCellMar>
          <w:left w:w="62" w:type="dxa"/>
          <w:right w:w="62" w:type="dxa"/>
        </w:tblCellMar>
        <w:tblLook w:val="0000"/>
      </w:tblPr>
      <w:tblGrid>
        <w:gridCol w:w="3402"/>
        <w:gridCol w:w="5670"/>
      </w:tblGrid>
      <w:tr w:rsidTr="00B976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t>The evidence guide provides advice on assessment and must be read in conjunction with the Performance Criteria, Required Skills and Knowl</w:t>
            </w:r>
            <w:r w:rsidRPr="00D60908">
              <w:t>edge, the Range Statement and the Assessment Guidelines for this Training Package.</w:t>
            </w:r>
          </w:p>
        </w:tc>
      </w:tr>
      <w:tr w:rsidTr="00B976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Emphasis"/>
              </w:rPr>
              <w:t>Critical aspects for assessment and evidence required to demonstrate this competency unit</w:t>
            </w:r>
            <w:r w:rsidRPr="00D60908">
              <w:t xml:space="preserve">: </w:t>
            </w:r>
            <w:r w:rsidRPr="00D60908">
              <w:br/>
            </w: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ListBullet"/>
            </w:pPr>
            <w:r w:rsidRPr="00D60908">
              <w:t>The individual being assessed must provide evidence of specified essential knowledge as well as skills</w:t>
            </w:r>
          </w:p>
          <w:p w:rsidR="00000000" w:rsidRPr="00D60908" w:rsidP="00D60908">
            <w:pPr>
              <w:pStyle w:val="ListBullet"/>
            </w:pPr>
            <w:r w:rsidRPr="00D60908">
              <w:t>Observation of workplace performance is essential for assessment of this unit</w:t>
            </w:r>
          </w:p>
          <w:p w:rsidR="00000000" w:rsidRPr="00D60908" w:rsidP="00D60908">
            <w:pPr>
              <w:pStyle w:val="ListBullet"/>
            </w:pPr>
            <w:r w:rsidRPr="00D60908">
              <w:t>Consistency of performance should be demonstrated over the required range o</w:t>
            </w:r>
            <w:r w:rsidRPr="00D60908">
              <w:t>f situations relevant to the workplace</w:t>
            </w:r>
          </w:p>
          <w:p w:rsidR="00000000" w:rsidP="00D60908">
            <w:pPr>
              <w:pStyle w:val="ListBullet"/>
              <w:rPr>
                <w:lang w:val="en-NZ"/>
              </w:rPr>
            </w:pPr>
            <w:r w:rsidRPr="00D60908">
              <w:t>Where, for reasons of safety, space, or access to equipment and resources, assessment takes place away from the workplace, the assessment environment should represent workplace conditions as closely as possible</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Emphasis"/>
              </w:rPr>
              <w:t>Method of assessment</w:t>
            </w:r>
            <w:r w:rsidRPr="00D60908">
              <w:t xml:space="preserve"> </w:t>
            </w: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ListBullet"/>
            </w:pPr>
            <w:r w:rsidRPr="00D60908">
              <w:t>Observation in the work place (if possible)</w:t>
            </w:r>
          </w:p>
          <w:p w:rsidR="00000000" w:rsidRPr="00D60908" w:rsidP="00D60908">
            <w:pPr>
              <w:pStyle w:val="ListBullet"/>
            </w:pPr>
            <w:r w:rsidRPr="00D60908">
              <w:t>Written assignments/projects or questioning should be used to assess knowledge</w:t>
            </w:r>
          </w:p>
          <w:p w:rsidR="00000000" w:rsidRPr="00D60908" w:rsidP="00D60908">
            <w:pPr>
              <w:pStyle w:val="ListBullet"/>
            </w:pPr>
            <w:r w:rsidRPr="00D60908">
              <w:t>Case study and scenario as a basis for discussion of issues and strategies to contribute to best practice</w:t>
            </w:r>
          </w:p>
          <w:p w:rsidR="00000000" w:rsidP="00D60908">
            <w:pPr>
              <w:pStyle w:val="ListBullet"/>
              <w:rPr>
                <w:lang w:val="en-NZ"/>
              </w:rPr>
            </w:pPr>
            <w:r w:rsidRPr="00D60908">
              <w:t>Clin</w:t>
            </w:r>
            <w:r w:rsidRPr="00D60908">
              <w:t xml:space="preserve">ical skills involving direct client care are to be assessed initially in a simulated clinical setting (laboratory) </w:t>
            </w:r>
            <w:r w:rsidRPr="00D60908">
              <w:br/>
              <w:t>If successful, a second assessment is to be conducted during workplace application under direct supervision</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Emphasis"/>
              </w:rPr>
              <w:t>Access and equity considerat</w:t>
            </w:r>
            <w:r w:rsidRPr="00D60908">
              <w:rPr>
                <w:rStyle w:val="Emphasis"/>
              </w:rPr>
              <w:t>ions</w:t>
            </w:r>
            <w:r w:rsidRPr="00D60908">
              <w:t>:</w:t>
            </w: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ListBullet"/>
            </w:pPr>
            <w:r w:rsidRPr="00D60908">
              <w:t>All workers in the health industry should be aware of access and equity issues in relation to their own area of work</w:t>
            </w:r>
          </w:p>
          <w:p w:rsidR="00000000" w:rsidRPr="00D60908" w:rsidP="00D60908">
            <w:pPr>
              <w:pStyle w:val="ListBullet"/>
            </w:pPr>
            <w:r w:rsidRPr="00D60908">
              <w:t xml:space="preserve">All workers should develop their ability to work in a culturally diverse environment </w:t>
            </w:r>
          </w:p>
          <w:p w:rsidR="00000000" w:rsidRPr="00D60908" w:rsidP="00D60908">
            <w:pPr>
              <w:pStyle w:val="ListBullet"/>
            </w:pPr>
            <w:r w:rsidRPr="00D60908">
              <w:t>In recognition of particular health issues facing Aboriginal and Torres Strait Islander communities, workers should be aware of cultural, historical and current issues impacting on health of Aboriginal and Torres Strait Islander people</w:t>
            </w:r>
          </w:p>
          <w:p w:rsidR="00000000" w:rsidP="00D60908">
            <w:pPr>
              <w:pStyle w:val="ListBullet"/>
              <w:rPr>
                <w:lang w:val="en-NZ"/>
              </w:rPr>
            </w:pPr>
            <w:r w:rsidRPr="00D60908">
              <w:t>Assessors and traine</w:t>
            </w:r>
            <w:r w:rsidRPr="00D60908">
              <w:t>rs must take into account relevant access and equity issues, in particular relating to factors impacting on health of Aboriginal and/or Torres Strait Islander clients and communities</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BodyText"/>
            </w:pPr>
          </w:p>
        </w:tc>
      </w:tr>
    </w:tbl>
    <w:p w:rsidR="00B976F2" w:rsidP="00D60908">
      <w:pPr>
        <w:pStyle w:val="BodyText"/>
      </w:pPr>
    </w:p>
    <w:p w:rsidR="00B976F2" w:rsidP="00D60908">
      <w:pPr>
        <w:pStyle w:val="BodyText"/>
      </w:pPr>
    </w:p>
    <w:p w:rsidR="00000000" w:rsidRPr="00D60908" w:rsidP="00D60908">
      <w:pPr>
        <w:pStyle w:val="Heading1"/>
      </w:pPr>
      <w:bookmarkStart w:id="11" w:name="O_433713"/>
      <w:bookmarkEnd w:id="11"/>
      <w:r w:rsidRPr="00D60908">
        <w:t>Range Statement</w:t>
      </w:r>
    </w:p>
    <w:tbl>
      <w:tblPr>
        <w:tblW w:w="0" w:type="auto"/>
        <w:tblLayout w:type="fixed"/>
        <w:tblCellMar>
          <w:left w:w="62" w:type="dxa"/>
          <w:right w:w="62" w:type="dxa"/>
        </w:tblCellMar>
        <w:tblLook w:val="0000"/>
      </w:tblPr>
      <w:tblGrid>
        <w:gridCol w:w="3402"/>
        <w:gridCol w:w="5670"/>
      </w:tblGrid>
      <w:tr w:rsidTr="00B976F2">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t>The Range Statement relates to th</w:t>
            </w:r>
            <w:r w:rsidRPr="00D60908">
              <w:t>e unit of competency as a whole.  It allows for different work environments and situations that may affect performance.  Add any essential operating conditions that may be present with training and assessment depending on the work situation, needs of the c</w:t>
            </w:r>
            <w:r w:rsidRPr="00D60908">
              <w:t>andidate, accessibility of the item, and local industry and regional contexts.</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Emphasis"/>
              </w:rPr>
              <w:t>Tissues may include</w:t>
            </w:r>
            <w:r w:rsidRPr="00D60908">
              <w:t>:</w:t>
            </w: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ListBullet"/>
            </w:pPr>
            <w:r w:rsidRPr="00D60908">
              <w:t>Bone</w:t>
            </w:r>
          </w:p>
          <w:p w:rsidR="00000000" w:rsidRPr="00D60908" w:rsidP="00D60908">
            <w:pPr>
              <w:pStyle w:val="ListBullet"/>
            </w:pPr>
            <w:r w:rsidRPr="00D60908">
              <w:t>Eye</w:t>
            </w:r>
          </w:p>
          <w:p w:rsidR="00000000" w:rsidRPr="00D60908" w:rsidP="00D60908">
            <w:pPr>
              <w:pStyle w:val="ListBullet"/>
            </w:pPr>
            <w:r w:rsidRPr="00D60908">
              <w:t>Skin</w:t>
            </w:r>
          </w:p>
          <w:p w:rsidR="00000000" w:rsidP="00D60908">
            <w:pPr>
              <w:pStyle w:val="ListBullet"/>
              <w:rPr>
                <w:lang w:val="en-NZ"/>
              </w:rPr>
            </w:pPr>
            <w:r w:rsidRPr="00D60908">
              <w:t>Heart valve</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Emphasis"/>
              </w:rPr>
              <w:t>Selection criteria may include but are not limited to</w:t>
            </w:r>
            <w:r w:rsidRPr="00D60908">
              <w:t>:</w:t>
            </w: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ListBullet"/>
            </w:pPr>
            <w:r w:rsidRPr="00D60908">
              <w:t>Medical and social history</w:t>
            </w:r>
          </w:p>
          <w:p w:rsidR="00000000" w:rsidRPr="00D60908" w:rsidP="00D60908">
            <w:pPr>
              <w:pStyle w:val="ListBullet"/>
            </w:pPr>
            <w:r w:rsidRPr="00D60908">
              <w:t>Pathology testing results including</w:t>
            </w:r>
          </w:p>
          <w:p w:rsidR="00000000" w:rsidRPr="00D60908" w:rsidP="00D60908">
            <w:pPr>
              <w:pStyle w:val="ListBullet2"/>
            </w:pPr>
            <w:r w:rsidRPr="00D60908">
              <w:t>virology screening</w:t>
            </w:r>
          </w:p>
          <w:p w:rsidR="00000000" w:rsidRPr="00D60908" w:rsidP="00D60908">
            <w:pPr>
              <w:pStyle w:val="ListBullet2"/>
            </w:pPr>
            <w:r w:rsidRPr="00D60908">
              <w:t>PCR NAT testing</w:t>
            </w:r>
          </w:p>
          <w:p w:rsidR="00000000" w:rsidRPr="00D60908" w:rsidP="00D60908">
            <w:pPr>
              <w:pStyle w:val="ListBullet2"/>
            </w:pPr>
            <w:r w:rsidRPr="00D60908">
              <w:t>pre-mortem results</w:t>
            </w:r>
          </w:p>
          <w:p w:rsidR="00000000" w:rsidRPr="00D60908" w:rsidP="00D60908">
            <w:pPr>
              <w:pStyle w:val="ListBullet"/>
            </w:pPr>
            <w:r w:rsidRPr="00D60908">
              <w:t>Age limitations</w:t>
            </w:r>
          </w:p>
          <w:p w:rsidR="00000000" w:rsidP="00D60908">
            <w:pPr>
              <w:pStyle w:val="ListBullet"/>
              <w:rPr>
                <w:lang w:val="en-NZ"/>
              </w:rPr>
            </w:pPr>
            <w:r w:rsidRPr="00D60908">
              <w:t>Physical examination</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Emphasis"/>
              </w:rPr>
              <w:t>Donor consent may include</w:t>
            </w: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ListBullet"/>
            </w:pPr>
            <w:r w:rsidRPr="00D60908">
              <w:t>Senior available next of kin</w:t>
            </w:r>
          </w:p>
          <w:p w:rsidR="00000000" w:rsidRPr="00D60908" w:rsidP="00D60908">
            <w:pPr>
              <w:pStyle w:val="ListBullet"/>
            </w:pPr>
            <w:r w:rsidRPr="00D60908">
              <w:t>Designated officer</w:t>
            </w:r>
          </w:p>
          <w:p w:rsidR="00000000" w:rsidP="00D60908">
            <w:pPr>
              <w:pStyle w:val="ListBullet"/>
              <w:rPr>
                <w:lang w:val="en-NZ"/>
              </w:rPr>
            </w:pPr>
            <w:r w:rsidRPr="00D60908">
              <w:t>Tissues to be procured</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Emphasis"/>
              </w:rPr>
              <w:t>Purpose of donation may include</w:t>
            </w:r>
            <w:r w:rsidRPr="00D60908">
              <w:t>:</w:t>
            </w: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ListBullet"/>
            </w:pPr>
            <w:r w:rsidRPr="00D60908">
              <w:t>Transplantation</w:t>
            </w:r>
          </w:p>
          <w:p w:rsidR="00000000" w:rsidP="00D60908">
            <w:pPr>
              <w:pStyle w:val="ListBullet"/>
              <w:rPr>
                <w:lang w:val="en-NZ"/>
              </w:rPr>
            </w:pPr>
            <w:r w:rsidRPr="00D60908">
              <w:t>Research</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Emphasis"/>
              </w:rPr>
              <w:t>Regulations and standards may include</w:t>
            </w:r>
            <w:r w:rsidRPr="00D60908">
              <w:t>:</w:t>
            </w: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ListBullet"/>
            </w:pPr>
            <w:r w:rsidRPr="00D60908">
              <w:t>Australian Code of Good Manufacturing Practice For Therapeutic Goods - Human blood and Tissue  Components</w:t>
            </w:r>
          </w:p>
          <w:p w:rsidR="00000000" w:rsidRPr="00D60908" w:rsidP="00D60908">
            <w:pPr>
              <w:pStyle w:val="ListBullet"/>
            </w:pPr>
            <w:r w:rsidRPr="00D60908">
              <w:t>MIMS Index of Therapeutic Agents (Drugs)</w:t>
            </w:r>
          </w:p>
          <w:p w:rsidR="00000000" w:rsidP="00D60908">
            <w:pPr>
              <w:pStyle w:val="ListBullet"/>
              <w:rPr>
                <w:lang w:val="en-NZ"/>
              </w:rPr>
            </w:pPr>
            <w:r w:rsidRPr="00D60908">
              <w:t>International Travel and Health Vaccination Requirements and health Advice, World Health Organisation, Geneva, Current edition</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Emphasis"/>
              </w:rPr>
              <w:t>Factors that influence the importance and potential impact on the quality of the donation may include</w:t>
            </w: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ListBullet"/>
            </w:pPr>
            <w:r w:rsidRPr="00D60908">
              <w:t>Infectious diseases and their incubation periods</w:t>
            </w:r>
          </w:p>
          <w:p w:rsidR="00000000" w:rsidRPr="00D60908" w:rsidP="00D60908">
            <w:pPr>
              <w:pStyle w:val="ListBullet"/>
            </w:pPr>
            <w:r w:rsidRPr="00D60908">
              <w:t>Sexual or mucosal contact or exchange of body fluids</w:t>
            </w:r>
          </w:p>
          <w:p w:rsidR="00000000" w:rsidRPr="00D60908" w:rsidP="00D60908">
            <w:pPr>
              <w:pStyle w:val="ListBullet"/>
            </w:pPr>
            <w:r w:rsidRPr="00D60908">
              <w:t>Commonly used medicines and their side effects</w:t>
            </w:r>
          </w:p>
          <w:p w:rsidR="00000000" w:rsidRPr="00D60908" w:rsidP="00D60908">
            <w:pPr>
              <w:pStyle w:val="ListBullet"/>
            </w:pPr>
            <w:r w:rsidRPr="00D60908">
              <w:t>Weight limits</w:t>
            </w:r>
          </w:p>
          <w:p w:rsidR="00000000" w:rsidRPr="00D60908" w:rsidP="00D60908">
            <w:pPr>
              <w:pStyle w:val="ListBullet"/>
            </w:pPr>
            <w:r w:rsidRPr="00D60908">
              <w:t>How frequently a potential donor may donate for varying types of donations</w:t>
            </w:r>
          </w:p>
          <w:p w:rsidR="00000000" w:rsidRPr="00D60908" w:rsidP="00D60908">
            <w:pPr>
              <w:pStyle w:val="ListBullet"/>
            </w:pPr>
            <w:r w:rsidRPr="00D60908">
              <w:t>Geographical locations which require special consideration</w:t>
            </w:r>
          </w:p>
          <w:p w:rsidR="00000000" w:rsidRPr="00D60908" w:rsidP="00D60908">
            <w:pPr>
              <w:pStyle w:val="ListBullet"/>
            </w:pPr>
            <w:r w:rsidRPr="00D60908">
              <w:t>Hazardous occupations/recreational activities</w:t>
            </w:r>
          </w:p>
          <w:p w:rsidR="00000000" w:rsidRPr="00D60908" w:rsidP="00D60908">
            <w:pPr>
              <w:pStyle w:val="ListBullet"/>
            </w:pPr>
            <w:r w:rsidRPr="00D60908">
              <w:t>Effect of invasive procedures, for example tattooing</w:t>
            </w:r>
          </w:p>
          <w:p w:rsidR="00000000" w:rsidRPr="00D60908" w:rsidP="00D60908">
            <w:pPr>
              <w:pStyle w:val="ListBullet"/>
            </w:pPr>
            <w:r w:rsidRPr="00D60908">
              <w:t>Passive immunisation and vaccinations</w:t>
            </w:r>
          </w:p>
          <w:p w:rsidR="00000000" w:rsidRPr="00D60908" w:rsidP="00D60908">
            <w:pPr>
              <w:pStyle w:val="ListBullet"/>
            </w:pPr>
            <w:r w:rsidRPr="00D60908">
              <w:t>Past and present medical conditions other than infections</w:t>
            </w:r>
          </w:p>
          <w:p w:rsidR="00000000" w:rsidRPr="00D60908" w:rsidP="00D60908">
            <w:pPr>
              <w:pStyle w:val="ListBullet"/>
            </w:pPr>
            <w:r w:rsidRPr="00D60908">
              <w:t>In</w:t>
            </w:r>
            <w:r w:rsidRPr="00D60908">
              <w:t>juries and illnesses</w:t>
            </w:r>
          </w:p>
          <w:p w:rsidR="00000000" w:rsidP="00D60908">
            <w:pPr>
              <w:pStyle w:val="ListBullet"/>
              <w:rPr>
                <w:lang w:val="en-NZ"/>
              </w:rPr>
            </w:pPr>
            <w:r w:rsidRPr="00D60908">
              <w:t>Recent major surgery</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60908">
            <w:pPr>
              <w:pStyle w:val="BodyText"/>
              <w:rPr>
                <w:lang w:val="en-NZ"/>
              </w:rPr>
            </w:pPr>
            <w:r w:rsidRPr="00D60908">
              <w:rPr>
                <w:rStyle w:val="Emphasis"/>
              </w:rPr>
              <w:t>Reasons for the careful selection of tissue donors may include</w:t>
            </w:r>
            <w:r w:rsidRPr="00D60908">
              <w:t>:</w:t>
            </w: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ListBullet"/>
            </w:pPr>
            <w:r w:rsidRPr="00D60908">
              <w:t>Health of donor prior to death</w:t>
            </w:r>
          </w:p>
          <w:p w:rsidR="00000000" w:rsidRPr="00D60908" w:rsidP="00D60908">
            <w:pPr>
              <w:pStyle w:val="ListBullet"/>
            </w:pPr>
            <w:r w:rsidRPr="00D60908">
              <w:t>Safety of blood sample</w:t>
            </w:r>
          </w:p>
          <w:p w:rsidR="00000000" w:rsidRPr="00D60908" w:rsidP="00D60908">
            <w:pPr>
              <w:pStyle w:val="ListBullet"/>
            </w:pPr>
            <w:r w:rsidRPr="00D60908">
              <w:t>Safety of recipients</w:t>
            </w:r>
          </w:p>
          <w:p w:rsidR="00000000" w:rsidRPr="00D60908" w:rsidP="00D60908">
            <w:pPr>
              <w:pStyle w:val="ListBullet"/>
            </w:pPr>
            <w:r w:rsidRPr="00D60908">
              <w:t>Safety of customer service</w:t>
            </w:r>
          </w:p>
          <w:p w:rsidR="00000000" w:rsidRPr="00D60908" w:rsidP="00D60908">
            <w:pPr>
              <w:pStyle w:val="ListBullet"/>
            </w:pPr>
            <w:r w:rsidRPr="00D60908">
              <w:t>Production of a quality product</w:t>
            </w:r>
          </w:p>
          <w:p w:rsidR="00000000" w:rsidP="00D60908">
            <w:pPr>
              <w:pStyle w:val="ListBullet"/>
              <w:rPr>
                <w:lang w:val="en-NZ"/>
              </w:rPr>
            </w:pPr>
            <w:r w:rsidRPr="00D60908">
              <w:t>Safety of staff</w:t>
            </w:r>
          </w:p>
        </w:tc>
      </w:tr>
      <w:tr w:rsidTr="00B976F2">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60908" w:rsidP="00D60908">
            <w:pPr>
              <w:pStyle w:val="BodyText"/>
            </w:pPr>
          </w:p>
        </w:tc>
      </w:tr>
    </w:tbl>
    <w:p w:rsidR="00B976F2" w:rsidP="00D60908">
      <w:pPr>
        <w:pStyle w:val="BodyText"/>
      </w:pPr>
    </w:p>
    <w:p w:rsidR="00B976F2" w:rsidP="00D60908">
      <w:pPr>
        <w:pStyle w:val="BodyText"/>
      </w:pPr>
    </w:p>
    <w:p w:rsidR="00000000" w:rsidRPr="00D60908" w:rsidP="00D60908">
      <w:pPr>
        <w:pStyle w:val="Heading1"/>
      </w:pPr>
      <w:bookmarkStart w:id="12" w:name="O_433716"/>
      <w:bookmarkEnd w:id="12"/>
      <w:r w:rsidRPr="00D60908">
        <w:t>Unit Sector(s)</w:t>
      </w:r>
    </w:p>
    <w:p w:rsidR="00000000" w:rsidRPr="00D60908" w:rsidP="00D60908">
      <w:pPr>
        <w:pStyle w:val="BodyText"/>
      </w:pPr>
      <w:r w:rsidRPr="00D60908">
        <w:t>Not Applicable</w:t>
      </w:r>
    </w:p>
    <w:p w:rsidR="00000000" w:rsidRPr="00D60908" w:rsidP="00D60908"/>
    <w:sectPr w:rsidSect="00D6090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0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6F2" w:rsidP="00B976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0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F2" w:rsidP="00D6090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976F2" w:rsidP="00D6090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976F2" w:rsidP="00D6090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0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976F2" w:rsidP="00B976F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6090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76F2" w:rsidP="00D60908">
    <w:pPr>
      <w:pStyle w:val="Header"/>
      <w:framePr w:wrap="around"/>
    </w:pPr>
    <w:r>
      <w:fldChar w:fldCharType="begin"/>
    </w:r>
    <w:r>
      <w:instrText xml:space="preserve"> TITLE   \* MERGEFORMAT </w:instrText>
    </w:r>
    <w:r>
      <w:fldChar w:fldCharType="separate"/>
    </w:r>
    <w:r>
      <w:t>HLTMT411C Screen tissue donors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976F2" w:rsidP="00D6090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AA13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1F4EB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906CFE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090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60908"/>
    <w:pPr>
      <w:spacing w:before="360" w:after="60"/>
      <w:outlineLvl w:val="0"/>
    </w:pPr>
    <w:rPr>
      <w:sz w:val="32"/>
    </w:rPr>
  </w:style>
  <w:style w:type="paragraph" w:styleId="Heading2">
    <w:name w:val="heading 2"/>
    <w:basedOn w:val="HeadingBase"/>
    <w:next w:val="BodyText"/>
    <w:link w:val="Heading2Char"/>
    <w:qFormat/>
    <w:rsid w:val="00D60908"/>
    <w:pPr>
      <w:keepLines/>
      <w:spacing w:before="240" w:after="120"/>
      <w:outlineLvl w:val="1"/>
    </w:pPr>
    <w:rPr>
      <w:sz w:val="28"/>
      <w:szCs w:val="40"/>
    </w:rPr>
  </w:style>
  <w:style w:type="paragraph" w:styleId="Heading3">
    <w:name w:val="heading 3"/>
    <w:basedOn w:val="HeadingBase"/>
    <w:next w:val="BodyText"/>
    <w:link w:val="Heading3Char"/>
    <w:qFormat/>
    <w:rsid w:val="00D60908"/>
    <w:pPr>
      <w:spacing w:before="180" w:after="120"/>
      <w:outlineLvl w:val="2"/>
    </w:pPr>
    <w:rPr>
      <w:spacing w:val="-10"/>
      <w:kern w:val="32"/>
    </w:rPr>
  </w:style>
  <w:style w:type="paragraph" w:styleId="Heading4">
    <w:name w:val="heading 4"/>
    <w:basedOn w:val="HeadingBase"/>
    <w:next w:val="BodyText"/>
    <w:link w:val="Heading4Char"/>
    <w:qFormat/>
    <w:rsid w:val="00D60908"/>
    <w:pPr>
      <w:spacing w:before="160" w:after="120"/>
      <w:outlineLvl w:val="3"/>
    </w:pPr>
    <w:rPr>
      <w:sz w:val="22"/>
    </w:rPr>
  </w:style>
  <w:style w:type="paragraph" w:styleId="Heading5">
    <w:name w:val="heading 5"/>
    <w:basedOn w:val="HeadingBase"/>
    <w:next w:val="Normal"/>
    <w:link w:val="Heading5Char"/>
    <w:qFormat/>
    <w:rsid w:val="00D60908"/>
    <w:pPr>
      <w:spacing w:before="80"/>
      <w:outlineLvl w:val="4"/>
    </w:pPr>
    <w:rPr>
      <w:color w:val="918585"/>
      <w:sz w:val="20"/>
    </w:rPr>
  </w:style>
  <w:style w:type="paragraph" w:styleId="Heading6">
    <w:name w:val="heading 6"/>
    <w:basedOn w:val="HeadingBase"/>
    <w:next w:val="Normal"/>
    <w:link w:val="Heading6Char"/>
    <w:qFormat/>
    <w:rsid w:val="00D60908"/>
    <w:pPr>
      <w:spacing w:before="60"/>
      <w:outlineLvl w:val="5"/>
    </w:pPr>
    <w:rPr>
      <w:color w:val="918585"/>
      <w:sz w:val="20"/>
    </w:rPr>
  </w:style>
  <w:style w:type="paragraph" w:styleId="Heading7">
    <w:name w:val="heading 7"/>
    <w:basedOn w:val="Normal"/>
    <w:next w:val="Normal"/>
    <w:link w:val="Heading7Char"/>
    <w:qFormat/>
    <w:rsid w:val="00D60908"/>
    <w:pPr>
      <w:ind w:left="720"/>
      <w:outlineLvl w:val="6"/>
    </w:pPr>
    <w:rPr>
      <w:i/>
    </w:rPr>
  </w:style>
  <w:style w:type="paragraph" w:styleId="Heading8">
    <w:name w:val="heading 8"/>
    <w:basedOn w:val="Normal"/>
    <w:next w:val="Normal"/>
    <w:link w:val="Heading8Char"/>
    <w:qFormat/>
    <w:rsid w:val="00D60908"/>
    <w:pPr>
      <w:ind w:left="720"/>
      <w:outlineLvl w:val="7"/>
    </w:pPr>
    <w:rPr>
      <w:i/>
    </w:rPr>
  </w:style>
  <w:style w:type="paragraph" w:styleId="Heading9">
    <w:name w:val="heading 9"/>
    <w:basedOn w:val="Normal"/>
    <w:next w:val="Normal"/>
    <w:link w:val="Heading9Char"/>
    <w:qFormat/>
    <w:rsid w:val="00D60908"/>
    <w:pPr>
      <w:ind w:left="720"/>
      <w:outlineLvl w:val="8"/>
    </w:pPr>
    <w:rPr>
      <w:i/>
    </w:rPr>
  </w:style>
  <w:style w:type="character" w:default="1" w:styleId="DefaultParagraphFont">
    <w:name w:val="Default Paragraph Font"/>
    <w:uiPriority w:val="1"/>
    <w:unhideWhenUsed/>
    <w:rsid w:val="00D6090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60908"/>
  </w:style>
  <w:style w:type="character" w:customStyle="1" w:styleId="Heading1Char">
    <w:name w:val="Heading 1 Char"/>
    <w:basedOn w:val="DefaultParagraphFont"/>
    <w:link w:val="Heading1"/>
    <w:rsid w:val="00D60908"/>
    <w:rPr>
      <w:rFonts w:ascii="Times New Roman" w:eastAsia="Times New Roman" w:hAnsi="Times New Roman" w:cs="Times New Roman"/>
      <w:b/>
      <w:sz w:val="32"/>
      <w:szCs w:val="20"/>
      <w:lang w:eastAsia="en-US"/>
    </w:rPr>
  </w:style>
  <w:style w:type="paragraph" w:styleId="BodyText">
    <w:name w:val="Body Text"/>
    <w:basedOn w:val="Normal"/>
    <w:link w:val="BodyTextChar"/>
    <w:rsid w:val="00D6090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60908"/>
    <w:rPr>
      <w:rFonts w:ascii="Times New Roman" w:eastAsia="Times New Roman" w:hAnsi="Times New Roman" w:cs="Times New Roman"/>
      <w:sz w:val="24"/>
      <w:lang w:val="en-US" w:eastAsia="en-US"/>
    </w:rPr>
  </w:style>
  <w:style w:type="paragraph" w:styleId="Footer">
    <w:name w:val="footer"/>
    <w:basedOn w:val="Normal"/>
    <w:link w:val="FooterChar"/>
    <w:rsid w:val="00D6090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60908"/>
    <w:rPr>
      <w:rFonts w:ascii="Times New Roman" w:eastAsia="Times New Roman" w:hAnsi="Times New Roman" w:cs="Times New Roman"/>
      <w:sz w:val="16"/>
      <w:lang w:val="en-US" w:eastAsia="en-US"/>
    </w:rPr>
  </w:style>
  <w:style w:type="paragraph" w:styleId="List">
    <w:name w:val="List"/>
    <w:basedOn w:val="BodyText"/>
    <w:next w:val="BodyText"/>
    <w:rsid w:val="00D60908"/>
    <w:pPr>
      <w:tabs>
        <w:tab w:val="left" w:pos="340"/>
      </w:tabs>
      <w:spacing w:before="60" w:after="60"/>
      <w:ind w:left="340" w:hanging="340"/>
    </w:pPr>
  </w:style>
  <w:style w:type="paragraph" w:styleId="ListBullet">
    <w:name w:val="List Bullet"/>
    <w:basedOn w:val="List"/>
    <w:rsid w:val="00D60908"/>
    <w:pPr>
      <w:numPr>
        <w:numId w:val="13"/>
      </w:numPr>
      <w:tabs>
        <w:tab w:val="clear" w:pos="340"/>
      </w:tabs>
      <w:spacing w:before="40" w:after="40"/>
    </w:pPr>
  </w:style>
  <w:style w:type="character" w:customStyle="1" w:styleId="SpecialBold">
    <w:name w:val="Special Bold"/>
    <w:basedOn w:val="DefaultParagraphFont"/>
    <w:rsid w:val="00D60908"/>
    <w:rPr>
      <w:b/>
      <w:spacing w:val="0"/>
    </w:rPr>
  </w:style>
  <w:style w:type="paragraph" w:styleId="ListBullet2">
    <w:name w:val="List Bullet 2"/>
    <w:basedOn w:val="List2"/>
    <w:rsid w:val="00D60908"/>
    <w:pPr>
      <w:numPr>
        <w:numId w:val="14"/>
      </w:numPr>
      <w:tabs>
        <w:tab w:val="clear" w:pos="680"/>
      </w:tabs>
    </w:pPr>
  </w:style>
  <w:style w:type="paragraph" w:styleId="Header">
    <w:name w:val="header"/>
    <w:basedOn w:val="Normal"/>
    <w:link w:val="HeaderChar"/>
    <w:rsid w:val="00D6090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60908"/>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60908"/>
    <w:rPr>
      <w:i/>
    </w:rPr>
  </w:style>
  <w:style w:type="paragraph" w:customStyle="1" w:styleId="SuperHeading">
    <w:name w:val="SuperHeading"/>
    <w:basedOn w:val="Normal"/>
    <w:rsid w:val="00D60908"/>
    <w:pPr>
      <w:spacing w:before="240" w:after="120"/>
      <w:outlineLvl w:val="0"/>
    </w:pPr>
    <w:rPr>
      <w:rFonts w:ascii="Times New Roman" w:hAnsi="Times New Roman"/>
      <w:b/>
      <w:sz w:val="28"/>
    </w:rPr>
  </w:style>
  <w:style w:type="paragraph" w:customStyle="1" w:styleId="AllowPageBreak">
    <w:name w:val="AllowPageBreak"/>
    <w:rsid w:val="00D6090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6090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6090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6090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6090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6090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6090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6090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60908"/>
    <w:rPr>
      <w:rFonts w:ascii="Courier New" w:eastAsia="Times New Roman" w:hAnsi="Courier New" w:cs="Times New Roman"/>
      <w:i/>
      <w:szCs w:val="20"/>
      <w:lang w:val="en-US" w:eastAsia="en-US"/>
    </w:rPr>
  </w:style>
  <w:style w:type="paragraph" w:customStyle="1" w:styleId="HeadingBase">
    <w:name w:val="Heading Base"/>
    <w:rsid w:val="00D6090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60908"/>
    <w:pPr>
      <w:tabs>
        <w:tab w:val="right" w:leader="dot" w:pos="9072"/>
      </w:tabs>
      <w:ind w:left="567"/>
    </w:pPr>
    <w:rPr>
      <w:szCs w:val="22"/>
    </w:rPr>
  </w:style>
  <w:style w:type="paragraph" w:customStyle="1" w:styleId="TOCBase">
    <w:name w:val="TOC Base"/>
    <w:rsid w:val="00D6090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60908"/>
    <w:pPr>
      <w:tabs>
        <w:tab w:val="right" w:leader="dot" w:pos="9072"/>
      </w:tabs>
      <w:spacing w:before="40" w:after="40"/>
      <w:ind w:left="284"/>
    </w:pPr>
    <w:rPr>
      <w:rFonts w:ascii="Times New Roman" w:hAnsi="Times New Roman"/>
    </w:rPr>
  </w:style>
  <w:style w:type="paragraph" w:styleId="TOC1">
    <w:name w:val="toc 1"/>
    <w:basedOn w:val="TOCBase"/>
    <w:next w:val="Normal"/>
    <w:rsid w:val="00D6090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60908"/>
    <w:pPr>
      <w:spacing w:before="5040"/>
      <w:jc w:val="center"/>
    </w:pPr>
    <w:rPr>
      <w:sz w:val="48"/>
      <w:szCs w:val="72"/>
      <w:lang w:val="en-US"/>
    </w:rPr>
  </w:style>
  <w:style w:type="character" w:customStyle="1" w:styleId="TitleChar">
    <w:name w:val="Title Char"/>
    <w:basedOn w:val="DefaultParagraphFont"/>
    <w:link w:val="Title"/>
    <w:rsid w:val="00D6090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60908"/>
    <w:pPr>
      <w:tabs>
        <w:tab w:val="left" w:pos="3600"/>
        <w:tab w:val="left" w:pos="3958"/>
      </w:tabs>
    </w:pPr>
  </w:style>
  <w:style w:type="paragraph" w:customStyle="1" w:styleId="Note">
    <w:name w:val="Note"/>
    <w:basedOn w:val="BodyText"/>
    <w:rsid w:val="00D6090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60908"/>
    <w:pPr>
      <w:framePr w:wrap="auto" w:hAnchor="text" w:y="6049"/>
    </w:pPr>
    <w:rPr>
      <w:color w:val="000000"/>
      <w:sz w:val="40"/>
    </w:rPr>
  </w:style>
  <w:style w:type="paragraph" w:customStyle="1" w:styleId="TOCTitle">
    <w:name w:val="TOCTitle"/>
    <w:basedOn w:val="Heading1"/>
    <w:rsid w:val="00D60908"/>
    <w:pPr>
      <w:spacing w:after="240"/>
      <w:jc w:val="center"/>
      <w:outlineLvl w:val="9"/>
    </w:pPr>
    <w:rPr>
      <w:caps/>
    </w:rPr>
  </w:style>
  <w:style w:type="paragraph" w:customStyle="1" w:styleId="Version">
    <w:name w:val="Version"/>
    <w:rsid w:val="00D6090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60908"/>
    <w:pPr>
      <w:keepNext w:val="0"/>
      <w:tabs>
        <w:tab w:val="right" w:pos="4176"/>
      </w:tabs>
      <w:ind w:left="198" w:hanging="198"/>
    </w:pPr>
    <w:rPr>
      <w:rFonts w:ascii="Garamond" w:hAnsi="Garamond"/>
    </w:rPr>
  </w:style>
  <w:style w:type="paragraph" w:styleId="IndexHeading">
    <w:name w:val="index heading"/>
    <w:basedOn w:val="Normal"/>
    <w:next w:val="Index1"/>
    <w:semiHidden/>
    <w:rsid w:val="00D60908"/>
    <w:pPr>
      <w:spacing w:before="120" w:after="120"/>
    </w:pPr>
    <w:rPr>
      <w:rFonts w:ascii="Arial" w:hAnsi="Arial"/>
      <w:b/>
      <w:color w:val="918585"/>
      <w:sz w:val="24"/>
    </w:rPr>
  </w:style>
  <w:style w:type="paragraph" w:customStyle="1" w:styleId="Chapter">
    <w:name w:val="Chapter"/>
    <w:basedOn w:val="Normal"/>
    <w:rsid w:val="00D60908"/>
    <w:pPr>
      <w:spacing w:before="240"/>
    </w:pPr>
    <w:rPr>
      <w:rFonts w:ascii="Times New Roman" w:hAnsi="Times New Roman"/>
      <w:smallCaps/>
      <w:spacing w:val="80"/>
      <w:sz w:val="28"/>
    </w:rPr>
  </w:style>
  <w:style w:type="paragraph" w:customStyle="1" w:styleId="InChapter">
    <w:name w:val="InChapter"/>
    <w:basedOn w:val="Heading3"/>
    <w:rsid w:val="00D60908"/>
    <w:pPr>
      <w:spacing w:after="240"/>
      <w:outlineLvl w:val="9"/>
    </w:pPr>
    <w:rPr>
      <w:noProof/>
    </w:rPr>
  </w:style>
  <w:style w:type="paragraph" w:styleId="Index2">
    <w:name w:val="index 2"/>
    <w:basedOn w:val="Normal"/>
    <w:next w:val="Normal"/>
    <w:semiHidden/>
    <w:rsid w:val="00D60908"/>
    <w:pPr>
      <w:tabs>
        <w:tab w:val="right" w:pos="4176"/>
      </w:tabs>
      <w:ind w:left="568" w:hanging="284"/>
    </w:pPr>
    <w:rPr>
      <w:rFonts w:ascii="Garamond" w:hAnsi="Garamond"/>
    </w:rPr>
  </w:style>
  <w:style w:type="paragraph" w:customStyle="1" w:styleId="Byline">
    <w:name w:val="Byline"/>
    <w:rsid w:val="00D6090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60908"/>
    <w:pPr>
      <w:tabs>
        <w:tab w:val="clear" w:pos="3600"/>
        <w:tab w:val="clear" w:pos="3958"/>
      </w:tabs>
      <w:jc w:val="right"/>
    </w:pPr>
  </w:style>
  <w:style w:type="paragraph" w:styleId="Caption">
    <w:name w:val="caption"/>
    <w:basedOn w:val="BodyText"/>
    <w:next w:val="Normal"/>
    <w:qFormat/>
    <w:rsid w:val="00D60908"/>
    <w:pPr>
      <w:framePr w:w="2268" w:hSpace="181" w:vSpace="181" w:wrap="around" w:vAnchor="text" w:hAnchor="page" w:x="1135" w:y="285" w:anchorLock="1"/>
    </w:pPr>
    <w:rPr>
      <w:i/>
    </w:rPr>
  </w:style>
  <w:style w:type="paragraph" w:customStyle="1" w:styleId="MiniTOCTitle">
    <w:name w:val="MiniTOCTitle"/>
    <w:basedOn w:val="Heading4"/>
    <w:rsid w:val="00D60908"/>
    <w:pPr>
      <w:spacing w:before="240"/>
      <w:outlineLvl w:val="9"/>
    </w:pPr>
    <w:rPr>
      <w:noProof/>
      <w:sz w:val="24"/>
    </w:rPr>
  </w:style>
  <w:style w:type="paragraph" w:customStyle="1" w:styleId="MiniTOCItem">
    <w:name w:val="MiniTOCItem"/>
    <w:basedOn w:val="ListBullet"/>
    <w:rsid w:val="00D60908"/>
    <w:pPr>
      <w:numPr>
        <w:numId w:val="0"/>
      </w:numPr>
      <w:tabs>
        <w:tab w:val="right" w:leader="dot" w:pos="6521"/>
      </w:tabs>
      <w:spacing w:before="0" w:after="0"/>
    </w:pPr>
  </w:style>
  <w:style w:type="paragraph" w:customStyle="1" w:styleId="TOFTitle">
    <w:name w:val="TOFTitle"/>
    <w:basedOn w:val="TOCTitle"/>
    <w:rsid w:val="00D60908"/>
  </w:style>
  <w:style w:type="paragraph" w:styleId="TableofFigures">
    <w:name w:val="table of figures"/>
    <w:basedOn w:val="Normal"/>
    <w:next w:val="Normal"/>
    <w:semiHidden/>
    <w:rsid w:val="00D60908"/>
    <w:pPr>
      <w:tabs>
        <w:tab w:val="right" w:leader="dot" w:pos="9072"/>
      </w:tabs>
      <w:ind w:left="970" w:hanging="403"/>
    </w:pPr>
    <w:rPr>
      <w:rFonts w:ascii="Times New Roman" w:hAnsi="Times New Roman"/>
      <w:b/>
    </w:rPr>
  </w:style>
  <w:style w:type="paragraph" w:styleId="ListNumber">
    <w:name w:val="List Number"/>
    <w:basedOn w:val="List"/>
    <w:rsid w:val="00D60908"/>
    <w:pPr>
      <w:numPr>
        <w:numId w:val="11"/>
      </w:numPr>
    </w:pPr>
  </w:style>
  <w:style w:type="character" w:customStyle="1" w:styleId="WingdingSymbols">
    <w:name w:val="Wingding Symbols"/>
    <w:rsid w:val="00D60908"/>
    <w:rPr>
      <w:rFonts w:ascii="Wingdings" w:hAnsi="Wingdings"/>
    </w:rPr>
  </w:style>
  <w:style w:type="paragraph" w:customStyle="1" w:styleId="TableHeading">
    <w:name w:val="Table Heading"/>
    <w:basedOn w:val="HeadingBase"/>
    <w:rsid w:val="00D60908"/>
    <w:pPr>
      <w:keepLines/>
      <w:pBdr>
        <w:bottom w:val="single" w:sz="6" w:space="1" w:color="918585"/>
      </w:pBdr>
      <w:spacing w:before="240"/>
    </w:pPr>
  </w:style>
  <w:style w:type="character" w:customStyle="1" w:styleId="HotSpot">
    <w:name w:val="HotSpot"/>
    <w:rsid w:val="00D60908"/>
    <w:rPr>
      <w:color w:val="0033CC"/>
      <w:u w:val="none"/>
    </w:rPr>
  </w:style>
  <w:style w:type="paragraph" w:customStyle="1" w:styleId="BodyTextRight">
    <w:name w:val="Body Text Right"/>
    <w:basedOn w:val="BodyText"/>
    <w:rsid w:val="00D60908"/>
    <w:pPr>
      <w:spacing w:before="0" w:after="0"/>
      <w:jc w:val="right"/>
    </w:pPr>
  </w:style>
  <w:style w:type="paragraph" w:styleId="Index3">
    <w:name w:val="index 3"/>
    <w:basedOn w:val="ListNumber2"/>
    <w:next w:val="Normal"/>
    <w:semiHidden/>
    <w:rsid w:val="00D60908"/>
    <w:pPr>
      <w:numPr>
        <w:numId w:val="0"/>
      </w:numPr>
      <w:tabs>
        <w:tab w:val="right" w:leader="dot" w:pos="4176"/>
      </w:tabs>
    </w:pPr>
  </w:style>
  <w:style w:type="paragraph" w:styleId="ListNumber2">
    <w:name w:val="List Number 2"/>
    <w:basedOn w:val="List2"/>
    <w:rsid w:val="00D60908"/>
    <w:pPr>
      <w:numPr>
        <w:numId w:val="10"/>
      </w:numPr>
      <w:tabs>
        <w:tab w:val="clear" w:pos="1060"/>
      </w:tabs>
    </w:pPr>
  </w:style>
  <w:style w:type="paragraph" w:customStyle="1" w:styleId="MarginNote">
    <w:name w:val="Margin Note"/>
    <w:basedOn w:val="BodyText"/>
    <w:rsid w:val="00D6090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6090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6090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60908"/>
    <w:rPr>
      <w:sz w:val="32"/>
    </w:rPr>
  </w:style>
  <w:style w:type="paragraph" w:customStyle="1" w:styleId="HeadingProcedure">
    <w:name w:val="Heading Procedure"/>
    <w:basedOn w:val="HeadingBase"/>
    <w:next w:val="Normal"/>
    <w:rsid w:val="00D60908"/>
    <w:pPr>
      <w:tabs>
        <w:tab w:val="left" w:pos="0"/>
      </w:tabs>
      <w:spacing w:before="120" w:after="60"/>
    </w:pPr>
    <w:rPr>
      <w:i/>
      <w:color w:val="918585"/>
      <w:sz w:val="22"/>
    </w:rPr>
  </w:style>
  <w:style w:type="paragraph" w:customStyle="1" w:styleId="TableBodyText">
    <w:name w:val="Table Body Text"/>
    <w:basedOn w:val="BodyText"/>
    <w:rsid w:val="00D60908"/>
    <w:pPr>
      <w:spacing w:before="60" w:after="60"/>
    </w:pPr>
  </w:style>
  <w:style w:type="paragraph" w:styleId="ListContinue">
    <w:name w:val="List Continue"/>
    <w:basedOn w:val="List"/>
    <w:rsid w:val="00D60908"/>
    <w:pPr>
      <w:ind w:firstLine="0"/>
    </w:pPr>
  </w:style>
  <w:style w:type="paragraph" w:customStyle="1" w:styleId="ListNote">
    <w:name w:val="List Note"/>
    <w:basedOn w:val="List"/>
    <w:rsid w:val="00D60908"/>
    <w:pPr>
      <w:pBdr>
        <w:top w:val="single" w:sz="6" w:space="2" w:color="918585"/>
        <w:bottom w:val="single" w:sz="6" w:space="2" w:color="918585"/>
      </w:pBdr>
      <w:tabs>
        <w:tab w:val="left" w:pos="1021"/>
      </w:tabs>
      <w:ind w:firstLine="0"/>
    </w:pPr>
  </w:style>
  <w:style w:type="paragraph" w:customStyle="1" w:styleId="Warning">
    <w:name w:val="Warning"/>
    <w:basedOn w:val="BodyText"/>
    <w:rsid w:val="00D60908"/>
    <w:pPr>
      <w:shd w:val="clear" w:color="auto" w:fill="D9D9D9"/>
      <w:tabs>
        <w:tab w:val="left" w:pos="992"/>
      </w:tabs>
      <w:ind w:left="119" w:right="119"/>
    </w:pPr>
    <w:rPr>
      <w:sz w:val="20"/>
    </w:rPr>
  </w:style>
  <w:style w:type="paragraph" w:customStyle="1" w:styleId="MarginIcons">
    <w:name w:val="Margin Icons"/>
    <w:basedOn w:val="BodyText"/>
    <w:rsid w:val="00D6090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60908"/>
    <w:rPr>
      <w:rFonts w:ascii="Courier New" w:hAnsi="Courier New"/>
    </w:rPr>
  </w:style>
  <w:style w:type="paragraph" w:customStyle="1" w:styleId="NoteBullet">
    <w:name w:val="Note Bullet"/>
    <w:basedOn w:val="Note"/>
    <w:rsid w:val="00D60908"/>
    <w:pPr>
      <w:tabs>
        <w:tab w:val="clear" w:pos="680"/>
      </w:tabs>
      <w:spacing w:before="60" w:after="60"/>
    </w:pPr>
  </w:style>
  <w:style w:type="paragraph" w:customStyle="1" w:styleId="SubHeading2">
    <w:name w:val="SubHeading2"/>
    <w:basedOn w:val="HeadingBase"/>
    <w:rsid w:val="00D60908"/>
    <w:pPr>
      <w:spacing w:before="240" w:after="60"/>
    </w:pPr>
    <w:rPr>
      <w:sz w:val="20"/>
    </w:rPr>
  </w:style>
  <w:style w:type="paragraph" w:customStyle="1" w:styleId="SubHeading1">
    <w:name w:val="SubHeading1"/>
    <w:basedOn w:val="HeadingBase"/>
    <w:rsid w:val="00D60908"/>
    <w:pPr>
      <w:spacing w:before="240" w:after="60"/>
    </w:pPr>
    <w:rPr>
      <w:color w:val="918585"/>
      <w:sz w:val="22"/>
    </w:rPr>
  </w:style>
  <w:style w:type="paragraph" w:customStyle="1" w:styleId="SideHeading">
    <w:name w:val="Side Heading"/>
    <w:basedOn w:val="HeadingBase"/>
    <w:rsid w:val="00D6090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60908"/>
    <w:pPr>
      <w:numPr>
        <w:numId w:val="12"/>
      </w:numPr>
    </w:pPr>
  </w:style>
  <w:style w:type="paragraph" w:styleId="PlainText">
    <w:name w:val="Plain Text"/>
    <w:basedOn w:val="Normal"/>
    <w:link w:val="PlainTextChar"/>
    <w:rsid w:val="00D60908"/>
    <w:rPr>
      <w:sz w:val="20"/>
    </w:rPr>
  </w:style>
  <w:style w:type="character" w:customStyle="1" w:styleId="PlainTextChar">
    <w:name w:val="Plain Text Char"/>
    <w:basedOn w:val="DefaultParagraphFont"/>
    <w:link w:val="PlainText"/>
    <w:rsid w:val="00D6090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60908"/>
    <w:rPr>
      <w:b/>
      <w:smallCaps/>
    </w:rPr>
  </w:style>
  <w:style w:type="paragraph" w:customStyle="1" w:styleId="TableListNumber">
    <w:name w:val="Table List Number"/>
    <w:basedOn w:val="ListNumber"/>
    <w:rsid w:val="00D60908"/>
    <w:pPr>
      <w:numPr>
        <w:numId w:val="0"/>
      </w:numPr>
    </w:pPr>
  </w:style>
  <w:style w:type="paragraph" w:styleId="TOC4">
    <w:name w:val="toc 4"/>
    <w:basedOn w:val="TOCBase"/>
    <w:next w:val="Normal"/>
    <w:semiHidden/>
    <w:rsid w:val="00D60908"/>
    <w:pPr>
      <w:tabs>
        <w:tab w:val="right" w:leader="dot" w:pos="9071"/>
      </w:tabs>
      <w:ind w:left="1701"/>
    </w:pPr>
  </w:style>
  <w:style w:type="paragraph" w:customStyle="1" w:styleId="ListAlpha">
    <w:name w:val="List Alpha"/>
    <w:basedOn w:val="List"/>
    <w:rsid w:val="00D60908"/>
    <w:pPr>
      <w:numPr>
        <w:numId w:val="9"/>
      </w:numPr>
    </w:pPr>
  </w:style>
  <w:style w:type="paragraph" w:customStyle="1" w:styleId="ListAlpha2">
    <w:name w:val="List Alpha 2"/>
    <w:basedOn w:val="List2"/>
    <w:rsid w:val="00D60908"/>
    <w:pPr>
      <w:numPr>
        <w:numId w:val="8"/>
      </w:numPr>
    </w:pPr>
  </w:style>
  <w:style w:type="paragraph" w:styleId="List2">
    <w:name w:val="List 2"/>
    <w:basedOn w:val="BodyText"/>
    <w:rsid w:val="00D60908"/>
    <w:pPr>
      <w:tabs>
        <w:tab w:val="left" w:pos="680"/>
      </w:tabs>
      <w:spacing w:before="60" w:after="60"/>
      <w:ind w:left="680" w:hanging="340"/>
    </w:pPr>
  </w:style>
  <w:style w:type="paragraph" w:styleId="List3">
    <w:name w:val="List 3"/>
    <w:basedOn w:val="BodyText"/>
    <w:rsid w:val="00D60908"/>
    <w:pPr>
      <w:tabs>
        <w:tab w:val="left" w:pos="1021"/>
      </w:tabs>
      <w:spacing w:before="60" w:after="60"/>
      <w:ind w:left="1020" w:hanging="340"/>
    </w:pPr>
  </w:style>
  <w:style w:type="paragraph" w:styleId="List4">
    <w:name w:val="List 4"/>
    <w:basedOn w:val="BodyText"/>
    <w:rsid w:val="00D60908"/>
    <w:pPr>
      <w:tabs>
        <w:tab w:val="left" w:pos="1361"/>
      </w:tabs>
      <w:spacing w:before="60" w:after="60"/>
      <w:ind w:left="1361" w:hanging="340"/>
    </w:pPr>
  </w:style>
  <w:style w:type="paragraph" w:styleId="List5">
    <w:name w:val="List 5"/>
    <w:basedOn w:val="BodyText"/>
    <w:rsid w:val="00D60908"/>
    <w:pPr>
      <w:tabs>
        <w:tab w:val="left" w:pos="1701"/>
      </w:tabs>
      <w:spacing w:before="60" w:after="60"/>
      <w:ind w:left="1701" w:hanging="340"/>
    </w:pPr>
  </w:style>
  <w:style w:type="paragraph" w:styleId="ListBullet3">
    <w:name w:val="List Bullet 3"/>
    <w:basedOn w:val="List3"/>
    <w:rsid w:val="00D60908"/>
    <w:pPr>
      <w:numPr>
        <w:numId w:val="15"/>
      </w:numPr>
      <w:tabs>
        <w:tab w:val="clear" w:pos="1021"/>
      </w:tabs>
      <w:ind w:left="1037" w:hanging="357"/>
    </w:pPr>
  </w:style>
  <w:style w:type="paragraph" w:styleId="ListBullet4">
    <w:name w:val="List Bullet 4"/>
    <w:basedOn w:val="List4"/>
    <w:rsid w:val="00D60908"/>
    <w:pPr>
      <w:numPr>
        <w:numId w:val="3"/>
      </w:numPr>
    </w:pPr>
  </w:style>
  <w:style w:type="paragraph" w:styleId="ListBullet5">
    <w:name w:val="List Bullet 5"/>
    <w:basedOn w:val="List5"/>
    <w:rsid w:val="00D60908"/>
    <w:pPr>
      <w:numPr>
        <w:numId w:val="4"/>
      </w:numPr>
    </w:pPr>
  </w:style>
  <w:style w:type="paragraph" w:styleId="ListContinue2">
    <w:name w:val="List Continue 2"/>
    <w:basedOn w:val="List2"/>
    <w:rsid w:val="00D60908"/>
    <w:pPr>
      <w:ind w:firstLine="0"/>
    </w:pPr>
  </w:style>
  <w:style w:type="paragraph" w:styleId="ListContinue3">
    <w:name w:val="List Continue 3"/>
    <w:basedOn w:val="List3"/>
    <w:rsid w:val="00D60908"/>
    <w:pPr>
      <w:ind w:left="1021" w:firstLine="0"/>
    </w:pPr>
  </w:style>
  <w:style w:type="paragraph" w:styleId="ListContinue4">
    <w:name w:val="List Continue 4"/>
    <w:basedOn w:val="List4"/>
    <w:rsid w:val="00D60908"/>
    <w:pPr>
      <w:ind w:firstLine="0"/>
    </w:pPr>
  </w:style>
  <w:style w:type="paragraph" w:styleId="ListContinue5">
    <w:name w:val="List Continue 5"/>
    <w:basedOn w:val="List5"/>
    <w:rsid w:val="00D60908"/>
    <w:pPr>
      <w:ind w:firstLine="0"/>
    </w:pPr>
  </w:style>
  <w:style w:type="paragraph" w:styleId="ListNumber3">
    <w:name w:val="List Number 3"/>
    <w:basedOn w:val="List3"/>
    <w:rsid w:val="00D60908"/>
    <w:pPr>
      <w:numPr>
        <w:numId w:val="5"/>
      </w:numPr>
    </w:pPr>
  </w:style>
  <w:style w:type="paragraph" w:styleId="ListNumber4">
    <w:name w:val="List Number 4"/>
    <w:basedOn w:val="List4"/>
    <w:rsid w:val="00D60908"/>
    <w:pPr>
      <w:numPr>
        <w:numId w:val="6"/>
      </w:numPr>
    </w:pPr>
  </w:style>
  <w:style w:type="paragraph" w:styleId="ListNumber5">
    <w:name w:val="List Number 5"/>
    <w:basedOn w:val="List5"/>
    <w:rsid w:val="00D60908"/>
    <w:pPr>
      <w:numPr>
        <w:numId w:val="7"/>
      </w:numPr>
    </w:pPr>
  </w:style>
  <w:style w:type="paragraph" w:styleId="BlockText">
    <w:name w:val="Block Text"/>
    <w:basedOn w:val="Normal"/>
    <w:rsid w:val="00D60908"/>
    <w:pPr>
      <w:spacing w:after="120"/>
      <w:ind w:left="1440" w:right="1440"/>
    </w:pPr>
  </w:style>
  <w:style w:type="character" w:customStyle="1" w:styleId="Subscript">
    <w:name w:val="Subscript"/>
    <w:basedOn w:val="DefaultParagraphFont"/>
    <w:rsid w:val="00D60908"/>
    <w:rPr>
      <w:sz w:val="16"/>
      <w:vertAlign w:val="subscript"/>
    </w:rPr>
  </w:style>
  <w:style w:type="character" w:customStyle="1" w:styleId="Superscript">
    <w:name w:val="Superscript"/>
    <w:basedOn w:val="DefaultParagraphFont"/>
    <w:rsid w:val="00D60908"/>
    <w:rPr>
      <w:sz w:val="16"/>
      <w:vertAlign w:val="superscript"/>
    </w:rPr>
  </w:style>
  <w:style w:type="character" w:customStyle="1" w:styleId="Symbols">
    <w:name w:val="Symbols"/>
    <w:basedOn w:val="DefaultParagraphFont"/>
    <w:rsid w:val="00D60908"/>
    <w:rPr>
      <w:rFonts w:ascii="Symbol" w:hAnsi="Symbol"/>
    </w:rPr>
  </w:style>
  <w:style w:type="character" w:customStyle="1" w:styleId="MenuOptions">
    <w:name w:val="Menu Options"/>
    <w:basedOn w:val="DefaultParagraphFont"/>
    <w:rsid w:val="00D60908"/>
    <w:rPr>
      <w:rFonts w:ascii="Arial Narrow" w:hAnsi="Arial Narrow"/>
      <w:smallCaps/>
    </w:rPr>
  </w:style>
  <w:style w:type="character" w:customStyle="1" w:styleId="Buttons">
    <w:name w:val="Buttons"/>
    <w:basedOn w:val="DefaultParagraphFont"/>
    <w:rsid w:val="00D60908"/>
    <w:rPr>
      <w:b/>
    </w:rPr>
  </w:style>
  <w:style w:type="character" w:customStyle="1" w:styleId="Underlined">
    <w:name w:val="Underlined"/>
    <w:basedOn w:val="DefaultParagraphFont"/>
    <w:rsid w:val="00D60908"/>
    <w:rPr>
      <w:u w:val="single"/>
    </w:rPr>
  </w:style>
  <w:style w:type="paragraph" w:customStyle="1" w:styleId="TableBodyTextRight">
    <w:name w:val="Table Body Text Right"/>
    <w:basedOn w:val="TableBodyText"/>
    <w:rsid w:val="00D60908"/>
    <w:pPr>
      <w:widowControl w:val="0"/>
      <w:autoSpaceDE w:val="0"/>
      <w:autoSpaceDN w:val="0"/>
      <w:adjustRightInd w:val="0"/>
      <w:jc w:val="right"/>
    </w:pPr>
    <w:rPr>
      <w:rFonts w:cs="Arial"/>
      <w:szCs w:val="18"/>
    </w:rPr>
  </w:style>
  <w:style w:type="paragraph" w:customStyle="1" w:styleId="CopyrightText">
    <w:name w:val="Copyright Text"/>
    <w:basedOn w:val="BodyText"/>
    <w:rsid w:val="00D60908"/>
    <w:rPr>
      <w:sz w:val="18"/>
    </w:rPr>
  </w:style>
  <w:style w:type="paragraph" w:customStyle="1" w:styleId="BodySmallRight">
    <w:name w:val="Body Small Right"/>
    <w:basedOn w:val="BodyTextRight"/>
    <w:rsid w:val="00D60908"/>
    <w:rPr>
      <w:sz w:val="18"/>
      <w:szCs w:val="18"/>
    </w:rPr>
  </w:style>
  <w:style w:type="paragraph" w:customStyle="1" w:styleId="MarginEdition">
    <w:name w:val="Margin Edition"/>
    <w:basedOn w:val="MarginNote"/>
    <w:rsid w:val="00D60908"/>
    <w:pPr>
      <w:spacing w:before="0" w:after="0"/>
    </w:pPr>
    <w:rPr>
      <w:rFonts w:ascii="Times New Roman" w:hAnsi="Times New Roman"/>
      <w:color w:val="999999"/>
    </w:rPr>
  </w:style>
  <w:style w:type="paragraph" w:customStyle="1" w:styleId="Spacer">
    <w:name w:val="Spacer"/>
    <w:basedOn w:val="Normal"/>
    <w:rsid w:val="00D60908"/>
    <w:rPr>
      <w:sz w:val="2"/>
      <w:szCs w:val="2"/>
    </w:rPr>
  </w:style>
  <w:style w:type="character" w:customStyle="1" w:styleId="Small">
    <w:name w:val="Small"/>
    <w:basedOn w:val="DefaultParagraphFont"/>
    <w:rsid w:val="00D60908"/>
    <w:rPr>
      <w:sz w:val="16"/>
    </w:rPr>
  </w:style>
  <w:style w:type="paragraph" w:customStyle="1" w:styleId="WideTable">
    <w:name w:val="Wide Table"/>
    <w:basedOn w:val="Normal"/>
    <w:rsid w:val="00D60908"/>
    <w:pPr>
      <w:ind w:left="-1418"/>
    </w:pPr>
    <w:rPr>
      <w:sz w:val="2"/>
      <w:szCs w:val="2"/>
    </w:rPr>
  </w:style>
  <w:style w:type="character" w:styleId="PageNumber">
    <w:name w:val="page number"/>
    <w:basedOn w:val="DefaultParagraphFont"/>
    <w:rsid w:val="00D60908"/>
  </w:style>
  <w:style w:type="paragraph" w:styleId="Quote">
    <w:name w:val="Quote"/>
    <w:basedOn w:val="Heading1"/>
    <w:link w:val="QuoteChar"/>
    <w:qFormat/>
    <w:rsid w:val="00D60908"/>
    <w:rPr>
      <w:b w:val="0"/>
      <w:sz w:val="72"/>
      <w:szCs w:val="72"/>
      <w:lang w:val="en-NZ"/>
    </w:rPr>
  </w:style>
  <w:style w:type="character" w:customStyle="1" w:styleId="QuoteChar">
    <w:name w:val="Quote Char"/>
    <w:basedOn w:val="DefaultParagraphFont"/>
    <w:link w:val="Quote"/>
    <w:rsid w:val="00D6090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60908"/>
    <w:pPr>
      <w:pageBreakBefore/>
    </w:pPr>
  </w:style>
  <w:style w:type="paragraph" w:customStyle="1" w:styleId="Border">
    <w:name w:val="Border"/>
    <w:basedOn w:val="Normal"/>
    <w:qFormat/>
    <w:rsid w:val="00D6090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60908"/>
    <w:rPr>
      <w:b/>
      <w:bCs/>
      <w:i/>
      <w:iCs/>
      <w:color w:val="auto"/>
    </w:rPr>
  </w:style>
  <w:style w:type="paragraph" w:styleId="IntenseQuote">
    <w:name w:val="Intense Quote"/>
    <w:basedOn w:val="Normal"/>
    <w:next w:val="Normal"/>
    <w:link w:val="IntenseQuoteChar"/>
    <w:uiPriority w:val="30"/>
    <w:qFormat/>
    <w:rsid w:val="00D6090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6090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60908"/>
    <w:rPr>
      <w:smallCaps/>
      <w:color w:val="auto"/>
      <w:u w:val="single"/>
    </w:rPr>
  </w:style>
  <w:style w:type="character" w:styleId="IntenseReference">
    <w:name w:val="Intense Reference"/>
    <w:basedOn w:val="DefaultParagraphFont"/>
    <w:uiPriority w:val="32"/>
    <w:qFormat/>
    <w:rsid w:val="00D60908"/>
    <w:rPr>
      <w:b/>
      <w:bCs/>
      <w:smallCaps/>
      <w:color w:val="auto"/>
      <w:spacing w:val="5"/>
      <w:u w:val="single"/>
    </w:rPr>
  </w:style>
  <w:style w:type="paragraph" w:customStyle="1" w:styleId="2ColumnHeading">
    <w:name w:val="2Column Heading"/>
    <w:basedOn w:val="BodyText"/>
    <w:qFormat/>
    <w:rsid w:val="00D60908"/>
    <w:pPr>
      <w:spacing w:after="60"/>
      <w:ind w:left="-2268"/>
    </w:pPr>
    <w:rPr>
      <w:b/>
    </w:rPr>
  </w:style>
  <w:style w:type="paragraph" w:customStyle="1" w:styleId="Heading1TOC">
    <w:name w:val="Heading1 TOC"/>
    <w:basedOn w:val="Normal"/>
    <w:qFormat/>
    <w:rsid w:val="00D60908"/>
    <w:pPr>
      <w:spacing w:before="240" w:after="120"/>
    </w:pPr>
    <w:rPr>
      <w:rFonts w:ascii="Times New Roman" w:hAnsi="Times New Roman"/>
      <w:b/>
      <w:sz w:val="32"/>
    </w:rPr>
  </w:style>
  <w:style w:type="paragraph" w:customStyle="1" w:styleId="Heading2TOC">
    <w:name w:val="Heading2 TOC"/>
    <w:basedOn w:val="Normal"/>
    <w:qFormat/>
    <w:rsid w:val="00D60908"/>
    <w:pPr>
      <w:spacing w:before="240" w:after="60"/>
    </w:pPr>
    <w:rPr>
      <w:rFonts w:ascii="Times New Roman" w:hAnsi="Times New Roman"/>
      <w:b/>
      <w:sz w:val="28"/>
    </w:rPr>
  </w:style>
  <w:style w:type="character" w:customStyle="1" w:styleId="Underline">
    <w:name w:val="Underline"/>
    <w:basedOn w:val="DefaultParagraphFont"/>
    <w:qFormat/>
    <w:rsid w:val="00D60908"/>
    <w:rPr>
      <w:u w:val="single"/>
    </w:rPr>
  </w:style>
  <w:style w:type="character" w:customStyle="1" w:styleId="BoldandItalics">
    <w:name w:val="Bold and Italics"/>
    <w:qFormat/>
    <w:rsid w:val="00D60908"/>
    <w:rPr>
      <w:b/>
      <w:i/>
      <w:u w:val="none"/>
    </w:rPr>
  </w:style>
  <w:style w:type="paragraph" w:styleId="BalloonText">
    <w:name w:val="Balloon Text"/>
    <w:basedOn w:val="Normal"/>
    <w:link w:val="BalloonTextChar"/>
    <w:rsid w:val="00D60908"/>
    <w:rPr>
      <w:rFonts w:ascii="Tahoma" w:hAnsi="Tahoma" w:cs="Tahoma"/>
      <w:sz w:val="16"/>
      <w:szCs w:val="16"/>
    </w:rPr>
  </w:style>
  <w:style w:type="character" w:customStyle="1" w:styleId="BalloonTextChar">
    <w:name w:val="Balloon Text Char"/>
    <w:basedOn w:val="DefaultParagraphFont"/>
    <w:link w:val="BalloonText"/>
    <w:rsid w:val="00D6090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6090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6090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1196</Words>
  <Characters>7332</Characters>
  <Application>Microsoft Office Word</Application>
  <DocSecurity>0</DocSecurity>
  <Lines>287</Lines>
  <Paragraphs>145</Paragraphs>
  <ScaleCrop>false</ScaleCrop>
  <Company>Author-it Software Corporation Ltd.</Company>
  <LinksUpToDate>false</LinksUpToDate>
  <CharactersWithSpaces>8462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HLTMT411C Screen tissue donors</dc:title>
  <dc:subject>Approved</dc:subject>
  <dc:creator>Community Services and Health Industry Skills Council</dc:creator>
  <cp:keywords>Release: 1</cp:keywords>
  <dc:description>Copyright © 1996-2007 Author-it Software Corporation Ltd., all rights reserved.</dc:description>
  <cp:lastModifiedBy>Craig Taylor</cp:lastModifiedBy>
  <cp:revision>3</cp:revision>
  <dcterms:created xsi:type="dcterms:W3CDTF">2012-05-27T00:34:00Z</dcterms:created>
  <dcterms:modified xsi:type="dcterms:W3CDTF">2012-05-27T00:34:00Z</dcterms:modified>
</cp:coreProperties>
</file>