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312F" w:rsidP="00F1312F">
      <w:pPr>
        <w:pStyle w:val="Title"/>
      </w:pPr>
      <w:r>
        <w:fldChar w:fldCharType="begin"/>
      </w:r>
      <w:r>
        <w:instrText xml:space="preserve"> TITLE   \* MERGEFORMAT </w:instrText>
      </w:r>
      <w:r>
        <w:fldChar w:fldCharType="separate"/>
      </w:r>
      <w:r>
        <w:t>HLTMT310D Collect, preserve and store post mortem samples</w:t>
      </w:r>
      <w:r>
        <w:fldChar w:fldCharType="end"/>
      </w:r>
    </w:p>
    <w:p w:rsidR="00F1312F" w:rsidP="00F1312F">
      <w:pPr>
        <w:pStyle w:val="Version"/>
        <w:sectPr w:rsidSect="00F34E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4E63" w:rsidP="00F34E63">
      <w:pPr>
        <w:pStyle w:val="SuperHeading"/>
      </w:pPr>
      <w:r w:rsidRPr="00F34E63">
        <w:t>HLTMT310D Collect, preserve and store post mortem samples</w:t>
      </w:r>
    </w:p>
    <w:p w:rsidR="00000000" w:rsidRPr="00F34E63" w:rsidP="00F34E63">
      <w:pPr>
        <w:pStyle w:val="Heading1"/>
      </w:pPr>
      <w:bookmarkStart w:id="1" w:name="O_432008"/>
      <w:bookmarkEnd w:id="1"/>
      <w:r w:rsidRPr="00F34E63">
        <w:t>Modification History</w:t>
      </w:r>
    </w:p>
    <w:tbl>
      <w:tblPr>
        <w:tblW w:w="0" w:type="auto"/>
        <w:tblCellMar>
          <w:left w:w="62" w:type="dxa"/>
          <w:right w:w="62" w:type="dxa"/>
        </w:tblCellMar>
        <w:tblLook w:val="0000"/>
      </w:tblPr>
      <w:tblGrid>
        <w:gridCol w:w="2335"/>
        <w:gridCol w:w="2853"/>
        <w:gridCol w:w="4008"/>
      </w:tblGrid>
      <w:tr w:rsidTr="00F131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4E63">
            <w:pPr>
              <w:pStyle w:val="BodyText"/>
              <w:rPr>
                <w:lang w:val="en-NZ"/>
              </w:rPr>
            </w:pPr>
            <w:r w:rsidRPr="00F34E6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4E63">
            <w:pPr>
              <w:pStyle w:val="BodyText"/>
              <w:rPr>
                <w:lang w:val="en-NZ"/>
              </w:rPr>
            </w:pPr>
            <w:r w:rsidRPr="00F34E6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4E63">
            <w:pPr>
              <w:pStyle w:val="BodyText"/>
              <w:rPr>
                <w:lang w:val="en-NZ"/>
              </w:rPr>
            </w:pPr>
            <w:r w:rsidRPr="00F34E63">
              <w:t>Comments</w:t>
            </w:r>
          </w:p>
        </w:tc>
      </w:tr>
      <w:tr w:rsidTr="00F131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4E63">
            <w:pPr>
              <w:pStyle w:val="BodyText"/>
              <w:rPr>
                <w:lang w:val="en-NZ"/>
              </w:rPr>
            </w:pPr>
            <w:r w:rsidRPr="00F34E63">
              <w:t>HLTMT310C Collect, preserve and store post mortem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4E63">
            <w:pPr>
              <w:pStyle w:val="BodyText"/>
              <w:rPr>
                <w:lang w:val="en-NZ"/>
              </w:rPr>
            </w:pPr>
            <w:r w:rsidRPr="00F34E63">
              <w:t>HLTMT310D Collect, preserve and store post mortem samples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4E63" w:rsidP="00F34E63">
            <w:pPr>
              <w:pStyle w:val="BodyText"/>
            </w:pPr>
            <w:r w:rsidRPr="00F34E63">
              <w:t>ISC upgrade changes to remove references to old OHS legislation and replace with references to new WHS legislation. No change to competency outcome.</w:t>
            </w:r>
          </w:p>
        </w:tc>
      </w:tr>
    </w:tbl>
    <w:p w:rsidR="00000000" w:rsidRPr="00F34E63" w:rsidP="00F34E63">
      <w:pPr>
        <w:pStyle w:val="BodyText"/>
      </w:pPr>
    </w:p>
    <w:p w:rsidR="00000000" w:rsidRPr="00F34E63" w:rsidP="00F34E63">
      <w:pPr>
        <w:pStyle w:val="AllowPageBreak"/>
      </w:pPr>
    </w:p>
    <w:p w:rsidR="00000000" w:rsidRPr="00F34E63" w:rsidP="00F34E63">
      <w:pPr>
        <w:pStyle w:val="Heading1"/>
      </w:pPr>
      <w:bookmarkStart w:id="2" w:name="O_432006"/>
      <w:bookmarkEnd w:id="2"/>
      <w:r w:rsidRPr="00F34E63">
        <w:t>Unit Descriptor</w:t>
      </w:r>
    </w:p>
    <w:tbl>
      <w:tblPr>
        <w:tblW w:w="0" w:type="auto"/>
        <w:tblLayout w:type="fixed"/>
        <w:tblCellMar>
          <w:left w:w="62" w:type="dxa"/>
          <w:right w:w="62" w:type="dxa"/>
        </w:tblCellMar>
        <w:tblLook w:val="0000"/>
      </w:tblPr>
      <w:tblGrid>
        <w:gridCol w:w="3339"/>
        <w:gridCol w:w="5217"/>
      </w:tblGrid>
      <w:tr w:rsidTr="00F1312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This unit describes the knowledge and skills required to coll</w:t>
            </w:r>
            <w:r w:rsidRPr="00F34E63">
              <w:t>ect, preserve, and store pathological specimens collected during the post mortem examination for further testing</w:t>
            </w:r>
          </w:p>
        </w:tc>
      </w:tr>
    </w:tbl>
    <w:p w:rsidR="00F1312F" w:rsidP="00F34E63">
      <w:pPr>
        <w:pStyle w:val="BodyText"/>
      </w:pPr>
    </w:p>
    <w:p w:rsidR="00F1312F" w:rsidP="00F34E63">
      <w:pPr>
        <w:pStyle w:val="BodyText"/>
      </w:pPr>
    </w:p>
    <w:p w:rsidR="00000000" w:rsidRPr="00F34E63" w:rsidP="00F34E63">
      <w:pPr>
        <w:pStyle w:val="Heading1"/>
      </w:pPr>
      <w:bookmarkStart w:id="3" w:name="O_431996"/>
      <w:bookmarkEnd w:id="3"/>
      <w:r w:rsidRPr="00F34E63">
        <w:t>Application of the Unit</w:t>
      </w:r>
    </w:p>
    <w:tbl>
      <w:tblPr>
        <w:tblW w:w="0" w:type="auto"/>
        <w:tblLayout w:type="fixed"/>
        <w:tblCellMar>
          <w:left w:w="62" w:type="dxa"/>
          <w:right w:w="62" w:type="dxa"/>
        </w:tblCellMar>
        <w:tblLook w:val="0000"/>
      </w:tblPr>
      <w:tblGrid>
        <w:gridCol w:w="3341"/>
        <w:gridCol w:w="5215"/>
      </w:tblGrid>
      <w:tr w:rsidTr="00F1312F">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Work performed requires demonstration of basic knowledge of the means of preservation of different types of samples that may be collected for further testing including tissue samples, whole organs, blood and other body fluids</w:t>
            </w:r>
          </w:p>
          <w:p w:rsidR="00000000" w:rsidRPr="00F34E63" w:rsidP="00F34E63">
            <w:pPr>
              <w:pStyle w:val="BodyText"/>
            </w:pPr>
            <w:r w:rsidRPr="00F34E63">
              <w:t>Individuals will take responsi</w:t>
            </w:r>
            <w:r w:rsidRPr="00F34E63">
              <w:t>bility for their own outputs and limited responsibility for the output of others</w:t>
            </w:r>
          </w:p>
          <w:p w:rsidR="00000000" w:rsidRPr="00F34E63" w:rsidP="00F34E63">
            <w:pPr>
              <w:pStyle w:val="BodyText"/>
            </w:pPr>
            <w:r w:rsidRPr="00F34E63">
              <w:t>All tasks are conducted in accordance with organisation policies and procedures including WHS and infection control guidelines</w:t>
            </w:r>
          </w:p>
        </w:tc>
      </w:tr>
    </w:tbl>
    <w:p w:rsidR="00F1312F" w:rsidP="00F34E63">
      <w:pPr>
        <w:pStyle w:val="BodyText"/>
      </w:pPr>
    </w:p>
    <w:p w:rsidR="00F1312F" w:rsidP="00F34E63">
      <w:pPr>
        <w:pStyle w:val="BodyText"/>
      </w:pPr>
    </w:p>
    <w:p w:rsidR="00000000" w:rsidRPr="00F34E63" w:rsidP="00F34E63">
      <w:pPr>
        <w:pStyle w:val="Heading1"/>
      </w:pPr>
      <w:bookmarkStart w:id="4" w:name="O_432002"/>
      <w:bookmarkEnd w:id="4"/>
      <w:r w:rsidRPr="00F34E63">
        <w:t>Licensing/Regulatory Infor</w:t>
      </w:r>
      <w:r w:rsidRPr="00F34E63">
        <w:t>mation</w:t>
      </w:r>
    </w:p>
    <w:p w:rsidR="00000000" w:rsidRPr="00F34E63" w:rsidP="00F34E63">
      <w:pPr>
        <w:pStyle w:val="BodyText"/>
      </w:pPr>
      <w:r w:rsidRPr="00F34E63">
        <w:t>Not Applicable</w:t>
      </w:r>
    </w:p>
    <w:p w:rsidR="00000000" w:rsidRPr="00F34E63" w:rsidP="00F34E63">
      <w:pPr>
        <w:pStyle w:val="AllowPageBreak"/>
      </w:pPr>
    </w:p>
    <w:p w:rsidR="00000000" w:rsidRPr="00F34E63" w:rsidP="00F34E63">
      <w:pPr>
        <w:pStyle w:val="Heading1"/>
      </w:pPr>
      <w:bookmarkStart w:id="5" w:name="O_432003"/>
      <w:bookmarkEnd w:id="5"/>
      <w:r w:rsidRPr="00F34E63">
        <w:t>Pre-Requisites</w:t>
      </w:r>
    </w:p>
    <w:p w:rsidR="00000000" w:rsidRPr="00F34E63" w:rsidP="00F34E63">
      <w:pPr>
        <w:pStyle w:val="BodyText"/>
      </w:pPr>
      <w:r w:rsidRPr="00F34E63">
        <w:t>Not Applicable</w:t>
      </w:r>
    </w:p>
    <w:p w:rsidR="00000000" w:rsidRPr="00F34E63" w:rsidP="00F34E63">
      <w:pPr>
        <w:pStyle w:val="AllowPageBreak"/>
      </w:pPr>
    </w:p>
    <w:p w:rsidR="00000000" w:rsidRPr="00F34E63" w:rsidP="00F34E63">
      <w:pPr>
        <w:pStyle w:val="Heading1"/>
      </w:pPr>
      <w:bookmarkStart w:id="6" w:name="O_431999"/>
      <w:bookmarkEnd w:id="6"/>
      <w:r w:rsidRPr="00F34E63">
        <w:t>Employability Skills Information</w:t>
      </w:r>
    </w:p>
    <w:tbl>
      <w:tblPr>
        <w:tblW w:w="0" w:type="auto"/>
        <w:tblLayout w:type="fixed"/>
        <w:tblCellMar>
          <w:left w:w="62" w:type="dxa"/>
          <w:right w:w="62" w:type="dxa"/>
        </w:tblCellMar>
        <w:tblLook w:val="0000"/>
      </w:tblPr>
      <w:tblGrid>
        <w:gridCol w:w="3320"/>
        <w:gridCol w:w="5236"/>
      </w:tblGrid>
      <w:tr w:rsidTr="00F1312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This unit contains Employability Skills</w:t>
            </w:r>
          </w:p>
        </w:tc>
      </w:tr>
    </w:tbl>
    <w:p w:rsidR="00F1312F" w:rsidP="00F34E63">
      <w:pPr>
        <w:pStyle w:val="BodyText"/>
      </w:pPr>
    </w:p>
    <w:p w:rsidR="00F1312F" w:rsidP="00F34E63">
      <w:pPr>
        <w:pStyle w:val="BodyText"/>
      </w:pPr>
    </w:p>
    <w:p w:rsidR="00000000" w:rsidRPr="00F34E63" w:rsidP="00F34E63">
      <w:pPr>
        <w:pStyle w:val="Heading1"/>
      </w:pPr>
      <w:bookmarkStart w:id="7" w:name="O_431998"/>
      <w:bookmarkEnd w:id="7"/>
      <w:r w:rsidRPr="00F34E63">
        <w:t>Elements and Performance Criteria Pre-Content</w:t>
      </w:r>
    </w:p>
    <w:tbl>
      <w:tblPr>
        <w:tblW w:w="0" w:type="auto"/>
        <w:tblLayout w:type="fixed"/>
        <w:tblCellMar>
          <w:left w:w="62" w:type="dxa"/>
          <w:right w:w="62" w:type="dxa"/>
        </w:tblCellMar>
        <w:tblLook w:val="0000"/>
      </w:tblPr>
      <w:tblGrid>
        <w:gridCol w:w="3369"/>
        <w:gridCol w:w="5702"/>
      </w:tblGrid>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 xml:space="preserve">The Performance Criteria specify the level of performance required to demonstrate achievement of the Element. Terms in italics are elaborated in the Range Statement. </w:t>
            </w:r>
          </w:p>
        </w:tc>
      </w:tr>
    </w:tbl>
    <w:p w:rsidR="00000000" w:rsidRPr="00F34E63" w:rsidP="00F34E63">
      <w:pPr>
        <w:pStyle w:val="BodyText"/>
      </w:pPr>
    </w:p>
    <w:p w:rsidR="00000000" w:rsidRPr="00F34E63" w:rsidP="00F34E63">
      <w:pPr>
        <w:pStyle w:val="AllowPageBreak"/>
      </w:pPr>
    </w:p>
    <w:p w:rsidR="00000000" w:rsidRPr="00F34E63" w:rsidP="00F34E63">
      <w:pPr>
        <w:pStyle w:val="Heading1"/>
      </w:pPr>
      <w:bookmarkStart w:id="8" w:name="O_431997"/>
      <w:bookmarkEnd w:id="8"/>
      <w:r w:rsidRPr="00F34E63">
        <w:t>Elemen</w:t>
      </w:r>
      <w:r w:rsidRPr="00F34E63">
        <w:t>ts and Performance Criteria</w:t>
      </w:r>
    </w:p>
    <w:tbl>
      <w:tblPr>
        <w:tblW w:w="0" w:type="auto"/>
        <w:tblLayout w:type="fixed"/>
        <w:tblCellMar>
          <w:left w:w="62" w:type="dxa"/>
          <w:right w:w="62" w:type="dxa"/>
        </w:tblCellMar>
        <w:tblLook w:val="0000"/>
      </w:tblPr>
      <w:tblGrid>
        <w:gridCol w:w="3369"/>
        <w:gridCol w:w="5702"/>
      </w:tblGrid>
      <w:tr w:rsidTr="00F1312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SpecialBold"/>
              </w:rPr>
              <w:t>PERFORMANCE CRITERIA</w:t>
            </w: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E63">
            <w:pPr>
              <w:pStyle w:val="List"/>
              <w:rPr>
                <w:lang w:val="en-NZ"/>
              </w:rPr>
            </w:pPr>
            <w:r w:rsidRPr="00F34E63">
              <w:t>1.</w:t>
            </w:r>
            <w:r w:rsidRPr="00F34E63">
              <w:tab/>
              <w:t xml:space="preserve">Prepare for collection of </w:t>
            </w:r>
            <w:r w:rsidRPr="00F34E63">
              <w:rPr>
                <w:rStyle w:val="Emphasis"/>
              </w:rPr>
              <w:t>specimen</w:t>
            </w:r>
            <w:r w:rsidRPr="00F34E63">
              <w:t>/</w:t>
            </w:r>
            <w:r w:rsidRPr="00F34E63">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1.1</w:t>
            </w:r>
            <w:r w:rsidRPr="00F34E63">
              <w:tab/>
              <w:t xml:space="preserve">Ascertain types of specimens/samples to be collected for further </w:t>
            </w:r>
            <w:r w:rsidRPr="00F34E63">
              <w:rPr>
                <w:rStyle w:val="Emphasis"/>
              </w:rPr>
              <w:t>testing</w:t>
            </w:r>
            <w:r w:rsidRPr="00F34E63">
              <w:t xml:space="preserve"> from </w:t>
            </w:r>
            <w:r w:rsidRPr="00F34E63">
              <w:rPr>
                <w:rStyle w:val="Emphasis"/>
              </w:rPr>
              <w:t>medical personnel</w:t>
            </w:r>
            <w:r w:rsidRPr="00F34E63">
              <w:t xml:space="preserve"> </w:t>
            </w:r>
          </w:p>
          <w:p w:rsidR="00000000" w:rsidRPr="00F34E63" w:rsidP="00F34E63">
            <w:pPr>
              <w:pStyle w:val="BodyText"/>
            </w:pPr>
            <w:r w:rsidRPr="00F34E63">
              <w:t>1.2</w:t>
            </w:r>
            <w:r w:rsidRPr="00F34E63">
              <w:tab/>
              <w:t xml:space="preserve">Correctly use </w:t>
            </w:r>
            <w:r w:rsidRPr="00F34E63">
              <w:rPr>
                <w:rStyle w:val="Emphasis"/>
              </w:rPr>
              <w:t>personal protective equipment</w:t>
            </w:r>
          </w:p>
          <w:p w:rsidR="00000000" w:rsidP="00F34E63">
            <w:pPr>
              <w:pStyle w:val="BodyText"/>
              <w:rPr>
                <w:lang w:val="en-NZ"/>
              </w:rPr>
            </w:pPr>
            <w:r w:rsidRPr="00F34E63">
              <w:t>1.3</w:t>
            </w:r>
            <w:r w:rsidRPr="00F34E63">
              <w:tab/>
            </w:r>
            <w:r w:rsidRPr="00F34E63">
              <w:t xml:space="preserve">Select and prepare appropriate </w:t>
            </w:r>
            <w:r w:rsidRPr="00F34E63">
              <w:rPr>
                <w:rStyle w:val="Emphasis"/>
              </w:rPr>
              <w:t>equipment and materials</w:t>
            </w:r>
            <w:r w:rsidRPr="00F34E63">
              <w:t xml:space="preserve"> </w:t>
            </w: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E63">
            <w:pPr>
              <w:pStyle w:val="List"/>
              <w:rPr>
                <w:lang w:val="en-NZ"/>
              </w:rPr>
            </w:pPr>
            <w:r w:rsidRPr="00F34E63">
              <w:t>2.</w:t>
            </w:r>
            <w:r w:rsidRPr="00F34E63">
              <w:tab/>
              <w:t xml:space="preserve">Collect </w:t>
            </w:r>
            <w:r w:rsidRPr="00F34E63">
              <w:rPr>
                <w:rStyle w:val="Emphasis"/>
              </w:rPr>
              <w:t>specimen</w:t>
            </w:r>
            <w:r w:rsidRPr="00F34E63">
              <w:t>/</w:t>
            </w:r>
            <w:r w:rsidRPr="00F34E63">
              <w:rPr>
                <w:rStyle w:val="Emphasis"/>
              </w:rPr>
              <w:t>s</w:t>
            </w:r>
          </w:p>
        </w:tc>
        <w:tc>
          <w:tcPr>
            <w:tcW w:w="570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2.1</w:t>
            </w:r>
            <w:r w:rsidRPr="00F34E63">
              <w:tab/>
              <w:t xml:space="preserve">Collect specimen/s using appropriate </w:t>
            </w:r>
            <w:r w:rsidRPr="00F34E63">
              <w:rPr>
                <w:rStyle w:val="Emphasis"/>
              </w:rPr>
              <w:t>equipment and materials</w:t>
            </w:r>
          </w:p>
          <w:p w:rsidR="00000000" w:rsidRPr="00F34E63" w:rsidP="00F34E63">
            <w:pPr>
              <w:pStyle w:val="BodyText"/>
            </w:pPr>
            <w:r w:rsidRPr="00F34E63">
              <w:t>2.2</w:t>
            </w:r>
            <w:r w:rsidRPr="00F34E63">
              <w:tab/>
              <w:t xml:space="preserve">Place collected specimens in appropriate containers with appropriate </w:t>
            </w:r>
            <w:r w:rsidRPr="00F34E63">
              <w:rPr>
                <w:rStyle w:val="Emphasis"/>
              </w:rPr>
              <w:t>solutions and media</w:t>
            </w:r>
            <w:r w:rsidRPr="00F34E63">
              <w:t xml:space="preserve"> as required</w:t>
            </w:r>
          </w:p>
          <w:p w:rsidR="00000000" w:rsidRPr="00F34E63" w:rsidP="00F34E63">
            <w:pPr>
              <w:pStyle w:val="BodyText"/>
            </w:pPr>
            <w:r w:rsidRPr="00F34E63">
              <w:t>2.3</w:t>
            </w:r>
            <w:r w:rsidRPr="00F34E63">
              <w:tab/>
            </w:r>
            <w:r w:rsidRPr="00F34E63">
              <w:t xml:space="preserve">Clean work area </w:t>
            </w:r>
          </w:p>
          <w:p w:rsidR="00000000" w:rsidP="00F34E63">
            <w:pPr>
              <w:pStyle w:val="BodyText"/>
              <w:rPr>
                <w:lang w:val="en-NZ"/>
              </w:rPr>
            </w:pPr>
            <w:r w:rsidRPr="00F34E63">
              <w:t>2.4</w:t>
            </w:r>
            <w:r w:rsidRPr="00F34E63">
              <w:tab/>
              <w:t xml:space="preserve">Clearly label specimens in accordance with </w:t>
            </w:r>
            <w:r w:rsidRPr="00F34E63">
              <w:rPr>
                <w:rStyle w:val="Emphasis"/>
              </w:rPr>
              <w:t>organisation policy and procedures</w:t>
            </w: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E63">
            <w:pPr>
              <w:pStyle w:val="List"/>
              <w:rPr>
                <w:lang w:val="en-NZ"/>
              </w:rPr>
            </w:pPr>
            <w:r w:rsidRPr="00F34E63">
              <w:t>3.</w:t>
            </w:r>
            <w:r w:rsidRPr="00F34E63">
              <w:tab/>
              <w:t xml:space="preserve">Prepare </w:t>
            </w:r>
            <w:r w:rsidRPr="00F34E63">
              <w:rPr>
                <w:rStyle w:val="Emphasis"/>
              </w:rPr>
              <w:t>specimens</w:t>
            </w:r>
            <w:r w:rsidRPr="00F34E63">
              <w:t xml:space="preserve"> for transfer to laboratory</w:t>
            </w:r>
          </w:p>
        </w:tc>
        <w:tc>
          <w:tcPr>
            <w:tcW w:w="570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3.1</w:t>
            </w:r>
            <w:r w:rsidRPr="00F34E63">
              <w:tab/>
              <w:t xml:space="preserve">Obtain relevant request forms from </w:t>
            </w:r>
            <w:r w:rsidRPr="00F34E63">
              <w:rPr>
                <w:rStyle w:val="Emphasis"/>
              </w:rPr>
              <w:t>medical personnel</w:t>
            </w:r>
            <w:r w:rsidRPr="00F34E63">
              <w:t xml:space="preserve"> for each specimen.</w:t>
            </w:r>
          </w:p>
          <w:p w:rsidR="00000000" w:rsidRPr="00F34E63" w:rsidP="00F34E63">
            <w:pPr>
              <w:pStyle w:val="BodyText"/>
            </w:pPr>
            <w:r w:rsidRPr="00F34E63">
              <w:t>3.2</w:t>
            </w:r>
            <w:r w:rsidRPr="00F34E63">
              <w:tab/>
            </w:r>
            <w:r w:rsidRPr="00F34E63">
              <w:t>Package specimens for transfer to testing laboratory according to local organisation procedure.</w:t>
            </w:r>
          </w:p>
          <w:p w:rsidR="00000000" w:rsidRPr="00F34E63" w:rsidP="00F34E63">
            <w:pPr>
              <w:pStyle w:val="BodyText"/>
            </w:pPr>
            <w:r w:rsidRPr="00F34E63">
              <w:t>3.3</w:t>
            </w:r>
            <w:r w:rsidRPr="00F34E63">
              <w:tab/>
              <w:t>Clean work area</w:t>
            </w:r>
          </w:p>
          <w:p w:rsidR="00000000" w:rsidP="00F34E63">
            <w:pPr>
              <w:pStyle w:val="BodyText"/>
              <w:rPr>
                <w:lang w:val="en-NZ"/>
              </w:rPr>
            </w:pPr>
            <w:r w:rsidRPr="00F34E63">
              <w:t>3.4</w:t>
            </w:r>
            <w:r w:rsidRPr="00F34E63">
              <w:tab/>
              <w:t xml:space="preserve">Maintain </w:t>
            </w:r>
            <w:r w:rsidRPr="00F34E63">
              <w:rPr>
                <w:rStyle w:val="Emphasis"/>
              </w:rPr>
              <w:t>inventory</w:t>
            </w:r>
            <w:r w:rsidRPr="00F34E63">
              <w:t xml:space="preserve"> of specimens transferred</w:t>
            </w: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34E63">
            <w:pPr>
              <w:pStyle w:val="List"/>
              <w:rPr>
                <w:lang w:val="en-NZ"/>
              </w:rPr>
            </w:pPr>
            <w:r w:rsidRPr="00F34E63">
              <w:t>4.</w:t>
            </w:r>
            <w:r w:rsidRPr="00F34E63">
              <w:tab/>
              <w:t xml:space="preserve">Disposal of </w:t>
            </w:r>
            <w:r w:rsidRPr="00F34E63">
              <w:rPr>
                <w:rStyle w:val="Emphasis"/>
              </w:rPr>
              <w:t>retained specimens</w:t>
            </w:r>
          </w:p>
        </w:tc>
        <w:tc>
          <w:tcPr>
            <w:tcW w:w="570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t>4.1</w:t>
            </w:r>
            <w:r w:rsidRPr="00F34E63">
              <w:tab/>
              <w:t xml:space="preserve">Check appropriate </w:t>
            </w:r>
            <w:r w:rsidRPr="00F34E63">
              <w:rPr>
                <w:rStyle w:val="Emphasis"/>
              </w:rPr>
              <w:t>authorisation</w:t>
            </w:r>
            <w:r w:rsidRPr="00F34E63">
              <w:t xml:space="preserve"> for disposal has b</w:t>
            </w:r>
            <w:r w:rsidRPr="00F34E63">
              <w:t>een given</w:t>
            </w:r>
          </w:p>
          <w:p w:rsidR="00000000" w:rsidRPr="00F34E63" w:rsidP="00F34E63">
            <w:pPr>
              <w:pStyle w:val="BodyText"/>
            </w:pPr>
            <w:r w:rsidRPr="00F34E63">
              <w:t>4.2</w:t>
            </w:r>
            <w:r w:rsidRPr="00F34E63">
              <w:tab/>
              <w:t>Identify specimens for disposal</w:t>
            </w:r>
          </w:p>
          <w:p w:rsidR="00000000" w:rsidRPr="00F34E63" w:rsidP="00F34E63">
            <w:pPr>
              <w:pStyle w:val="BodyText"/>
            </w:pPr>
            <w:r w:rsidRPr="00F34E63">
              <w:t>4.3</w:t>
            </w:r>
            <w:r w:rsidRPr="00F34E63">
              <w:tab/>
              <w:t>Dispose of retained specimens according to local organisation policies and procedures</w:t>
            </w:r>
          </w:p>
          <w:p w:rsidR="00000000" w:rsidP="00F34E63">
            <w:pPr>
              <w:pStyle w:val="BodyText"/>
              <w:rPr>
                <w:lang w:val="en-NZ"/>
              </w:rPr>
            </w:pPr>
            <w:r w:rsidRPr="00F34E63">
              <w:t>4.4</w:t>
            </w:r>
            <w:r w:rsidRPr="00F34E63">
              <w:tab/>
              <w:t>Complete local organisation documentation required for disposal</w:t>
            </w:r>
          </w:p>
        </w:tc>
      </w:tr>
      <w:tr w:rsidTr="00F1312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34E63" w:rsidP="00F34E63">
            <w:pPr>
              <w:pStyle w:val="BodyText"/>
            </w:pPr>
          </w:p>
        </w:tc>
      </w:tr>
    </w:tbl>
    <w:p w:rsidR="00F1312F" w:rsidP="00F34E63">
      <w:pPr>
        <w:pStyle w:val="BodyText"/>
      </w:pPr>
    </w:p>
    <w:p w:rsidR="00F1312F" w:rsidP="00F34E63">
      <w:pPr>
        <w:pStyle w:val="BodyText"/>
      </w:pPr>
    </w:p>
    <w:p w:rsidR="00000000" w:rsidRPr="00F34E63" w:rsidP="00F34E63">
      <w:pPr>
        <w:pStyle w:val="Heading1"/>
      </w:pPr>
      <w:bookmarkStart w:id="9" w:name="O_432005"/>
      <w:bookmarkEnd w:id="9"/>
      <w:r w:rsidRPr="00F34E63">
        <w:t>Required Skills and Knowledge</w:t>
      </w:r>
    </w:p>
    <w:tbl>
      <w:tblPr>
        <w:tblW w:w="0" w:type="auto"/>
        <w:tblLayout w:type="fixed"/>
        <w:tblCellMar>
          <w:left w:w="62" w:type="dxa"/>
          <w:right w:w="62" w:type="dxa"/>
        </w:tblCellMar>
        <w:tblLook w:val="0000"/>
      </w:tblPr>
      <w:tblGrid>
        <w:gridCol w:w="9072"/>
      </w:tblGrid>
      <w:tr w:rsidTr="00F13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t>This describes the essential skills and knowledge and their level required for this unit.</w:t>
            </w:r>
          </w:p>
        </w:tc>
      </w:tr>
      <w:tr w:rsidTr="00F13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rPr>
                <w:rStyle w:val="Emphasis"/>
              </w:rPr>
              <w:t>Essential knowledge</w:t>
            </w:r>
            <w:r w:rsidRPr="00F34E63">
              <w:t>:</w:t>
            </w:r>
          </w:p>
          <w:p w:rsidR="00000000" w:rsidRPr="00F34E63" w:rsidP="00F34E63">
            <w:pPr>
              <w:pStyle w:val="BodyText"/>
            </w:pPr>
            <w:r w:rsidRPr="00F34E63">
              <w:t>The candidate must be able to demonstrate essential knowledge required to effectively do the task outlined in el</w:t>
            </w:r>
            <w:r w:rsidRPr="00F34E63">
              <w:t>ements and performance criteria of this unit, manage the task and manage contingencies in the context of the identified work role</w:t>
            </w:r>
          </w:p>
          <w:p w:rsidR="00000000" w:rsidRPr="00F34E63" w:rsidP="00F34E63">
            <w:pPr>
              <w:pStyle w:val="BodyText"/>
            </w:pPr>
            <w:r w:rsidRPr="00F34E63">
              <w:t>This includes knowledge of:</w:t>
            </w:r>
          </w:p>
          <w:p w:rsidR="00000000" w:rsidRPr="00F34E63" w:rsidP="00F34E63">
            <w:pPr>
              <w:pStyle w:val="ListBullet"/>
            </w:pPr>
            <w:r w:rsidRPr="00F34E63">
              <w:t>Basic anatomy and physiology</w:t>
            </w:r>
          </w:p>
          <w:p w:rsidR="00000000" w:rsidRPr="00F34E63" w:rsidP="00F34E63">
            <w:pPr>
              <w:pStyle w:val="ListBullet"/>
            </w:pPr>
            <w:r w:rsidRPr="00F34E63">
              <w:t>Cleaning and disposal techniques for human tissue</w:t>
            </w:r>
          </w:p>
          <w:p w:rsidR="00000000" w:rsidRPr="00F34E63" w:rsidP="00F34E63">
            <w:pPr>
              <w:pStyle w:val="ListBullet"/>
            </w:pPr>
            <w:r w:rsidRPr="00F34E63">
              <w:t>Legal requirements affecting the mortuary worker</w:t>
            </w:r>
          </w:p>
          <w:p w:rsidR="00000000" w:rsidRPr="00F34E63" w:rsidP="00F34E63">
            <w:pPr>
              <w:pStyle w:val="ListBullet"/>
            </w:pPr>
            <w:r w:rsidRPr="00F34E63">
              <w:t>Relevant basic medical terminology</w:t>
            </w:r>
          </w:p>
          <w:p w:rsidR="00000000" w:rsidRPr="00F34E63" w:rsidP="00F34E63">
            <w:pPr>
              <w:pStyle w:val="ListBullet"/>
            </w:pPr>
            <w:r w:rsidRPr="00F34E63">
              <w:t>Relevant organisation policies and procedures</w:t>
            </w:r>
          </w:p>
          <w:p w:rsidR="00000000" w:rsidP="00F34E63">
            <w:pPr>
              <w:pStyle w:val="ListBullet"/>
              <w:rPr>
                <w:lang w:val="en-NZ"/>
              </w:rPr>
            </w:pPr>
            <w:r w:rsidRPr="00F34E63">
              <w:t>Work health and safety (WHS) in a mortuary</w:t>
            </w:r>
          </w:p>
        </w:tc>
      </w:tr>
      <w:tr w:rsidTr="00F13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34E63" w:rsidP="00F34E63">
            <w:pPr>
              <w:pStyle w:val="BodyText"/>
            </w:pPr>
            <w:r w:rsidRPr="00F34E63">
              <w:rPr>
                <w:rStyle w:val="Emphasis"/>
              </w:rPr>
              <w:t>Essential skills</w:t>
            </w:r>
            <w:r w:rsidRPr="00F34E63">
              <w:t>:</w:t>
            </w:r>
          </w:p>
          <w:p w:rsidR="00000000" w:rsidRPr="00F34E63" w:rsidP="00F34E63">
            <w:pPr>
              <w:pStyle w:val="BodyText"/>
            </w:pPr>
            <w:r w:rsidRPr="00F34E63">
              <w:t>It is critical that the candidate demonstrate the ability to e</w:t>
            </w:r>
            <w:r w:rsidRPr="00F34E63">
              <w:t>ffectively do the task outlined in elements and performance criteria of this unit, manage the task and manage contingencies in the context of the identified work role</w:t>
            </w:r>
          </w:p>
          <w:p w:rsidR="00000000" w:rsidRPr="00F34E63" w:rsidP="00F34E63">
            <w:pPr>
              <w:pStyle w:val="BodyText"/>
            </w:pPr>
            <w:r w:rsidRPr="00F34E63">
              <w:t>This includes the ability to:</w:t>
            </w:r>
          </w:p>
          <w:p w:rsidR="00000000" w:rsidRPr="00F34E63" w:rsidP="00F34E63">
            <w:pPr>
              <w:pStyle w:val="ListBullet"/>
            </w:pPr>
            <w:r w:rsidRPr="00F34E63">
              <w:t xml:space="preserve">Apply problem solving skills, including an ability to use </w:t>
            </w:r>
            <w:r w:rsidRPr="00F34E63">
              <w:t xml:space="preserve">available resources </w:t>
            </w:r>
          </w:p>
          <w:p w:rsidR="00000000" w:rsidRPr="00F34E63" w:rsidP="00F34E63">
            <w:pPr>
              <w:pStyle w:val="ListBullet"/>
            </w:pPr>
            <w:r w:rsidRPr="00F34E63">
              <w:t>Demonstrate:</w:t>
            </w:r>
          </w:p>
          <w:p w:rsidR="00000000" w:rsidRPr="00F34E63" w:rsidP="00F34E63">
            <w:pPr>
              <w:pStyle w:val="ListBullet2"/>
            </w:pPr>
            <w:r w:rsidRPr="00F34E63">
              <w:t>correct and safe use of equipment</w:t>
            </w:r>
          </w:p>
          <w:p w:rsidR="00000000" w:rsidRPr="00F34E63" w:rsidP="00F34E63">
            <w:pPr>
              <w:pStyle w:val="ListBullet2"/>
            </w:pPr>
            <w:r w:rsidRPr="00F34E63">
              <w:t>correct collection techniques</w:t>
            </w:r>
          </w:p>
          <w:p w:rsidR="00000000" w:rsidRPr="00F34E63" w:rsidP="00F34E63">
            <w:pPr>
              <w:pStyle w:val="ListBullet2"/>
            </w:pPr>
            <w:r w:rsidRPr="00F34E63">
              <w:t>correct completion of documentation</w:t>
            </w:r>
          </w:p>
          <w:p w:rsidR="00000000" w:rsidRPr="00F34E63" w:rsidP="00F34E63">
            <w:pPr>
              <w:pStyle w:val="ListBullet2"/>
            </w:pPr>
            <w:r w:rsidRPr="00F34E63">
              <w:t>correct packaging for transfer</w:t>
            </w:r>
          </w:p>
          <w:p w:rsidR="00000000" w:rsidRPr="00F34E63" w:rsidP="00F34E63">
            <w:pPr>
              <w:pStyle w:val="ListBullet2"/>
            </w:pPr>
            <w:r w:rsidRPr="00F34E63">
              <w:t>correct preservation, labelling and storage of specimens</w:t>
            </w:r>
          </w:p>
          <w:p w:rsidR="00000000" w:rsidRPr="00F34E63" w:rsidP="00F34E63">
            <w:pPr>
              <w:pStyle w:val="ListBullet2"/>
            </w:pPr>
            <w:r w:rsidRPr="00F34E63">
              <w:t>correct use of personal protective equipment</w:t>
            </w:r>
          </w:p>
          <w:p w:rsidR="00000000" w:rsidRPr="00F34E63" w:rsidP="00F34E63">
            <w:pPr>
              <w:pStyle w:val="ListBullet2"/>
            </w:pPr>
            <w:r w:rsidRPr="00F34E63">
              <w:t>relevant and accurate labelling of specimens</w:t>
            </w:r>
          </w:p>
          <w:p w:rsidR="00000000" w:rsidRPr="00F34E63" w:rsidP="00F34E63">
            <w:pPr>
              <w:pStyle w:val="ListBullet2"/>
            </w:pPr>
            <w:r w:rsidRPr="00F34E63">
              <w:t>effective communication with medical officer performing autopsy</w:t>
            </w:r>
          </w:p>
          <w:p w:rsidR="00000000" w:rsidRPr="00F34E63" w:rsidP="00F34E63">
            <w:pPr>
              <w:pStyle w:val="ListBullet"/>
            </w:pPr>
            <w:r w:rsidRPr="00F34E63">
              <w:t>Follow correct practices for disposal of human tissue</w:t>
            </w:r>
          </w:p>
          <w:p w:rsidR="00000000" w:rsidRPr="00F34E63" w:rsidP="00F34E63">
            <w:pPr>
              <w:pStyle w:val="ListBullet"/>
            </w:pPr>
            <w:r w:rsidRPr="00F34E63">
              <w:t>Follow infection control policy and procedures</w:t>
            </w:r>
          </w:p>
          <w:p w:rsidR="00000000" w:rsidRPr="00F34E63" w:rsidP="00F34E63">
            <w:pPr>
              <w:pStyle w:val="ListBullet"/>
            </w:pPr>
            <w:r w:rsidRPr="00F34E63">
              <w:t xml:space="preserve">Follow Medical Officer's instructions </w:t>
            </w:r>
          </w:p>
          <w:p w:rsidR="00000000" w:rsidRPr="00F34E63" w:rsidP="00F34E63">
            <w:pPr>
              <w:pStyle w:val="ListBullet"/>
            </w:pPr>
            <w:r w:rsidRPr="00F34E63">
              <w:t>Follow organisation waste management practices, including correctly and safely dispose of clinical and other wastes</w:t>
            </w:r>
          </w:p>
          <w:p w:rsidR="00000000" w:rsidRPr="00F34E63" w:rsidP="00F34E63">
            <w:pPr>
              <w:pStyle w:val="ListBullet"/>
            </w:pPr>
            <w:r w:rsidRPr="00F34E63">
              <w:t>Preserve specimens</w:t>
            </w:r>
          </w:p>
          <w:p w:rsidR="00000000" w:rsidRPr="00F34E63" w:rsidP="00F34E63">
            <w:pPr>
              <w:pStyle w:val="ListBullet"/>
            </w:pPr>
            <w:r w:rsidRPr="00F34E63">
              <w:t>Take into account opportunities to address waste minimisation, environmental respo</w:t>
            </w:r>
            <w:r w:rsidRPr="00F34E63">
              <w:t>nsibility and sustainable practice issues</w:t>
            </w:r>
          </w:p>
          <w:p w:rsidR="00000000" w:rsidRPr="00F34E63" w:rsidP="00F34E63">
            <w:pPr>
              <w:pStyle w:val="ListBullet"/>
            </w:pPr>
            <w:r w:rsidRPr="00F34E63">
              <w:t>Use numeracy skills including the ability to complete basic arithmetic calculations, and undertake measurements of volumes and weight, record stock levels and statistical information</w:t>
            </w:r>
          </w:p>
          <w:p w:rsidR="00000000" w:rsidRPr="00F34E63" w:rsidP="00F34E63">
            <w:pPr>
              <w:pStyle w:val="ListBullet"/>
            </w:pPr>
            <w:r w:rsidRPr="00F34E63">
              <w:t>Use oral communication skills required to fulfil job roles in a safe manner and as specified by the organisation, including skills in:</w:t>
            </w:r>
          </w:p>
          <w:p w:rsidR="00000000" w:rsidRPr="00F34E63" w:rsidP="00F34E63">
            <w:pPr>
              <w:pStyle w:val="ListBullet2"/>
            </w:pPr>
            <w:r w:rsidRPr="00F34E63">
              <w:t>asking questions</w:t>
            </w:r>
          </w:p>
          <w:p w:rsidR="00000000" w:rsidRPr="00F34E63" w:rsidP="00F34E63">
            <w:pPr>
              <w:pStyle w:val="ListBullet2"/>
            </w:pPr>
            <w:r w:rsidRPr="00F34E63">
              <w:t>providing clear information</w:t>
            </w:r>
          </w:p>
          <w:p w:rsidR="00000000" w:rsidRPr="00F34E63" w:rsidP="00F34E63">
            <w:pPr>
              <w:pStyle w:val="ListBullet2"/>
            </w:pPr>
            <w:r w:rsidRPr="00F34E63">
              <w:t>listening to and understanding workplace instructions</w:t>
            </w:r>
          </w:p>
          <w:p w:rsidR="00000000" w:rsidRPr="00F34E63" w:rsidP="00F34E63">
            <w:pPr>
              <w:pStyle w:val="ListBullet2"/>
            </w:pPr>
            <w:r w:rsidRPr="00F34E63">
              <w:t xml:space="preserve">clarifying workplace </w:t>
            </w:r>
            <w:r w:rsidRPr="00F34E63">
              <w:t>instructions when necessary</w:t>
            </w:r>
          </w:p>
          <w:p w:rsidR="00000000" w:rsidRPr="00F34E63" w:rsidP="00F34E63">
            <w:pPr>
              <w:pStyle w:val="ListBullet2"/>
            </w:pPr>
            <w:r w:rsidRPr="00F34E63">
              <w:t xml:space="preserve">using effective verbal and non verbal communication skills with a range of internal and external persons </w:t>
            </w:r>
          </w:p>
          <w:p w:rsidR="00000000" w:rsidRPr="00F34E63" w:rsidP="00F34E63">
            <w:pPr>
              <w:pStyle w:val="ListBullet"/>
            </w:pPr>
            <w:r w:rsidRPr="00F34E63">
              <w:t>Use reading and writing skills required to fulfil job role in a safe manner and as specified by the organisation at a lev</w:t>
            </w:r>
            <w:r w:rsidRPr="00F34E63">
              <w:t>el of skill that includes reading workplace policy and procedure manuals and documenting administrative and clinical information</w:t>
            </w:r>
          </w:p>
          <w:p w:rsidR="00000000" w:rsidRPr="00F34E63" w:rsidP="00F34E63">
            <w:pPr>
              <w:pStyle w:val="ListBullet"/>
            </w:pPr>
            <w:r w:rsidRPr="00F34E63">
              <w:t>Use literacy support available in the workplace that may range from having access to support or assistance from expert/mentor/s</w:t>
            </w:r>
            <w:r w:rsidRPr="00F34E63">
              <w:t>upervisor, to having no communication supports available</w:t>
            </w:r>
          </w:p>
          <w:p w:rsidR="00000000" w:rsidRPr="00F34E63" w:rsidP="00F34E63">
            <w:pPr>
              <w:pStyle w:val="ListBullet"/>
            </w:pPr>
            <w:r w:rsidRPr="00F34E63">
              <w:t>Use safe working procedures during autopsies</w:t>
            </w:r>
          </w:p>
        </w:tc>
      </w:tr>
    </w:tbl>
    <w:p w:rsidR="00F1312F" w:rsidP="00F34E63">
      <w:pPr>
        <w:pStyle w:val="BodyText"/>
      </w:pPr>
    </w:p>
    <w:p w:rsidR="00F1312F" w:rsidP="00F34E63">
      <w:pPr>
        <w:pStyle w:val="BodyText"/>
      </w:pPr>
    </w:p>
    <w:p w:rsidR="00000000" w:rsidRPr="00F34E63" w:rsidP="00F34E63">
      <w:pPr>
        <w:pStyle w:val="Heading1"/>
      </w:pPr>
      <w:bookmarkStart w:id="10" w:name="O_432000"/>
      <w:bookmarkEnd w:id="10"/>
      <w:r w:rsidRPr="00F34E63">
        <w:t>Evidence Guide</w:t>
      </w:r>
    </w:p>
    <w:tbl>
      <w:tblPr>
        <w:tblW w:w="0" w:type="auto"/>
        <w:tblLayout w:type="fixed"/>
        <w:tblCellMar>
          <w:left w:w="62" w:type="dxa"/>
          <w:right w:w="62" w:type="dxa"/>
        </w:tblCellMar>
        <w:tblLook w:val="0000"/>
      </w:tblPr>
      <w:tblGrid>
        <w:gridCol w:w="3402"/>
        <w:gridCol w:w="5670"/>
      </w:tblGrid>
      <w:tr w:rsidTr="00F1312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SpecialBold"/>
              </w:rPr>
              <w:t>EVIDENCE GUIDE</w:t>
            </w:r>
          </w:p>
        </w:tc>
      </w:tr>
      <w:tr w:rsidTr="00F13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t>The evidence guide provides advice on assessment and must be read in conjunction with the Performance Criteria, Required Skills and Knowledge, the Range Statement and the Assessment Guidelines for this Training Package.</w:t>
            </w:r>
          </w:p>
        </w:tc>
      </w:tr>
      <w:tr w:rsidTr="00F13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Critical aspects for assessment</w:t>
            </w:r>
            <w:r w:rsidRPr="00F34E63">
              <w:rPr>
                <w:rStyle w:val="Emphasis"/>
              </w:rPr>
              <w:t xml:space="preserve"> and evidence required to demonstrate this competency unit</w:t>
            </w:r>
            <w:r w:rsidRPr="00F34E63">
              <w:t xml:space="preserve">: </w:t>
            </w:r>
            <w:r w:rsidRPr="00F34E63">
              <w:br/>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The individual being assessed must provide evidence of specified essential knowledge as well as skills</w:t>
            </w:r>
          </w:p>
          <w:p w:rsidR="00000000" w:rsidRPr="00F34E63" w:rsidP="00F34E63">
            <w:pPr>
              <w:pStyle w:val="ListBullet"/>
            </w:pPr>
            <w:r w:rsidRPr="00F34E63">
              <w:t>This unit will be most appropriately assessed in the workplace under the normal range of w</w:t>
            </w:r>
            <w:r w:rsidRPr="00F34E63">
              <w:t xml:space="preserve">orkplace conditions </w:t>
            </w:r>
          </w:p>
          <w:p w:rsidR="00000000" w:rsidRPr="00F34E63" w:rsidP="00F34E63">
            <w:pPr>
              <w:pStyle w:val="ListBullet"/>
            </w:pPr>
            <w:r w:rsidRPr="00F34E63">
              <w:t>Consistency of performance should be demonstrated over the required range of situations relevant to the workplace</w:t>
            </w:r>
          </w:p>
          <w:p w:rsidR="00000000" w:rsidP="00F34E63">
            <w:pPr>
              <w:pStyle w:val="ListBullet"/>
              <w:rPr>
                <w:lang w:val="en-NZ"/>
              </w:rPr>
            </w:pPr>
            <w:r w:rsidRPr="00F34E63">
              <w:t>Where, for reasons of safety, space, or access to equipment and resources, assessment takes place away from the workplace</w:t>
            </w:r>
            <w:r w:rsidRPr="00F34E63">
              <w:t>, the assessment environment should represent workplace conditions as closely as possible</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Method of assessment</w:t>
            </w:r>
            <w:r w:rsidRPr="00F34E63">
              <w:t xml:space="preserve"> </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 xml:space="preserve">Observation of work activities </w:t>
            </w:r>
          </w:p>
          <w:p w:rsidR="00000000" w:rsidRPr="00F34E63" w:rsidP="00F34E63">
            <w:pPr>
              <w:pStyle w:val="ListBullet"/>
            </w:pPr>
            <w:r w:rsidRPr="00F34E63">
              <w:t xml:space="preserve">Observation of simulation and/or role play </w:t>
            </w:r>
          </w:p>
          <w:p w:rsidR="00000000" w:rsidRPr="00F34E63" w:rsidP="00F34E63">
            <w:pPr>
              <w:pStyle w:val="ListBullet"/>
            </w:pPr>
            <w:r w:rsidRPr="00F34E63">
              <w:t>Written tasks</w:t>
            </w:r>
          </w:p>
          <w:p w:rsidR="00000000" w:rsidRPr="00F34E63" w:rsidP="00F34E63">
            <w:pPr>
              <w:pStyle w:val="ListBullet"/>
            </w:pPr>
            <w:r w:rsidRPr="00F34E63">
              <w:t xml:space="preserve">Relevant formal and informal education/training courses </w:t>
            </w:r>
          </w:p>
          <w:p w:rsidR="00000000" w:rsidRPr="00F34E63" w:rsidP="00F34E63">
            <w:pPr>
              <w:pStyle w:val="ListBullet"/>
            </w:pPr>
            <w:r w:rsidRPr="00F34E63">
              <w:t xml:space="preserve">Case studies and scenarios </w:t>
            </w:r>
          </w:p>
          <w:p w:rsidR="00000000" w:rsidRPr="00F34E63" w:rsidP="00F34E63">
            <w:pPr>
              <w:pStyle w:val="ListBullet"/>
            </w:pPr>
            <w:r w:rsidRPr="00F34E63">
              <w:t>Interviews/questioning</w:t>
            </w:r>
          </w:p>
          <w:p w:rsidR="00000000" w:rsidP="00F34E63">
            <w:pPr>
              <w:pStyle w:val="ListBullet"/>
              <w:rPr>
                <w:lang w:val="en-NZ"/>
              </w:rPr>
            </w:pPr>
            <w:r w:rsidRPr="00F34E63">
              <w:t>Role plays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Resource implications</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Access to suitable post mortem cases to enable assessment to take place</w:t>
            </w:r>
          </w:p>
          <w:p w:rsidR="00000000" w:rsidRPr="00F34E63" w:rsidP="00F34E63">
            <w:pPr>
              <w:pStyle w:val="ListBullet"/>
            </w:pPr>
            <w:r w:rsidRPr="00F34E63">
              <w:t>Equipment and materials for collecting specimens</w:t>
            </w:r>
          </w:p>
          <w:p w:rsidR="00000000" w:rsidRPr="00F34E63" w:rsidP="00F34E63">
            <w:pPr>
              <w:pStyle w:val="ListBullet"/>
            </w:pPr>
            <w:r w:rsidRPr="00F34E63">
              <w:t>Relevant organisation policy, guidelines, procedures and protocols</w:t>
            </w:r>
          </w:p>
          <w:p w:rsidR="00000000" w:rsidP="00F34E63">
            <w:pPr>
              <w:pStyle w:val="ListBullet"/>
              <w:rPr>
                <w:lang w:val="en-NZ"/>
              </w:rPr>
            </w:pPr>
            <w:r w:rsidRPr="00F34E63">
              <w:t>Relevant legislative requirements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Access and equity considerations</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All workers in the health industry should be aware of access and eq</w:t>
            </w:r>
            <w:r w:rsidRPr="00F34E63">
              <w:t>uity issues in relation to their own area of work</w:t>
            </w:r>
          </w:p>
          <w:p w:rsidR="00000000" w:rsidRPr="00F34E63" w:rsidP="00F34E63">
            <w:pPr>
              <w:pStyle w:val="ListBullet"/>
            </w:pPr>
            <w:r w:rsidRPr="00F34E63">
              <w:t xml:space="preserve">All workers should develop their ability to work in a culturally diverse environment </w:t>
            </w:r>
          </w:p>
          <w:p w:rsidR="00000000" w:rsidRPr="00F34E63" w:rsidP="00F34E63">
            <w:pPr>
              <w:pStyle w:val="ListBullet"/>
            </w:pPr>
            <w:r w:rsidRPr="00F34E63">
              <w:t>In recognition of particular health issues facing Aboriginal and Torres Strait Islander communities, workers should be a</w:t>
            </w:r>
            <w:r w:rsidRPr="00F34E63">
              <w:t>ware of cultural, historical and current issues impacting on health of Aboriginal and Torres Strait Islander people</w:t>
            </w:r>
          </w:p>
          <w:p w:rsidR="00000000" w:rsidP="00F34E63">
            <w:pPr>
              <w:pStyle w:val="ListBullet"/>
              <w:rPr>
                <w:lang w:val="en-NZ"/>
              </w:rPr>
            </w:pPr>
            <w:r w:rsidRPr="00F34E63">
              <w:t>Assessors and trainers must take into account relevant access and equity issues, in particular relating to factors impacting on health of Ab</w:t>
            </w:r>
            <w:r w:rsidRPr="00F34E63">
              <w:t>original and/or Torres Strait Islander clients and communities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Related units</w:t>
            </w:r>
            <w:r w:rsidRPr="00F34E63">
              <w:t>:</w:t>
            </w:r>
          </w:p>
        </w:tc>
        <w:tc>
          <w:tcPr>
            <w:tcW w:w="5670" w:type="dxa"/>
            <w:tcBorders>
              <w:top w:val="nil"/>
              <w:left w:val="nil"/>
              <w:bottom w:val="nil"/>
              <w:right w:val="nil"/>
            </w:tcBorders>
            <w:tcMar>
              <w:top w:w="0" w:type="dxa"/>
              <w:left w:w="62" w:type="dxa"/>
              <w:bottom w:w="0" w:type="dxa"/>
              <w:right w:w="62" w:type="dxa"/>
            </w:tcMar>
          </w:tcPr>
          <w:p w:rsidR="00000000" w:rsidP="00F34E63">
            <w:pPr>
              <w:pStyle w:val="ListBullet"/>
              <w:rPr>
                <w:lang w:val="en-NZ"/>
              </w:rPr>
            </w:pPr>
            <w:r w:rsidRPr="00F34E63">
              <w:t>This unit can be assessed independently, however holistic assessment practice with other mortuary units of competency is encouraged</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BodyText"/>
            </w:pPr>
          </w:p>
        </w:tc>
      </w:tr>
    </w:tbl>
    <w:p w:rsidR="00F1312F" w:rsidP="00F34E63">
      <w:pPr>
        <w:pStyle w:val="BodyText"/>
      </w:pPr>
    </w:p>
    <w:p w:rsidR="00F1312F" w:rsidP="00F34E63">
      <w:pPr>
        <w:pStyle w:val="BodyText"/>
      </w:pPr>
    </w:p>
    <w:p w:rsidR="00000000" w:rsidRPr="00F34E63" w:rsidP="00F34E63">
      <w:pPr>
        <w:pStyle w:val="Heading1"/>
      </w:pPr>
      <w:bookmarkStart w:id="11" w:name="O_432004"/>
      <w:bookmarkEnd w:id="11"/>
      <w:r w:rsidRPr="00F34E63">
        <w:t>Range Statement</w:t>
      </w:r>
    </w:p>
    <w:tbl>
      <w:tblPr>
        <w:tblW w:w="0" w:type="auto"/>
        <w:tblLayout w:type="fixed"/>
        <w:tblCellMar>
          <w:left w:w="62" w:type="dxa"/>
          <w:right w:w="62" w:type="dxa"/>
        </w:tblCellMar>
        <w:tblLook w:val="0000"/>
      </w:tblPr>
      <w:tblGrid>
        <w:gridCol w:w="3402"/>
        <w:gridCol w:w="5670"/>
      </w:tblGrid>
      <w:tr w:rsidTr="00F1312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t>The Range Statement relates to the unit of competency as a whole.  It allows for different work environments and situations that may affect performance.  Add any essential operating conditions that may be present with training and assessment depending on t</w:t>
            </w:r>
            <w:r w:rsidRPr="00F34E63">
              <w:t>he work situation, needs of the candidate, accessibility of the item, and local industry and regional contexts.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Specimen may include</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Whole organs or portions of organs and tissues</w:t>
            </w:r>
          </w:p>
          <w:p w:rsidR="00000000" w:rsidRPr="00F34E63" w:rsidP="00F34E63">
            <w:pPr>
              <w:pStyle w:val="ListBullet"/>
            </w:pPr>
            <w:r w:rsidRPr="00F34E63">
              <w:t xml:space="preserve">Body fluids </w:t>
            </w:r>
          </w:p>
          <w:p w:rsidR="00000000" w:rsidRPr="00F34E63" w:rsidP="00F34E63">
            <w:pPr>
              <w:pStyle w:val="ListBullet"/>
            </w:pPr>
            <w:r w:rsidRPr="00F34E63">
              <w:t>Skin samples</w:t>
            </w:r>
          </w:p>
          <w:p w:rsidR="00000000" w:rsidRPr="00F34E63" w:rsidP="00F34E63">
            <w:pPr>
              <w:pStyle w:val="ListBullet"/>
            </w:pPr>
            <w:r w:rsidRPr="00F34E63">
              <w:t>Nail clippings</w:t>
            </w:r>
          </w:p>
          <w:p w:rsidR="00000000" w:rsidRPr="00F34E63" w:rsidP="00F34E63">
            <w:pPr>
              <w:pStyle w:val="ListBullet"/>
            </w:pPr>
            <w:r w:rsidRPr="00F34E63">
              <w:t>Hair</w:t>
            </w:r>
          </w:p>
          <w:p w:rsidR="00000000" w:rsidP="00F34E63">
            <w:pPr>
              <w:pStyle w:val="ListBullet"/>
              <w:rPr>
                <w:lang w:val="en-NZ"/>
              </w:rPr>
            </w:pPr>
            <w:r w:rsidRPr="00F34E63">
              <w:t xml:space="preserve">Swabs </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Testing may include</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Histology</w:t>
            </w:r>
          </w:p>
          <w:p w:rsidR="00000000" w:rsidRPr="00F34E63" w:rsidP="00F34E63">
            <w:pPr>
              <w:pStyle w:val="ListBullet"/>
            </w:pPr>
            <w:r w:rsidRPr="00F34E63">
              <w:t>Cytogenetics</w:t>
            </w:r>
          </w:p>
          <w:p w:rsidR="00000000" w:rsidRPr="00F34E63" w:rsidP="00F34E63">
            <w:pPr>
              <w:pStyle w:val="ListBullet"/>
            </w:pPr>
            <w:r w:rsidRPr="00F34E63">
              <w:t>Neuropathology</w:t>
            </w:r>
          </w:p>
          <w:p w:rsidR="00000000" w:rsidRPr="00F34E63" w:rsidP="00F34E63">
            <w:pPr>
              <w:pStyle w:val="ListBullet"/>
            </w:pPr>
            <w:r w:rsidRPr="00F34E63">
              <w:t>Microbiology</w:t>
            </w:r>
          </w:p>
          <w:p w:rsidR="00000000" w:rsidRPr="00F34E63" w:rsidP="00F34E63">
            <w:pPr>
              <w:pStyle w:val="ListBullet"/>
            </w:pPr>
            <w:r w:rsidRPr="00F34E63">
              <w:t>DNA</w:t>
            </w:r>
          </w:p>
          <w:p w:rsidR="00000000" w:rsidRPr="00F34E63" w:rsidP="00F34E63">
            <w:pPr>
              <w:pStyle w:val="ListBullet"/>
            </w:pPr>
            <w:r w:rsidRPr="00F34E63">
              <w:t>Toxicology</w:t>
            </w:r>
          </w:p>
          <w:p w:rsidR="00000000" w:rsidRPr="00F34E63" w:rsidP="00F34E63">
            <w:pPr>
              <w:pStyle w:val="ListBullet"/>
            </w:pPr>
            <w:r w:rsidRPr="00F34E63">
              <w:t>Drugs and alcohol estimation</w:t>
            </w:r>
          </w:p>
          <w:p w:rsidR="00000000" w:rsidRPr="00F34E63" w:rsidP="00F34E63">
            <w:pPr>
              <w:pStyle w:val="ListBullet"/>
            </w:pPr>
            <w:r w:rsidRPr="00F34E63">
              <w:t>Clinical chemistry</w:t>
            </w:r>
          </w:p>
          <w:p w:rsidR="00000000" w:rsidRPr="00F34E63" w:rsidP="00F34E63">
            <w:pPr>
              <w:pStyle w:val="ListBullet"/>
            </w:pPr>
            <w:r w:rsidRPr="00F34E63">
              <w:t>Haematology</w:t>
            </w:r>
          </w:p>
          <w:p w:rsidR="00000000" w:rsidP="00F34E63">
            <w:pPr>
              <w:pStyle w:val="ListBullet"/>
              <w:rPr>
                <w:lang w:val="en-NZ"/>
              </w:rPr>
            </w:pPr>
            <w:r w:rsidRPr="00F34E63">
              <w:t>Electron microscopy</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Medical Personnel may relate to</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Pathologist</w:t>
            </w:r>
          </w:p>
          <w:p w:rsidR="00000000" w:rsidP="00F34E63">
            <w:pPr>
              <w:pStyle w:val="ListBullet"/>
              <w:rPr>
                <w:lang w:val="en-NZ"/>
              </w:rPr>
            </w:pPr>
            <w:r w:rsidRPr="00F34E63">
              <w:t>Authorised medical practitioner performing autopsy examination</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Organisation policy and procedures may relate to</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Work health and safety (WHS)</w:t>
            </w:r>
          </w:p>
          <w:p w:rsidR="00000000" w:rsidRPr="00F34E63" w:rsidP="00F34E63">
            <w:pPr>
              <w:pStyle w:val="ListBullet"/>
            </w:pPr>
            <w:r w:rsidRPr="00F34E63">
              <w:t>Cleaning</w:t>
            </w:r>
          </w:p>
          <w:p w:rsidR="00000000" w:rsidRPr="00F34E63" w:rsidP="00F34E63">
            <w:pPr>
              <w:pStyle w:val="ListBullet"/>
            </w:pPr>
            <w:r w:rsidRPr="00F34E63">
              <w:t>Handling and disposal of retained samples</w:t>
            </w:r>
          </w:p>
          <w:p w:rsidR="00000000" w:rsidRPr="00F34E63" w:rsidP="00F34E63">
            <w:pPr>
              <w:pStyle w:val="ListBullet"/>
            </w:pPr>
            <w:r w:rsidRPr="00F34E63">
              <w:t>Packaging/transfer of samples for testing</w:t>
            </w:r>
          </w:p>
          <w:p w:rsidR="00000000" w:rsidP="00F34E63">
            <w:pPr>
              <w:pStyle w:val="ListBullet"/>
              <w:rPr>
                <w:lang w:val="en-NZ"/>
              </w:rPr>
            </w:pPr>
            <w:r w:rsidRPr="00F34E63">
              <w:t>Documentation</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Equipment and materials may include</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Scalpel blades and handles</w:t>
            </w:r>
          </w:p>
          <w:p w:rsidR="00000000" w:rsidRPr="00F34E63" w:rsidP="00F34E63">
            <w:pPr>
              <w:pStyle w:val="ListBullet"/>
            </w:pPr>
            <w:r w:rsidRPr="00F34E63">
              <w:t>Scissors</w:t>
            </w:r>
          </w:p>
          <w:p w:rsidR="00000000" w:rsidRPr="00F34E63" w:rsidP="00F34E63">
            <w:pPr>
              <w:pStyle w:val="ListBullet"/>
            </w:pPr>
            <w:r w:rsidRPr="00F34E63">
              <w:t>Labelling materials</w:t>
            </w:r>
          </w:p>
          <w:p w:rsidR="00000000" w:rsidRPr="00F34E63" w:rsidP="00F34E63">
            <w:pPr>
              <w:pStyle w:val="ListBullet"/>
            </w:pPr>
            <w:r w:rsidRPr="00F34E63">
              <w:t>Blood tubes</w:t>
            </w:r>
          </w:p>
          <w:p w:rsidR="00000000" w:rsidRPr="00F34E63" w:rsidP="00F34E63">
            <w:pPr>
              <w:pStyle w:val="ListBullet"/>
            </w:pPr>
            <w:r w:rsidRPr="00F34E63">
              <w:t>Sterile and non-sterile containers</w:t>
            </w:r>
          </w:p>
          <w:p w:rsidR="00000000" w:rsidRPr="00F34E63" w:rsidP="00F34E63">
            <w:pPr>
              <w:pStyle w:val="ListBullet"/>
            </w:pPr>
            <w:r w:rsidRPr="00F34E63">
              <w:t>Blood culture tubes</w:t>
            </w:r>
          </w:p>
          <w:p w:rsidR="00000000" w:rsidRPr="00F34E63" w:rsidP="00F34E63">
            <w:pPr>
              <w:pStyle w:val="ListBullet"/>
            </w:pPr>
            <w:r w:rsidRPr="00F34E63">
              <w:t>Various sizes of containers with or without fixing solutions</w:t>
            </w:r>
          </w:p>
          <w:p w:rsidR="00000000" w:rsidRPr="00F34E63" w:rsidP="00F34E63">
            <w:pPr>
              <w:pStyle w:val="ListBullet"/>
            </w:pPr>
            <w:r w:rsidRPr="00F34E63">
              <w:t>Swabs</w:t>
            </w:r>
          </w:p>
          <w:p w:rsidR="00000000" w:rsidP="00F34E63">
            <w:pPr>
              <w:pStyle w:val="ListBullet"/>
              <w:rPr>
                <w:lang w:val="en-NZ"/>
              </w:rPr>
            </w:pPr>
            <w:r w:rsidRPr="00F34E63">
              <w:t>Glass slides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Personal protective equipment may include</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Gloves including cut resistant gloves</w:t>
            </w:r>
          </w:p>
          <w:p w:rsidR="00000000" w:rsidRPr="00F34E63" w:rsidP="00F34E63">
            <w:pPr>
              <w:pStyle w:val="ListBullet"/>
            </w:pPr>
            <w:r w:rsidRPr="00F34E63">
              <w:t>Gown</w:t>
            </w:r>
          </w:p>
          <w:p w:rsidR="00000000" w:rsidRPr="00F34E63" w:rsidP="00F34E63">
            <w:pPr>
              <w:pStyle w:val="ListBullet"/>
            </w:pPr>
            <w:r w:rsidRPr="00F34E63">
              <w:t>Protective eye wear</w:t>
            </w:r>
          </w:p>
          <w:p w:rsidR="00000000" w:rsidRPr="00F34E63" w:rsidP="00F34E63">
            <w:pPr>
              <w:pStyle w:val="ListBullet"/>
            </w:pPr>
            <w:r w:rsidRPr="00F34E63">
              <w:t>Face masks</w:t>
            </w:r>
          </w:p>
          <w:p w:rsidR="00000000" w:rsidRPr="00F34E63" w:rsidP="00F34E63">
            <w:pPr>
              <w:pStyle w:val="ListBullet"/>
            </w:pPr>
            <w:r w:rsidRPr="00F34E63">
              <w:t>Respirators</w:t>
            </w:r>
          </w:p>
          <w:p w:rsidR="00000000" w:rsidRPr="00F34E63" w:rsidP="00F34E63">
            <w:pPr>
              <w:pStyle w:val="ListBullet"/>
            </w:pPr>
            <w:r w:rsidRPr="00F34E63">
              <w:t>Aprons</w:t>
            </w:r>
          </w:p>
          <w:p w:rsidR="00000000" w:rsidP="00F34E63">
            <w:pPr>
              <w:pStyle w:val="ListBullet"/>
              <w:rPr>
                <w:lang w:val="en-NZ"/>
              </w:rPr>
            </w:pPr>
            <w:r w:rsidRPr="00F34E63">
              <w:t>Gumboots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Retained specimens may include</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Specimens surplus to requirements for testing</w:t>
            </w:r>
          </w:p>
          <w:p w:rsidR="00000000" w:rsidP="00F34E63">
            <w:pPr>
              <w:pStyle w:val="ListBullet"/>
              <w:rPr>
                <w:lang w:val="en-NZ"/>
              </w:rPr>
            </w:pPr>
            <w:r w:rsidRPr="00F34E63">
              <w:t>Specimens collected but subsequently not needed for testing</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Solutions and media may include</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Formalin</w:t>
            </w:r>
          </w:p>
          <w:p w:rsidR="00000000" w:rsidRPr="00F34E63" w:rsidP="00F34E63">
            <w:pPr>
              <w:pStyle w:val="ListBullet"/>
            </w:pPr>
            <w:r w:rsidRPr="00F34E63">
              <w:t>Gluteraldyhe</w:t>
            </w:r>
          </w:p>
          <w:p w:rsidR="00000000" w:rsidP="00F34E63">
            <w:pPr>
              <w:pStyle w:val="ListBullet"/>
              <w:rPr>
                <w:lang w:val="en-NZ"/>
              </w:rPr>
            </w:pPr>
            <w:r w:rsidRPr="00F34E63">
              <w:t>Viral transport media</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Inventory may include</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Hand written records</w:t>
            </w:r>
          </w:p>
          <w:p w:rsidR="00000000" w:rsidP="00F34E63">
            <w:pPr>
              <w:pStyle w:val="ListBullet"/>
              <w:rPr>
                <w:lang w:val="en-NZ"/>
              </w:rPr>
            </w:pPr>
            <w:r w:rsidRPr="00F34E63">
              <w:t>Electronic records</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34E63">
            <w:pPr>
              <w:pStyle w:val="BodyText"/>
              <w:rPr>
                <w:lang w:val="en-NZ"/>
              </w:rPr>
            </w:pPr>
            <w:r w:rsidRPr="00F34E63">
              <w:rPr>
                <w:rStyle w:val="Emphasis"/>
              </w:rPr>
              <w:t>Authorisation may include</w:t>
            </w:r>
            <w:r w:rsidRPr="00F34E63">
              <w:t>:</w:t>
            </w: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ListBullet"/>
            </w:pPr>
            <w:r w:rsidRPr="00F34E63">
              <w:t>Consent from next of kin</w:t>
            </w:r>
          </w:p>
          <w:p w:rsidR="00000000" w:rsidRPr="00F34E63" w:rsidP="00F34E63">
            <w:pPr>
              <w:pStyle w:val="ListBullet"/>
            </w:pPr>
            <w:r w:rsidRPr="00F34E63">
              <w:t>Order from Coroner</w:t>
            </w:r>
          </w:p>
          <w:p w:rsidR="00000000" w:rsidP="00F34E63">
            <w:pPr>
              <w:pStyle w:val="ListBullet"/>
              <w:rPr>
                <w:lang w:val="en-NZ"/>
              </w:rPr>
            </w:pPr>
            <w:r w:rsidRPr="00F34E63">
              <w:t>Authorisation of pathologist or relevant medical officer</w:t>
            </w:r>
          </w:p>
        </w:tc>
      </w:tr>
      <w:tr w:rsidTr="00F1312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34E63" w:rsidP="00F34E63">
            <w:pPr>
              <w:pStyle w:val="BodyText"/>
            </w:pPr>
          </w:p>
        </w:tc>
      </w:tr>
    </w:tbl>
    <w:p w:rsidR="00F1312F" w:rsidP="00F34E63">
      <w:pPr>
        <w:pStyle w:val="BodyText"/>
      </w:pPr>
    </w:p>
    <w:p w:rsidR="00F1312F" w:rsidP="00F34E63">
      <w:pPr>
        <w:pStyle w:val="BodyText"/>
      </w:pPr>
    </w:p>
    <w:p w:rsidR="00000000" w:rsidRPr="00F34E63" w:rsidP="00F34E63">
      <w:pPr>
        <w:pStyle w:val="Heading1"/>
      </w:pPr>
      <w:bookmarkStart w:id="12" w:name="O_432007"/>
      <w:bookmarkEnd w:id="12"/>
      <w:r w:rsidRPr="00F34E63">
        <w:t>Unit Sector(s)</w:t>
      </w:r>
    </w:p>
    <w:p w:rsidR="00000000" w:rsidRPr="00F34E63" w:rsidP="00F34E63">
      <w:pPr>
        <w:pStyle w:val="BodyText"/>
      </w:pPr>
      <w:r w:rsidRPr="00F34E63">
        <w:t>Not Applicable</w:t>
      </w:r>
    </w:p>
    <w:p w:rsidR="00000000" w:rsidRPr="00F34E63" w:rsidP="00F34E63"/>
    <w:sectPr w:rsidSect="00F34E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12F" w:rsidP="00F131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F" w:rsidP="00F34E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312F" w:rsidP="00F34E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312F" w:rsidP="00F34E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312F" w:rsidP="00F131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E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12F" w:rsidP="00F34E63">
    <w:pPr>
      <w:pStyle w:val="Header"/>
      <w:framePr w:wrap="around"/>
    </w:pPr>
    <w:r>
      <w:fldChar w:fldCharType="begin"/>
    </w:r>
    <w:r>
      <w:instrText xml:space="preserve"> TITLE   \* MERGEFORMAT </w:instrText>
    </w:r>
    <w:r>
      <w:fldChar w:fldCharType="separate"/>
    </w:r>
    <w:r>
      <w:t>HLTMT310D Collect, preserve and store post mortem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312F" w:rsidP="00F34E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8F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26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0C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4E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4E63"/>
    <w:pPr>
      <w:spacing w:before="360" w:after="60"/>
      <w:outlineLvl w:val="0"/>
    </w:pPr>
    <w:rPr>
      <w:sz w:val="32"/>
    </w:rPr>
  </w:style>
  <w:style w:type="paragraph" w:styleId="Heading2">
    <w:name w:val="heading 2"/>
    <w:basedOn w:val="HeadingBase"/>
    <w:next w:val="BodyText"/>
    <w:link w:val="Heading2Char"/>
    <w:qFormat/>
    <w:rsid w:val="00F34E63"/>
    <w:pPr>
      <w:keepLines/>
      <w:spacing w:before="240" w:after="120"/>
      <w:outlineLvl w:val="1"/>
    </w:pPr>
    <w:rPr>
      <w:sz w:val="28"/>
      <w:szCs w:val="40"/>
    </w:rPr>
  </w:style>
  <w:style w:type="paragraph" w:styleId="Heading3">
    <w:name w:val="heading 3"/>
    <w:basedOn w:val="HeadingBase"/>
    <w:next w:val="BodyText"/>
    <w:link w:val="Heading3Char"/>
    <w:qFormat/>
    <w:rsid w:val="00F34E63"/>
    <w:pPr>
      <w:spacing w:before="180" w:after="120"/>
      <w:outlineLvl w:val="2"/>
    </w:pPr>
    <w:rPr>
      <w:spacing w:val="-10"/>
      <w:kern w:val="32"/>
    </w:rPr>
  </w:style>
  <w:style w:type="paragraph" w:styleId="Heading4">
    <w:name w:val="heading 4"/>
    <w:basedOn w:val="HeadingBase"/>
    <w:next w:val="BodyText"/>
    <w:link w:val="Heading4Char"/>
    <w:qFormat/>
    <w:rsid w:val="00F34E63"/>
    <w:pPr>
      <w:spacing w:before="160" w:after="120"/>
      <w:outlineLvl w:val="3"/>
    </w:pPr>
    <w:rPr>
      <w:sz w:val="22"/>
    </w:rPr>
  </w:style>
  <w:style w:type="paragraph" w:styleId="Heading5">
    <w:name w:val="heading 5"/>
    <w:basedOn w:val="HeadingBase"/>
    <w:next w:val="Normal"/>
    <w:link w:val="Heading5Char"/>
    <w:qFormat/>
    <w:rsid w:val="00F34E63"/>
    <w:pPr>
      <w:spacing w:before="80"/>
      <w:outlineLvl w:val="4"/>
    </w:pPr>
    <w:rPr>
      <w:color w:val="918585"/>
      <w:sz w:val="20"/>
    </w:rPr>
  </w:style>
  <w:style w:type="paragraph" w:styleId="Heading6">
    <w:name w:val="heading 6"/>
    <w:basedOn w:val="HeadingBase"/>
    <w:next w:val="Normal"/>
    <w:link w:val="Heading6Char"/>
    <w:qFormat/>
    <w:rsid w:val="00F34E63"/>
    <w:pPr>
      <w:spacing w:before="60"/>
      <w:outlineLvl w:val="5"/>
    </w:pPr>
    <w:rPr>
      <w:color w:val="918585"/>
      <w:sz w:val="20"/>
    </w:rPr>
  </w:style>
  <w:style w:type="paragraph" w:styleId="Heading7">
    <w:name w:val="heading 7"/>
    <w:basedOn w:val="Normal"/>
    <w:next w:val="Normal"/>
    <w:link w:val="Heading7Char"/>
    <w:qFormat/>
    <w:rsid w:val="00F34E63"/>
    <w:pPr>
      <w:ind w:left="720"/>
      <w:outlineLvl w:val="6"/>
    </w:pPr>
    <w:rPr>
      <w:i/>
    </w:rPr>
  </w:style>
  <w:style w:type="paragraph" w:styleId="Heading8">
    <w:name w:val="heading 8"/>
    <w:basedOn w:val="Normal"/>
    <w:next w:val="Normal"/>
    <w:link w:val="Heading8Char"/>
    <w:qFormat/>
    <w:rsid w:val="00F34E63"/>
    <w:pPr>
      <w:ind w:left="720"/>
      <w:outlineLvl w:val="7"/>
    </w:pPr>
    <w:rPr>
      <w:i/>
    </w:rPr>
  </w:style>
  <w:style w:type="paragraph" w:styleId="Heading9">
    <w:name w:val="heading 9"/>
    <w:basedOn w:val="Normal"/>
    <w:next w:val="Normal"/>
    <w:link w:val="Heading9Char"/>
    <w:qFormat/>
    <w:rsid w:val="00F34E63"/>
    <w:pPr>
      <w:ind w:left="720"/>
      <w:outlineLvl w:val="8"/>
    </w:pPr>
    <w:rPr>
      <w:i/>
    </w:rPr>
  </w:style>
  <w:style w:type="character" w:default="1" w:styleId="DefaultParagraphFont">
    <w:name w:val="Default Paragraph Font"/>
    <w:uiPriority w:val="1"/>
    <w:unhideWhenUsed/>
    <w:rsid w:val="00F34E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4E63"/>
  </w:style>
  <w:style w:type="character" w:customStyle="1" w:styleId="Heading1Char">
    <w:name w:val="Heading 1 Char"/>
    <w:basedOn w:val="DefaultParagraphFont"/>
    <w:link w:val="Heading1"/>
    <w:rsid w:val="00F34E63"/>
    <w:rPr>
      <w:rFonts w:ascii="Times New Roman" w:eastAsia="Times New Roman" w:hAnsi="Times New Roman" w:cs="Times New Roman"/>
      <w:b/>
      <w:sz w:val="32"/>
      <w:szCs w:val="20"/>
      <w:lang w:eastAsia="en-US"/>
    </w:rPr>
  </w:style>
  <w:style w:type="paragraph" w:styleId="BodyText">
    <w:name w:val="Body Text"/>
    <w:basedOn w:val="Normal"/>
    <w:link w:val="BodyTextChar"/>
    <w:rsid w:val="00F34E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4E63"/>
    <w:rPr>
      <w:rFonts w:ascii="Times New Roman" w:eastAsia="Times New Roman" w:hAnsi="Times New Roman" w:cs="Times New Roman"/>
      <w:sz w:val="24"/>
      <w:lang w:val="en-US" w:eastAsia="en-US"/>
    </w:rPr>
  </w:style>
  <w:style w:type="paragraph" w:styleId="Footer">
    <w:name w:val="footer"/>
    <w:basedOn w:val="Normal"/>
    <w:link w:val="FooterChar"/>
    <w:rsid w:val="00F34E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4E63"/>
    <w:rPr>
      <w:rFonts w:ascii="Times New Roman" w:eastAsia="Times New Roman" w:hAnsi="Times New Roman" w:cs="Times New Roman"/>
      <w:sz w:val="16"/>
      <w:lang w:val="en-US" w:eastAsia="en-US"/>
    </w:rPr>
  </w:style>
  <w:style w:type="paragraph" w:styleId="List">
    <w:name w:val="List"/>
    <w:basedOn w:val="BodyText"/>
    <w:next w:val="BodyText"/>
    <w:rsid w:val="00F34E63"/>
    <w:pPr>
      <w:tabs>
        <w:tab w:val="left" w:pos="340"/>
      </w:tabs>
      <w:spacing w:before="60" w:after="60"/>
      <w:ind w:left="340" w:hanging="340"/>
    </w:pPr>
  </w:style>
  <w:style w:type="paragraph" w:styleId="ListBullet">
    <w:name w:val="List Bullet"/>
    <w:basedOn w:val="List"/>
    <w:rsid w:val="00F34E63"/>
    <w:pPr>
      <w:numPr>
        <w:numId w:val="13"/>
      </w:numPr>
      <w:tabs>
        <w:tab w:val="clear" w:pos="340"/>
      </w:tabs>
      <w:spacing w:before="40" w:after="40"/>
    </w:pPr>
  </w:style>
  <w:style w:type="character" w:customStyle="1" w:styleId="SpecialBold">
    <w:name w:val="Special Bold"/>
    <w:basedOn w:val="DefaultParagraphFont"/>
    <w:rsid w:val="00F34E63"/>
    <w:rPr>
      <w:b/>
      <w:spacing w:val="0"/>
    </w:rPr>
  </w:style>
  <w:style w:type="paragraph" w:styleId="ListBullet2">
    <w:name w:val="List Bullet 2"/>
    <w:basedOn w:val="List2"/>
    <w:rsid w:val="00F34E63"/>
    <w:pPr>
      <w:numPr>
        <w:numId w:val="14"/>
      </w:numPr>
      <w:tabs>
        <w:tab w:val="clear" w:pos="680"/>
      </w:tabs>
    </w:pPr>
  </w:style>
  <w:style w:type="paragraph" w:styleId="Header">
    <w:name w:val="header"/>
    <w:basedOn w:val="Normal"/>
    <w:link w:val="HeaderChar"/>
    <w:rsid w:val="00F34E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4E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34E63"/>
    <w:rPr>
      <w:i/>
    </w:rPr>
  </w:style>
  <w:style w:type="paragraph" w:customStyle="1" w:styleId="SuperHeading">
    <w:name w:val="SuperHeading"/>
    <w:basedOn w:val="Normal"/>
    <w:rsid w:val="00F34E63"/>
    <w:pPr>
      <w:spacing w:before="240" w:after="120"/>
      <w:outlineLvl w:val="0"/>
    </w:pPr>
    <w:rPr>
      <w:rFonts w:ascii="Times New Roman" w:hAnsi="Times New Roman"/>
      <w:b/>
      <w:sz w:val="28"/>
    </w:rPr>
  </w:style>
  <w:style w:type="paragraph" w:customStyle="1" w:styleId="AllowPageBreak">
    <w:name w:val="AllowPageBreak"/>
    <w:rsid w:val="00F34E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4E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4E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4E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4E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4E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4E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4E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4E63"/>
    <w:rPr>
      <w:rFonts w:ascii="Courier New" w:eastAsia="Times New Roman" w:hAnsi="Courier New" w:cs="Times New Roman"/>
      <w:i/>
      <w:szCs w:val="20"/>
      <w:lang w:val="en-US" w:eastAsia="en-US"/>
    </w:rPr>
  </w:style>
  <w:style w:type="paragraph" w:customStyle="1" w:styleId="HeadingBase">
    <w:name w:val="Heading Base"/>
    <w:rsid w:val="00F34E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4E63"/>
    <w:pPr>
      <w:tabs>
        <w:tab w:val="right" w:leader="dot" w:pos="9072"/>
      </w:tabs>
      <w:ind w:left="567"/>
    </w:pPr>
    <w:rPr>
      <w:szCs w:val="22"/>
    </w:rPr>
  </w:style>
  <w:style w:type="paragraph" w:customStyle="1" w:styleId="TOCBase">
    <w:name w:val="TOC Base"/>
    <w:rsid w:val="00F34E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4E63"/>
    <w:pPr>
      <w:tabs>
        <w:tab w:val="right" w:leader="dot" w:pos="9072"/>
      </w:tabs>
      <w:spacing w:before="40" w:after="40"/>
      <w:ind w:left="284"/>
    </w:pPr>
    <w:rPr>
      <w:rFonts w:ascii="Times New Roman" w:hAnsi="Times New Roman"/>
    </w:rPr>
  </w:style>
  <w:style w:type="paragraph" w:styleId="TOC1">
    <w:name w:val="toc 1"/>
    <w:basedOn w:val="TOCBase"/>
    <w:next w:val="Normal"/>
    <w:rsid w:val="00F34E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4E63"/>
    <w:pPr>
      <w:spacing w:before="5040"/>
      <w:jc w:val="center"/>
    </w:pPr>
    <w:rPr>
      <w:sz w:val="48"/>
      <w:szCs w:val="72"/>
      <w:lang w:val="en-US"/>
    </w:rPr>
  </w:style>
  <w:style w:type="character" w:customStyle="1" w:styleId="TitleChar">
    <w:name w:val="Title Char"/>
    <w:basedOn w:val="DefaultParagraphFont"/>
    <w:link w:val="Title"/>
    <w:rsid w:val="00F34E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4E63"/>
    <w:pPr>
      <w:tabs>
        <w:tab w:val="left" w:pos="3600"/>
        <w:tab w:val="left" w:pos="3958"/>
      </w:tabs>
    </w:pPr>
  </w:style>
  <w:style w:type="paragraph" w:customStyle="1" w:styleId="Note">
    <w:name w:val="Note"/>
    <w:basedOn w:val="BodyText"/>
    <w:rsid w:val="00F34E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4E63"/>
    <w:pPr>
      <w:framePr w:wrap="auto" w:hAnchor="text" w:y="6049"/>
    </w:pPr>
    <w:rPr>
      <w:color w:val="000000"/>
      <w:sz w:val="40"/>
    </w:rPr>
  </w:style>
  <w:style w:type="paragraph" w:customStyle="1" w:styleId="TOCTitle">
    <w:name w:val="TOCTitle"/>
    <w:basedOn w:val="Heading1"/>
    <w:rsid w:val="00F34E63"/>
    <w:pPr>
      <w:spacing w:after="240"/>
      <w:jc w:val="center"/>
      <w:outlineLvl w:val="9"/>
    </w:pPr>
    <w:rPr>
      <w:caps/>
    </w:rPr>
  </w:style>
  <w:style w:type="paragraph" w:customStyle="1" w:styleId="Version">
    <w:name w:val="Version"/>
    <w:rsid w:val="00F34E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4E63"/>
    <w:pPr>
      <w:keepNext w:val="0"/>
      <w:tabs>
        <w:tab w:val="right" w:pos="4176"/>
      </w:tabs>
      <w:ind w:left="198" w:hanging="198"/>
    </w:pPr>
    <w:rPr>
      <w:rFonts w:ascii="Garamond" w:hAnsi="Garamond"/>
    </w:rPr>
  </w:style>
  <w:style w:type="paragraph" w:styleId="IndexHeading">
    <w:name w:val="index heading"/>
    <w:basedOn w:val="Normal"/>
    <w:next w:val="Index1"/>
    <w:semiHidden/>
    <w:rsid w:val="00F34E63"/>
    <w:pPr>
      <w:spacing w:before="120" w:after="120"/>
    </w:pPr>
    <w:rPr>
      <w:rFonts w:ascii="Arial" w:hAnsi="Arial"/>
      <w:b/>
      <w:color w:val="918585"/>
      <w:sz w:val="24"/>
    </w:rPr>
  </w:style>
  <w:style w:type="paragraph" w:customStyle="1" w:styleId="Chapter">
    <w:name w:val="Chapter"/>
    <w:basedOn w:val="Normal"/>
    <w:rsid w:val="00F34E63"/>
    <w:pPr>
      <w:spacing w:before="240"/>
    </w:pPr>
    <w:rPr>
      <w:rFonts w:ascii="Times New Roman" w:hAnsi="Times New Roman"/>
      <w:smallCaps/>
      <w:spacing w:val="80"/>
      <w:sz w:val="28"/>
    </w:rPr>
  </w:style>
  <w:style w:type="paragraph" w:customStyle="1" w:styleId="InChapter">
    <w:name w:val="InChapter"/>
    <w:basedOn w:val="Heading3"/>
    <w:rsid w:val="00F34E63"/>
    <w:pPr>
      <w:spacing w:after="240"/>
      <w:outlineLvl w:val="9"/>
    </w:pPr>
    <w:rPr>
      <w:noProof/>
    </w:rPr>
  </w:style>
  <w:style w:type="paragraph" w:styleId="Index2">
    <w:name w:val="index 2"/>
    <w:basedOn w:val="Normal"/>
    <w:next w:val="Normal"/>
    <w:semiHidden/>
    <w:rsid w:val="00F34E63"/>
    <w:pPr>
      <w:tabs>
        <w:tab w:val="right" w:pos="4176"/>
      </w:tabs>
      <w:ind w:left="568" w:hanging="284"/>
    </w:pPr>
    <w:rPr>
      <w:rFonts w:ascii="Garamond" w:hAnsi="Garamond"/>
    </w:rPr>
  </w:style>
  <w:style w:type="paragraph" w:customStyle="1" w:styleId="Byline">
    <w:name w:val="Byline"/>
    <w:rsid w:val="00F34E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4E63"/>
    <w:pPr>
      <w:tabs>
        <w:tab w:val="clear" w:pos="3600"/>
        <w:tab w:val="clear" w:pos="3958"/>
      </w:tabs>
      <w:jc w:val="right"/>
    </w:pPr>
  </w:style>
  <w:style w:type="paragraph" w:styleId="Caption">
    <w:name w:val="caption"/>
    <w:basedOn w:val="BodyText"/>
    <w:next w:val="Normal"/>
    <w:qFormat/>
    <w:rsid w:val="00F34E63"/>
    <w:pPr>
      <w:framePr w:w="2268" w:hSpace="181" w:vSpace="181" w:wrap="around" w:vAnchor="text" w:hAnchor="page" w:x="1135" w:y="285" w:anchorLock="1"/>
    </w:pPr>
    <w:rPr>
      <w:i/>
    </w:rPr>
  </w:style>
  <w:style w:type="paragraph" w:customStyle="1" w:styleId="MiniTOCTitle">
    <w:name w:val="MiniTOCTitle"/>
    <w:basedOn w:val="Heading4"/>
    <w:rsid w:val="00F34E63"/>
    <w:pPr>
      <w:spacing w:before="240"/>
      <w:outlineLvl w:val="9"/>
    </w:pPr>
    <w:rPr>
      <w:noProof/>
      <w:sz w:val="24"/>
    </w:rPr>
  </w:style>
  <w:style w:type="paragraph" w:customStyle="1" w:styleId="MiniTOCItem">
    <w:name w:val="MiniTOCItem"/>
    <w:basedOn w:val="ListBullet"/>
    <w:rsid w:val="00F34E63"/>
    <w:pPr>
      <w:numPr>
        <w:numId w:val="0"/>
      </w:numPr>
      <w:tabs>
        <w:tab w:val="right" w:leader="dot" w:pos="6521"/>
      </w:tabs>
      <w:spacing w:before="0" w:after="0"/>
    </w:pPr>
  </w:style>
  <w:style w:type="paragraph" w:customStyle="1" w:styleId="TOFTitle">
    <w:name w:val="TOFTitle"/>
    <w:basedOn w:val="TOCTitle"/>
    <w:rsid w:val="00F34E63"/>
  </w:style>
  <w:style w:type="paragraph" w:styleId="TableofFigures">
    <w:name w:val="table of figures"/>
    <w:basedOn w:val="Normal"/>
    <w:next w:val="Normal"/>
    <w:semiHidden/>
    <w:rsid w:val="00F34E63"/>
    <w:pPr>
      <w:tabs>
        <w:tab w:val="right" w:leader="dot" w:pos="9072"/>
      </w:tabs>
      <w:ind w:left="970" w:hanging="403"/>
    </w:pPr>
    <w:rPr>
      <w:rFonts w:ascii="Times New Roman" w:hAnsi="Times New Roman"/>
      <w:b/>
    </w:rPr>
  </w:style>
  <w:style w:type="paragraph" w:styleId="ListNumber">
    <w:name w:val="List Number"/>
    <w:basedOn w:val="List"/>
    <w:rsid w:val="00F34E63"/>
    <w:pPr>
      <w:numPr>
        <w:numId w:val="11"/>
      </w:numPr>
    </w:pPr>
  </w:style>
  <w:style w:type="character" w:customStyle="1" w:styleId="WingdingSymbols">
    <w:name w:val="Wingding Symbols"/>
    <w:rsid w:val="00F34E63"/>
    <w:rPr>
      <w:rFonts w:ascii="Wingdings" w:hAnsi="Wingdings"/>
    </w:rPr>
  </w:style>
  <w:style w:type="paragraph" w:customStyle="1" w:styleId="TableHeading">
    <w:name w:val="Table Heading"/>
    <w:basedOn w:val="HeadingBase"/>
    <w:rsid w:val="00F34E63"/>
    <w:pPr>
      <w:keepLines/>
      <w:pBdr>
        <w:bottom w:val="single" w:sz="6" w:space="1" w:color="918585"/>
      </w:pBdr>
      <w:spacing w:before="240"/>
    </w:pPr>
  </w:style>
  <w:style w:type="character" w:customStyle="1" w:styleId="HotSpot">
    <w:name w:val="HotSpot"/>
    <w:rsid w:val="00F34E63"/>
    <w:rPr>
      <w:color w:val="0033CC"/>
      <w:u w:val="none"/>
    </w:rPr>
  </w:style>
  <w:style w:type="paragraph" w:customStyle="1" w:styleId="BodyTextRight">
    <w:name w:val="Body Text Right"/>
    <w:basedOn w:val="BodyText"/>
    <w:rsid w:val="00F34E63"/>
    <w:pPr>
      <w:spacing w:before="0" w:after="0"/>
      <w:jc w:val="right"/>
    </w:pPr>
  </w:style>
  <w:style w:type="paragraph" w:styleId="Index3">
    <w:name w:val="index 3"/>
    <w:basedOn w:val="ListNumber2"/>
    <w:next w:val="Normal"/>
    <w:semiHidden/>
    <w:rsid w:val="00F34E63"/>
    <w:pPr>
      <w:numPr>
        <w:numId w:val="0"/>
      </w:numPr>
      <w:tabs>
        <w:tab w:val="right" w:leader="dot" w:pos="4176"/>
      </w:tabs>
    </w:pPr>
  </w:style>
  <w:style w:type="paragraph" w:styleId="ListNumber2">
    <w:name w:val="List Number 2"/>
    <w:basedOn w:val="List2"/>
    <w:rsid w:val="00F34E63"/>
    <w:pPr>
      <w:numPr>
        <w:numId w:val="10"/>
      </w:numPr>
      <w:tabs>
        <w:tab w:val="clear" w:pos="1060"/>
      </w:tabs>
    </w:pPr>
  </w:style>
  <w:style w:type="paragraph" w:customStyle="1" w:styleId="MarginNote">
    <w:name w:val="Margin Note"/>
    <w:basedOn w:val="BodyText"/>
    <w:rsid w:val="00F34E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4E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4E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4E63"/>
    <w:rPr>
      <w:sz w:val="32"/>
    </w:rPr>
  </w:style>
  <w:style w:type="paragraph" w:customStyle="1" w:styleId="HeadingProcedure">
    <w:name w:val="Heading Procedure"/>
    <w:basedOn w:val="HeadingBase"/>
    <w:next w:val="Normal"/>
    <w:rsid w:val="00F34E63"/>
    <w:pPr>
      <w:tabs>
        <w:tab w:val="left" w:pos="0"/>
      </w:tabs>
      <w:spacing w:before="120" w:after="60"/>
    </w:pPr>
    <w:rPr>
      <w:i/>
      <w:color w:val="918585"/>
      <w:sz w:val="22"/>
    </w:rPr>
  </w:style>
  <w:style w:type="paragraph" w:customStyle="1" w:styleId="TableBodyText">
    <w:name w:val="Table Body Text"/>
    <w:basedOn w:val="BodyText"/>
    <w:rsid w:val="00F34E63"/>
    <w:pPr>
      <w:spacing w:before="60" w:after="60"/>
    </w:pPr>
  </w:style>
  <w:style w:type="paragraph" w:styleId="ListContinue">
    <w:name w:val="List Continue"/>
    <w:basedOn w:val="List"/>
    <w:rsid w:val="00F34E63"/>
    <w:pPr>
      <w:ind w:firstLine="0"/>
    </w:pPr>
  </w:style>
  <w:style w:type="paragraph" w:customStyle="1" w:styleId="ListNote">
    <w:name w:val="List Note"/>
    <w:basedOn w:val="List"/>
    <w:rsid w:val="00F34E63"/>
    <w:pPr>
      <w:pBdr>
        <w:top w:val="single" w:sz="6" w:space="2" w:color="918585"/>
        <w:bottom w:val="single" w:sz="6" w:space="2" w:color="918585"/>
      </w:pBdr>
      <w:tabs>
        <w:tab w:val="left" w:pos="1021"/>
      </w:tabs>
      <w:ind w:firstLine="0"/>
    </w:pPr>
  </w:style>
  <w:style w:type="paragraph" w:customStyle="1" w:styleId="Warning">
    <w:name w:val="Warning"/>
    <w:basedOn w:val="BodyText"/>
    <w:rsid w:val="00F34E63"/>
    <w:pPr>
      <w:shd w:val="clear" w:color="auto" w:fill="D9D9D9"/>
      <w:tabs>
        <w:tab w:val="left" w:pos="992"/>
      </w:tabs>
      <w:ind w:left="119" w:right="119"/>
    </w:pPr>
    <w:rPr>
      <w:sz w:val="20"/>
    </w:rPr>
  </w:style>
  <w:style w:type="paragraph" w:customStyle="1" w:styleId="MarginIcons">
    <w:name w:val="Margin Icons"/>
    <w:basedOn w:val="BodyText"/>
    <w:rsid w:val="00F34E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4E63"/>
    <w:rPr>
      <w:rFonts w:ascii="Courier New" w:hAnsi="Courier New"/>
    </w:rPr>
  </w:style>
  <w:style w:type="paragraph" w:customStyle="1" w:styleId="NoteBullet">
    <w:name w:val="Note Bullet"/>
    <w:basedOn w:val="Note"/>
    <w:rsid w:val="00F34E63"/>
    <w:pPr>
      <w:tabs>
        <w:tab w:val="clear" w:pos="680"/>
      </w:tabs>
      <w:spacing w:before="60" w:after="60"/>
    </w:pPr>
  </w:style>
  <w:style w:type="paragraph" w:customStyle="1" w:styleId="SubHeading2">
    <w:name w:val="SubHeading2"/>
    <w:basedOn w:val="HeadingBase"/>
    <w:rsid w:val="00F34E63"/>
    <w:pPr>
      <w:spacing w:before="240" w:after="60"/>
    </w:pPr>
    <w:rPr>
      <w:sz w:val="20"/>
    </w:rPr>
  </w:style>
  <w:style w:type="paragraph" w:customStyle="1" w:styleId="SubHeading1">
    <w:name w:val="SubHeading1"/>
    <w:basedOn w:val="HeadingBase"/>
    <w:rsid w:val="00F34E63"/>
    <w:pPr>
      <w:spacing w:before="240" w:after="60"/>
    </w:pPr>
    <w:rPr>
      <w:color w:val="918585"/>
      <w:sz w:val="22"/>
    </w:rPr>
  </w:style>
  <w:style w:type="paragraph" w:customStyle="1" w:styleId="SideHeading">
    <w:name w:val="Side Heading"/>
    <w:basedOn w:val="HeadingBase"/>
    <w:rsid w:val="00F34E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4E63"/>
    <w:pPr>
      <w:numPr>
        <w:numId w:val="12"/>
      </w:numPr>
    </w:pPr>
  </w:style>
  <w:style w:type="paragraph" w:styleId="PlainText">
    <w:name w:val="Plain Text"/>
    <w:basedOn w:val="Normal"/>
    <w:link w:val="PlainTextChar"/>
    <w:rsid w:val="00F34E63"/>
    <w:rPr>
      <w:sz w:val="20"/>
    </w:rPr>
  </w:style>
  <w:style w:type="character" w:customStyle="1" w:styleId="PlainTextChar">
    <w:name w:val="Plain Text Char"/>
    <w:basedOn w:val="DefaultParagraphFont"/>
    <w:link w:val="PlainText"/>
    <w:rsid w:val="00F34E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4E63"/>
    <w:rPr>
      <w:b/>
      <w:smallCaps/>
    </w:rPr>
  </w:style>
  <w:style w:type="paragraph" w:customStyle="1" w:styleId="TableListNumber">
    <w:name w:val="Table List Number"/>
    <w:basedOn w:val="ListNumber"/>
    <w:rsid w:val="00F34E63"/>
    <w:pPr>
      <w:numPr>
        <w:numId w:val="0"/>
      </w:numPr>
    </w:pPr>
  </w:style>
  <w:style w:type="paragraph" w:styleId="TOC4">
    <w:name w:val="toc 4"/>
    <w:basedOn w:val="TOCBase"/>
    <w:next w:val="Normal"/>
    <w:semiHidden/>
    <w:rsid w:val="00F34E63"/>
    <w:pPr>
      <w:tabs>
        <w:tab w:val="right" w:leader="dot" w:pos="9071"/>
      </w:tabs>
      <w:ind w:left="1701"/>
    </w:pPr>
  </w:style>
  <w:style w:type="paragraph" w:customStyle="1" w:styleId="ListAlpha">
    <w:name w:val="List Alpha"/>
    <w:basedOn w:val="List"/>
    <w:rsid w:val="00F34E63"/>
    <w:pPr>
      <w:numPr>
        <w:numId w:val="9"/>
      </w:numPr>
    </w:pPr>
  </w:style>
  <w:style w:type="paragraph" w:customStyle="1" w:styleId="ListAlpha2">
    <w:name w:val="List Alpha 2"/>
    <w:basedOn w:val="List2"/>
    <w:rsid w:val="00F34E63"/>
    <w:pPr>
      <w:numPr>
        <w:numId w:val="8"/>
      </w:numPr>
    </w:pPr>
  </w:style>
  <w:style w:type="paragraph" w:styleId="List2">
    <w:name w:val="List 2"/>
    <w:basedOn w:val="BodyText"/>
    <w:rsid w:val="00F34E63"/>
    <w:pPr>
      <w:tabs>
        <w:tab w:val="left" w:pos="680"/>
      </w:tabs>
      <w:spacing w:before="60" w:after="60"/>
      <w:ind w:left="680" w:hanging="340"/>
    </w:pPr>
  </w:style>
  <w:style w:type="paragraph" w:styleId="List3">
    <w:name w:val="List 3"/>
    <w:basedOn w:val="BodyText"/>
    <w:rsid w:val="00F34E63"/>
    <w:pPr>
      <w:tabs>
        <w:tab w:val="left" w:pos="1021"/>
      </w:tabs>
      <w:spacing w:before="60" w:after="60"/>
      <w:ind w:left="1020" w:hanging="340"/>
    </w:pPr>
  </w:style>
  <w:style w:type="paragraph" w:styleId="List4">
    <w:name w:val="List 4"/>
    <w:basedOn w:val="BodyText"/>
    <w:rsid w:val="00F34E63"/>
    <w:pPr>
      <w:tabs>
        <w:tab w:val="left" w:pos="1361"/>
      </w:tabs>
      <w:spacing w:before="60" w:after="60"/>
      <w:ind w:left="1361" w:hanging="340"/>
    </w:pPr>
  </w:style>
  <w:style w:type="paragraph" w:styleId="List5">
    <w:name w:val="List 5"/>
    <w:basedOn w:val="BodyText"/>
    <w:rsid w:val="00F34E63"/>
    <w:pPr>
      <w:tabs>
        <w:tab w:val="left" w:pos="1701"/>
      </w:tabs>
      <w:spacing w:before="60" w:after="60"/>
      <w:ind w:left="1701" w:hanging="340"/>
    </w:pPr>
  </w:style>
  <w:style w:type="paragraph" w:styleId="ListBullet3">
    <w:name w:val="List Bullet 3"/>
    <w:basedOn w:val="List3"/>
    <w:rsid w:val="00F34E63"/>
    <w:pPr>
      <w:numPr>
        <w:numId w:val="15"/>
      </w:numPr>
      <w:tabs>
        <w:tab w:val="clear" w:pos="1021"/>
      </w:tabs>
      <w:ind w:left="1037" w:hanging="357"/>
    </w:pPr>
  </w:style>
  <w:style w:type="paragraph" w:styleId="ListBullet4">
    <w:name w:val="List Bullet 4"/>
    <w:basedOn w:val="List4"/>
    <w:rsid w:val="00F34E63"/>
    <w:pPr>
      <w:numPr>
        <w:numId w:val="3"/>
      </w:numPr>
    </w:pPr>
  </w:style>
  <w:style w:type="paragraph" w:styleId="ListBullet5">
    <w:name w:val="List Bullet 5"/>
    <w:basedOn w:val="List5"/>
    <w:rsid w:val="00F34E63"/>
    <w:pPr>
      <w:numPr>
        <w:numId w:val="4"/>
      </w:numPr>
    </w:pPr>
  </w:style>
  <w:style w:type="paragraph" w:styleId="ListContinue2">
    <w:name w:val="List Continue 2"/>
    <w:basedOn w:val="List2"/>
    <w:rsid w:val="00F34E63"/>
    <w:pPr>
      <w:ind w:firstLine="0"/>
    </w:pPr>
  </w:style>
  <w:style w:type="paragraph" w:styleId="ListContinue3">
    <w:name w:val="List Continue 3"/>
    <w:basedOn w:val="List3"/>
    <w:rsid w:val="00F34E63"/>
    <w:pPr>
      <w:ind w:left="1021" w:firstLine="0"/>
    </w:pPr>
  </w:style>
  <w:style w:type="paragraph" w:styleId="ListContinue4">
    <w:name w:val="List Continue 4"/>
    <w:basedOn w:val="List4"/>
    <w:rsid w:val="00F34E63"/>
    <w:pPr>
      <w:ind w:firstLine="0"/>
    </w:pPr>
  </w:style>
  <w:style w:type="paragraph" w:styleId="ListContinue5">
    <w:name w:val="List Continue 5"/>
    <w:basedOn w:val="List5"/>
    <w:rsid w:val="00F34E63"/>
    <w:pPr>
      <w:ind w:firstLine="0"/>
    </w:pPr>
  </w:style>
  <w:style w:type="paragraph" w:styleId="ListNumber3">
    <w:name w:val="List Number 3"/>
    <w:basedOn w:val="List3"/>
    <w:rsid w:val="00F34E63"/>
    <w:pPr>
      <w:numPr>
        <w:numId w:val="5"/>
      </w:numPr>
    </w:pPr>
  </w:style>
  <w:style w:type="paragraph" w:styleId="ListNumber4">
    <w:name w:val="List Number 4"/>
    <w:basedOn w:val="List4"/>
    <w:rsid w:val="00F34E63"/>
    <w:pPr>
      <w:numPr>
        <w:numId w:val="6"/>
      </w:numPr>
    </w:pPr>
  </w:style>
  <w:style w:type="paragraph" w:styleId="ListNumber5">
    <w:name w:val="List Number 5"/>
    <w:basedOn w:val="List5"/>
    <w:rsid w:val="00F34E63"/>
    <w:pPr>
      <w:numPr>
        <w:numId w:val="7"/>
      </w:numPr>
    </w:pPr>
  </w:style>
  <w:style w:type="paragraph" w:styleId="BlockText">
    <w:name w:val="Block Text"/>
    <w:basedOn w:val="Normal"/>
    <w:rsid w:val="00F34E63"/>
    <w:pPr>
      <w:spacing w:after="120"/>
      <w:ind w:left="1440" w:right="1440"/>
    </w:pPr>
  </w:style>
  <w:style w:type="character" w:customStyle="1" w:styleId="Subscript">
    <w:name w:val="Subscript"/>
    <w:basedOn w:val="DefaultParagraphFont"/>
    <w:rsid w:val="00F34E63"/>
    <w:rPr>
      <w:sz w:val="16"/>
      <w:vertAlign w:val="subscript"/>
    </w:rPr>
  </w:style>
  <w:style w:type="character" w:customStyle="1" w:styleId="Superscript">
    <w:name w:val="Superscript"/>
    <w:basedOn w:val="DefaultParagraphFont"/>
    <w:rsid w:val="00F34E63"/>
    <w:rPr>
      <w:sz w:val="16"/>
      <w:vertAlign w:val="superscript"/>
    </w:rPr>
  </w:style>
  <w:style w:type="character" w:customStyle="1" w:styleId="Symbols">
    <w:name w:val="Symbols"/>
    <w:basedOn w:val="DefaultParagraphFont"/>
    <w:rsid w:val="00F34E63"/>
    <w:rPr>
      <w:rFonts w:ascii="Symbol" w:hAnsi="Symbol"/>
    </w:rPr>
  </w:style>
  <w:style w:type="character" w:customStyle="1" w:styleId="MenuOptions">
    <w:name w:val="Menu Options"/>
    <w:basedOn w:val="DefaultParagraphFont"/>
    <w:rsid w:val="00F34E63"/>
    <w:rPr>
      <w:rFonts w:ascii="Arial Narrow" w:hAnsi="Arial Narrow"/>
      <w:smallCaps/>
    </w:rPr>
  </w:style>
  <w:style w:type="character" w:customStyle="1" w:styleId="Buttons">
    <w:name w:val="Buttons"/>
    <w:basedOn w:val="DefaultParagraphFont"/>
    <w:rsid w:val="00F34E63"/>
    <w:rPr>
      <w:b/>
    </w:rPr>
  </w:style>
  <w:style w:type="character" w:customStyle="1" w:styleId="Underlined">
    <w:name w:val="Underlined"/>
    <w:basedOn w:val="DefaultParagraphFont"/>
    <w:rsid w:val="00F34E63"/>
    <w:rPr>
      <w:u w:val="single"/>
    </w:rPr>
  </w:style>
  <w:style w:type="paragraph" w:customStyle="1" w:styleId="TableBodyTextRight">
    <w:name w:val="Table Body Text Right"/>
    <w:basedOn w:val="TableBodyText"/>
    <w:rsid w:val="00F34E63"/>
    <w:pPr>
      <w:widowControl w:val="0"/>
      <w:autoSpaceDE w:val="0"/>
      <w:autoSpaceDN w:val="0"/>
      <w:adjustRightInd w:val="0"/>
      <w:jc w:val="right"/>
    </w:pPr>
    <w:rPr>
      <w:rFonts w:cs="Arial"/>
      <w:szCs w:val="18"/>
    </w:rPr>
  </w:style>
  <w:style w:type="paragraph" w:customStyle="1" w:styleId="CopyrightText">
    <w:name w:val="Copyright Text"/>
    <w:basedOn w:val="BodyText"/>
    <w:rsid w:val="00F34E63"/>
    <w:rPr>
      <w:sz w:val="18"/>
    </w:rPr>
  </w:style>
  <w:style w:type="paragraph" w:customStyle="1" w:styleId="BodySmallRight">
    <w:name w:val="Body Small Right"/>
    <w:basedOn w:val="BodyTextRight"/>
    <w:rsid w:val="00F34E63"/>
    <w:rPr>
      <w:sz w:val="18"/>
      <w:szCs w:val="18"/>
    </w:rPr>
  </w:style>
  <w:style w:type="paragraph" w:customStyle="1" w:styleId="MarginEdition">
    <w:name w:val="Margin Edition"/>
    <w:basedOn w:val="MarginNote"/>
    <w:rsid w:val="00F34E63"/>
    <w:pPr>
      <w:spacing w:before="0" w:after="0"/>
    </w:pPr>
    <w:rPr>
      <w:rFonts w:ascii="Times New Roman" w:hAnsi="Times New Roman"/>
      <w:color w:val="999999"/>
    </w:rPr>
  </w:style>
  <w:style w:type="paragraph" w:customStyle="1" w:styleId="Spacer">
    <w:name w:val="Spacer"/>
    <w:basedOn w:val="Normal"/>
    <w:rsid w:val="00F34E63"/>
    <w:rPr>
      <w:sz w:val="2"/>
      <w:szCs w:val="2"/>
    </w:rPr>
  </w:style>
  <w:style w:type="character" w:customStyle="1" w:styleId="Small">
    <w:name w:val="Small"/>
    <w:basedOn w:val="DefaultParagraphFont"/>
    <w:rsid w:val="00F34E63"/>
    <w:rPr>
      <w:sz w:val="16"/>
    </w:rPr>
  </w:style>
  <w:style w:type="paragraph" w:customStyle="1" w:styleId="WideTable">
    <w:name w:val="Wide Table"/>
    <w:basedOn w:val="Normal"/>
    <w:rsid w:val="00F34E63"/>
    <w:pPr>
      <w:ind w:left="-1418"/>
    </w:pPr>
    <w:rPr>
      <w:sz w:val="2"/>
      <w:szCs w:val="2"/>
    </w:rPr>
  </w:style>
  <w:style w:type="character" w:styleId="PageNumber">
    <w:name w:val="page number"/>
    <w:basedOn w:val="DefaultParagraphFont"/>
    <w:rsid w:val="00F34E63"/>
  </w:style>
  <w:style w:type="paragraph" w:styleId="Quote">
    <w:name w:val="Quote"/>
    <w:basedOn w:val="Heading1"/>
    <w:link w:val="QuoteChar"/>
    <w:qFormat/>
    <w:rsid w:val="00F34E63"/>
    <w:rPr>
      <w:b w:val="0"/>
      <w:sz w:val="72"/>
      <w:szCs w:val="72"/>
      <w:lang w:val="en-NZ"/>
    </w:rPr>
  </w:style>
  <w:style w:type="character" w:customStyle="1" w:styleId="QuoteChar">
    <w:name w:val="Quote Char"/>
    <w:basedOn w:val="DefaultParagraphFont"/>
    <w:link w:val="Quote"/>
    <w:rsid w:val="00F34E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4E63"/>
    <w:pPr>
      <w:pageBreakBefore/>
    </w:pPr>
  </w:style>
  <w:style w:type="paragraph" w:customStyle="1" w:styleId="Border">
    <w:name w:val="Border"/>
    <w:basedOn w:val="Normal"/>
    <w:qFormat/>
    <w:rsid w:val="00F34E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4E63"/>
    <w:rPr>
      <w:b/>
      <w:bCs/>
      <w:i/>
      <w:iCs/>
      <w:color w:val="auto"/>
    </w:rPr>
  </w:style>
  <w:style w:type="paragraph" w:styleId="IntenseQuote">
    <w:name w:val="Intense Quote"/>
    <w:basedOn w:val="Normal"/>
    <w:next w:val="Normal"/>
    <w:link w:val="IntenseQuoteChar"/>
    <w:uiPriority w:val="30"/>
    <w:qFormat/>
    <w:rsid w:val="00F34E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4E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4E63"/>
    <w:rPr>
      <w:smallCaps/>
      <w:color w:val="auto"/>
      <w:u w:val="single"/>
    </w:rPr>
  </w:style>
  <w:style w:type="character" w:styleId="IntenseReference">
    <w:name w:val="Intense Reference"/>
    <w:basedOn w:val="DefaultParagraphFont"/>
    <w:uiPriority w:val="32"/>
    <w:qFormat/>
    <w:rsid w:val="00F34E63"/>
    <w:rPr>
      <w:b/>
      <w:bCs/>
      <w:smallCaps/>
      <w:color w:val="auto"/>
      <w:spacing w:val="5"/>
      <w:u w:val="single"/>
    </w:rPr>
  </w:style>
  <w:style w:type="paragraph" w:customStyle="1" w:styleId="2ColumnHeading">
    <w:name w:val="2Column Heading"/>
    <w:basedOn w:val="BodyText"/>
    <w:qFormat/>
    <w:rsid w:val="00F34E63"/>
    <w:pPr>
      <w:spacing w:after="60"/>
      <w:ind w:left="-2268"/>
    </w:pPr>
    <w:rPr>
      <w:b/>
    </w:rPr>
  </w:style>
  <w:style w:type="paragraph" w:customStyle="1" w:styleId="Heading1TOC">
    <w:name w:val="Heading1 TOC"/>
    <w:basedOn w:val="Normal"/>
    <w:qFormat/>
    <w:rsid w:val="00F34E63"/>
    <w:pPr>
      <w:spacing w:before="240" w:after="120"/>
    </w:pPr>
    <w:rPr>
      <w:rFonts w:ascii="Times New Roman" w:hAnsi="Times New Roman"/>
      <w:b/>
      <w:sz w:val="32"/>
    </w:rPr>
  </w:style>
  <w:style w:type="paragraph" w:customStyle="1" w:styleId="Heading2TOC">
    <w:name w:val="Heading2 TOC"/>
    <w:basedOn w:val="Normal"/>
    <w:qFormat/>
    <w:rsid w:val="00F34E63"/>
    <w:pPr>
      <w:spacing w:before="240" w:after="60"/>
    </w:pPr>
    <w:rPr>
      <w:rFonts w:ascii="Times New Roman" w:hAnsi="Times New Roman"/>
      <w:b/>
      <w:sz w:val="28"/>
    </w:rPr>
  </w:style>
  <w:style w:type="character" w:customStyle="1" w:styleId="Underline">
    <w:name w:val="Underline"/>
    <w:basedOn w:val="DefaultParagraphFont"/>
    <w:qFormat/>
    <w:rsid w:val="00F34E63"/>
    <w:rPr>
      <w:u w:val="single"/>
    </w:rPr>
  </w:style>
  <w:style w:type="character" w:customStyle="1" w:styleId="BoldandItalics">
    <w:name w:val="Bold and Italics"/>
    <w:qFormat/>
    <w:rsid w:val="00F34E63"/>
    <w:rPr>
      <w:b/>
      <w:i/>
      <w:u w:val="none"/>
    </w:rPr>
  </w:style>
  <w:style w:type="paragraph" w:styleId="BalloonText">
    <w:name w:val="Balloon Text"/>
    <w:basedOn w:val="Normal"/>
    <w:link w:val="BalloonTextChar"/>
    <w:rsid w:val="00F34E63"/>
    <w:rPr>
      <w:rFonts w:ascii="Tahoma" w:hAnsi="Tahoma" w:cs="Tahoma"/>
      <w:sz w:val="16"/>
      <w:szCs w:val="16"/>
    </w:rPr>
  </w:style>
  <w:style w:type="character" w:customStyle="1" w:styleId="BalloonTextChar">
    <w:name w:val="Balloon Text Char"/>
    <w:basedOn w:val="DefaultParagraphFont"/>
    <w:link w:val="BalloonText"/>
    <w:rsid w:val="00F34E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4E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4E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1321</Words>
  <Characters>8346</Characters>
  <Application>Microsoft Office Word</Application>
  <DocSecurity>0</DocSecurity>
  <Lines>336</Lines>
  <Paragraphs>181</Paragraphs>
  <ScaleCrop>false</ScaleCrop>
  <Company>Author-it Software Corporation Ltd.</Company>
  <LinksUpToDate>false</LinksUpToDate>
  <CharactersWithSpaces>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HLTMT310D Collect, preserve and store post mortem samples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2012-05-27T00:34:00Z</dcterms:created>
  <dcterms:modified xsi:type="dcterms:W3CDTF">2012-05-27T00:34:00Z</dcterms:modified>
</cp:coreProperties>
</file>