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88F" w:rsidP="00E8788F">
      <w:pPr>
        <w:pStyle w:val="Title"/>
      </w:pPr>
      <w:bookmarkStart w:id="0" w:name="_GoBack"/>
      <w:bookmarkEnd w:id="0"/>
      <w:r>
        <w:fldChar w:fldCharType="begin"/>
      </w:r>
      <w:r>
        <w:instrText xml:space="preserve"> TITLE   \* MERGEFORMAT </w:instrText>
      </w:r>
      <w:r>
        <w:fldChar w:fldCharType="separate"/>
      </w:r>
      <w:r>
        <w:t>HLTHOM608C Provide homeopathic treatment and manage the case</w:t>
      </w:r>
      <w:r>
        <w:fldChar w:fldCharType="end"/>
      </w:r>
    </w:p>
    <w:p w:rsidR="00E8788F" w:rsidP="00E8788F">
      <w:pPr>
        <w:pStyle w:val="Version"/>
        <w:sectPr w:rsidSect="009F1A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A9A" w:rsidP="009F1A9A">
      <w:pPr>
        <w:pStyle w:val="SuperHeading"/>
      </w:pPr>
      <w:r w:rsidRPr="009F1A9A">
        <w:t>HLTHOM608C Provide homœopathic treatment and manage the case</w:t>
      </w:r>
    </w:p>
    <w:p w:rsidR="00000000" w:rsidRPr="009F1A9A" w:rsidP="009F1A9A">
      <w:pPr>
        <w:pStyle w:val="Heading1"/>
      </w:pPr>
      <w:bookmarkStart w:id="1" w:name="O_271244"/>
      <w:bookmarkEnd w:id="1"/>
      <w:r w:rsidRPr="009F1A9A">
        <w:t>Modification History</w:t>
      </w:r>
    </w:p>
    <w:p w:rsidR="00000000" w:rsidRPr="009F1A9A" w:rsidP="009F1A9A">
      <w:pPr>
        <w:pStyle w:val="BodyText"/>
      </w:pPr>
      <w:r w:rsidRPr="009F1A9A">
        <w:t>Not Applicable</w:t>
      </w:r>
    </w:p>
    <w:p w:rsidR="00000000" w:rsidRPr="009F1A9A" w:rsidP="009F1A9A">
      <w:pPr>
        <w:pStyle w:val="AllowPageBreak"/>
      </w:pPr>
    </w:p>
    <w:p w:rsidR="00000000" w:rsidRPr="009F1A9A" w:rsidP="009F1A9A">
      <w:pPr>
        <w:pStyle w:val="Heading1"/>
      </w:pPr>
      <w:bookmarkStart w:id="2" w:name="O_206089"/>
      <w:bookmarkEnd w:id="2"/>
      <w:r w:rsidRPr="009F1A9A">
        <w:t>Unit Descriptor</w:t>
      </w:r>
    </w:p>
    <w:tbl>
      <w:tblPr>
        <w:tblW w:w="0" w:type="auto"/>
        <w:tblLayout w:type="fixed"/>
        <w:tblCellMar>
          <w:left w:w="62" w:type="dxa"/>
          <w:right w:w="62" w:type="dxa"/>
        </w:tblCellMar>
        <w:tblLook w:val="0000"/>
      </w:tblPr>
      <w:tblGrid>
        <w:gridCol w:w="3338"/>
        <w:gridCol w:w="5218"/>
      </w:tblGrid>
      <w:tr w:rsidTr="00E8788F">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9F1A9A" w:rsidP="009F1A9A">
            <w:pPr>
              <w:pStyle w:val="BodyText"/>
            </w:pPr>
            <w:r w:rsidRPr="009F1A9A">
              <w:t>This unit</w:t>
            </w:r>
            <w:r w:rsidRPr="009F1A9A">
              <w:t xml:space="preserve"> of competency describes the skills and knowledge required to provide treatment and manage the case according to the philosophy and practices of the homœopathic framework</w:t>
            </w:r>
          </w:p>
        </w:tc>
      </w:tr>
    </w:tbl>
    <w:p w:rsidR="00E8788F" w:rsidP="009F1A9A">
      <w:pPr>
        <w:pStyle w:val="BodyText"/>
      </w:pPr>
    </w:p>
    <w:p w:rsidR="00E8788F" w:rsidP="009F1A9A">
      <w:pPr>
        <w:pStyle w:val="BodyText"/>
      </w:pPr>
    </w:p>
    <w:p w:rsidR="00000000" w:rsidRPr="009F1A9A" w:rsidP="009F1A9A">
      <w:pPr>
        <w:pStyle w:val="Heading1"/>
      </w:pPr>
      <w:bookmarkStart w:id="3" w:name="O_206091"/>
      <w:bookmarkEnd w:id="3"/>
      <w:r w:rsidRPr="009F1A9A">
        <w:t>Application of the Unit</w:t>
      </w:r>
    </w:p>
    <w:tbl>
      <w:tblPr>
        <w:tblW w:w="0" w:type="auto"/>
        <w:tblLayout w:type="fixed"/>
        <w:tblCellMar>
          <w:left w:w="62" w:type="dxa"/>
          <w:right w:w="62" w:type="dxa"/>
        </w:tblCellMar>
        <w:tblLook w:val="0000"/>
      </w:tblPr>
      <w:tblGrid>
        <w:gridCol w:w="3349"/>
        <w:gridCol w:w="5207"/>
      </w:tblGrid>
      <w:tr w:rsidTr="00E8788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SpecialBold"/>
              </w:rPr>
              <w:t>Application</w:t>
            </w:r>
            <w:r w:rsidRPr="009F1A9A">
              <w:t xml:space="preserve"> </w:t>
            </w:r>
          </w:p>
        </w:tc>
        <w:tc>
          <w:tcPr>
            <w:tcW w:w="5207" w:type="dxa"/>
            <w:tcBorders>
              <w:top w:val="nil"/>
              <w:left w:val="nil"/>
              <w:bottom w:val="nil"/>
              <w:right w:val="nil"/>
            </w:tcBorders>
            <w:tcMar>
              <w:top w:w="0" w:type="dxa"/>
              <w:left w:w="62" w:type="dxa"/>
              <w:bottom w:w="0" w:type="dxa"/>
              <w:right w:w="62" w:type="dxa"/>
            </w:tcMar>
          </w:tcPr>
          <w:p w:rsidR="00000000" w:rsidRPr="009F1A9A" w:rsidP="009F1A9A">
            <w:pPr>
              <w:pStyle w:val="BodyText"/>
            </w:pPr>
            <w:r w:rsidRPr="009F1A9A">
              <w:t>This unit applies to work in homœopathy</w:t>
            </w:r>
          </w:p>
        </w:tc>
      </w:tr>
    </w:tbl>
    <w:p w:rsidR="00E8788F" w:rsidP="009F1A9A">
      <w:pPr>
        <w:pStyle w:val="BodyText"/>
      </w:pPr>
    </w:p>
    <w:p w:rsidR="00E8788F" w:rsidP="009F1A9A">
      <w:pPr>
        <w:pStyle w:val="BodyText"/>
      </w:pPr>
    </w:p>
    <w:p w:rsidR="00000000" w:rsidRPr="009F1A9A" w:rsidP="009F1A9A">
      <w:pPr>
        <w:pStyle w:val="Heading1"/>
      </w:pPr>
      <w:bookmarkStart w:id="4" w:name="O_279504"/>
      <w:bookmarkEnd w:id="4"/>
      <w:r w:rsidRPr="009F1A9A">
        <w:t>Licensing/Regulatory Information</w:t>
      </w:r>
    </w:p>
    <w:p w:rsidR="00000000" w:rsidRPr="009F1A9A" w:rsidP="009F1A9A">
      <w:pPr>
        <w:pStyle w:val="BodyText"/>
      </w:pPr>
      <w:r w:rsidRPr="009F1A9A">
        <w:t>Not Applicable</w:t>
      </w:r>
    </w:p>
    <w:p w:rsidR="00000000" w:rsidRPr="009F1A9A" w:rsidP="009F1A9A">
      <w:pPr>
        <w:pStyle w:val="AllowPageBreak"/>
      </w:pPr>
    </w:p>
    <w:p w:rsidR="00000000" w:rsidRPr="009F1A9A" w:rsidP="009F1A9A">
      <w:pPr>
        <w:pStyle w:val="Heading1"/>
      </w:pPr>
      <w:bookmarkStart w:id="5" w:name="O_284194"/>
      <w:bookmarkEnd w:id="5"/>
      <w:r w:rsidRPr="009F1A9A">
        <w:t>Pre-Requisites</w:t>
      </w:r>
    </w:p>
    <w:p w:rsidR="00000000" w:rsidRPr="009F1A9A" w:rsidP="009F1A9A">
      <w:pPr>
        <w:pStyle w:val="BodyText"/>
      </w:pPr>
      <w:r w:rsidRPr="009F1A9A">
        <w:t>Not Applicable</w:t>
      </w:r>
    </w:p>
    <w:p w:rsidR="00000000" w:rsidRPr="009F1A9A" w:rsidP="009F1A9A">
      <w:pPr>
        <w:pStyle w:val="AllowPageBreak"/>
      </w:pPr>
    </w:p>
    <w:p w:rsidR="00000000" w:rsidRPr="009F1A9A" w:rsidP="009F1A9A">
      <w:pPr>
        <w:pStyle w:val="Heading1"/>
      </w:pPr>
      <w:bookmarkStart w:id="6" w:name="O_206090"/>
      <w:bookmarkEnd w:id="6"/>
      <w:r w:rsidRPr="009F1A9A">
        <w:t>Employability Skills Information</w:t>
      </w:r>
    </w:p>
    <w:tbl>
      <w:tblPr>
        <w:tblW w:w="0" w:type="auto"/>
        <w:tblLayout w:type="fixed"/>
        <w:tblCellMar>
          <w:left w:w="62" w:type="dxa"/>
          <w:right w:w="62" w:type="dxa"/>
        </w:tblCellMar>
        <w:tblLook w:val="0000"/>
      </w:tblPr>
      <w:tblGrid>
        <w:gridCol w:w="3320"/>
        <w:gridCol w:w="5236"/>
      </w:tblGrid>
      <w:tr w:rsidTr="00E8788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F1A9A" w:rsidP="009F1A9A">
            <w:pPr>
              <w:pStyle w:val="BodyText"/>
            </w:pPr>
            <w:r w:rsidRPr="009F1A9A">
              <w:t>This unit contains Employability Skills</w:t>
            </w:r>
          </w:p>
        </w:tc>
      </w:tr>
    </w:tbl>
    <w:p w:rsidR="00E8788F" w:rsidP="009F1A9A">
      <w:pPr>
        <w:pStyle w:val="BodyText"/>
      </w:pPr>
    </w:p>
    <w:p w:rsidR="00E8788F" w:rsidP="009F1A9A">
      <w:pPr>
        <w:pStyle w:val="BodyText"/>
      </w:pPr>
    </w:p>
    <w:p w:rsidR="00000000" w:rsidRPr="009F1A9A" w:rsidP="009F1A9A">
      <w:pPr>
        <w:pStyle w:val="Heading1"/>
      </w:pPr>
      <w:bookmarkStart w:id="7" w:name="O_289290"/>
      <w:bookmarkEnd w:id="7"/>
      <w:r w:rsidRPr="009F1A9A">
        <w:t>Elements and Performance Criteria Pre-Content</w:t>
      </w:r>
    </w:p>
    <w:tbl>
      <w:tblPr>
        <w:tblW w:w="0" w:type="auto"/>
        <w:tblLayout w:type="fixed"/>
        <w:tblCellMar>
          <w:left w:w="62" w:type="dxa"/>
          <w:right w:w="62" w:type="dxa"/>
        </w:tblCellMar>
        <w:tblLook w:val="0000"/>
      </w:tblPr>
      <w:tblGrid>
        <w:gridCol w:w="3369"/>
        <w:gridCol w:w="5702"/>
      </w:tblGrid>
      <w:tr w:rsidTr="00E878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F1A9A" w:rsidP="009F1A9A">
            <w:pPr>
              <w:pStyle w:val="BodyText"/>
            </w:pPr>
            <w:r w:rsidRPr="009F1A9A">
              <w:t>The Performance Criteria specify the level of performance required to demonstrate achi</w:t>
            </w:r>
            <w:r w:rsidRPr="009F1A9A">
              <w:t xml:space="preserve">evement of the Element. Terms in italics are elaborated in the Range Statement. </w:t>
            </w:r>
          </w:p>
        </w:tc>
      </w:tr>
    </w:tbl>
    <w:p w:rsidR="00000000" w:rsidRPr="009F1A9A" w:rsidP="009F1A9A">
      <w:pPr>
        <w:pStyle w:val="BodyText"/>
      </w:pPr>
    </w:p>
    <w:p w:rsidR="00000000" w:rsidRPr="009F1A9A" w:rsidP="009F1A9A">
      <w:pPr>
        <w:pStyle w:val="AllowPageBreak"/>
      </w:pPr>
    </w:p>
    <w:p w:rsidR="00000000" w:rsidRPr="009F1A9A" w:rsidP="009F1A9A">
      <w:pPr>
        <w:pStyle w:val="Heading1"/>
      </w:pPr>
      <w:bookmarkStart w:id="8" w:name="O_235957"/>
      <w:bookmarkEnd w:id="8"/>
      <w:r w:rsidRPr="009F1A9A">
        <w:t>Elements and Performance Criteria</w:t>
      </w:r>
    </w:p>
    <w:tbl>
      <w:tblPr>
        <w:tblW w:w="0" w:type="auto"/>
        <w:tblLayout w:type="fixed"/>
        <w:tblCellMar>
          <w:left w:w="62" w:type="dxa"/>
          <w:right w:w="62" w:type="dxa"/>
        </w:tblCellMar>
        <w:tblLook w:val="0000"/>
      </w:tblPr>
      <w:tblGrid>
        <w:gridCol w:w="3369"/>
        <w:gridCol w:w="5702"/>
      </w:tblGrid>
      <w:tr w:rsidTr="00E8788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F1A9A" w:rsidP="009F1A9A">
            <w:pPr>
              <w:pStyle w:val="BodyText"/>
            </w:pPr>
            <w:r w:rsidRPr="009F1A9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SpecialBold"/>
              </w:rPr>
              <w:t>PERFORMANCE CRITERIA</w:t>
            </w:r>
          </w:p>
        </w:tc>
      </w:tr>
      <w:tr w:rsidTr="00E878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1A9A">
            <w:pPr>
              <w:pStyle w:val="List"/>
              <w:rPr>
                <w:lang w:val="en-NZ"/>
              </w:rPr>
            </w:pPr>
            <w:r w:rsidRPr="009F1A9A">
              <w:t>1.</w:t>
            </w:r>
            <w:r w:rsidRPr="009F1A9A">
              <w:tab/>
              <w:t>Provide homœopathic treatment</w:t>
            </w:r>
          </w:p>
        </w:tc>
        <w:tc>
          <w:tcPr>
            <w:tcW w:w="5702" w:type="dxa"/>
            <w:tcBorders>
              <w:top w:val="nil"/>
              <w:left w:val="nil"/>
              <w:bottom w:val="nil"/>
              <w:right w:val="nil"/>
            </w:tcBorders>
            <w:tcMar>
              <w:top w:w="0" w:type="dxa"/>
              <w:left w:w="62" w:type="dxa"/>
              <w:bottom w:w="0" w:type="dxa"/>
              <w:right w:w="62" w:type="dxa"/>
            </w:tcMar>
          </w:tcPr>
          <w:p w:rsidR="00000000" w:rsidRPr="009F1A9A" w:rsidP="009F1A9A">
            <w:pPr>
              <w:pStyle w:val="BodyText"/>
            </w:pPr>
            <w:r w:rsidRPr="009F1A9A">
              <w:t>1.1</w:t>
            </w:r>
            <w:r w:rsidRPr="009F1A9A">
              <w:tab/>
              <w:t>Provide homœ</w:t>
            </w:r>
            <w:r w:rsidRPr="009F1A9A">
              <w:t>opathic medicines according to the client's phase of disease and presenting complaint(s)</w:t>
            </w:r>
          </w:p>
          <w:p w:rsidR="00000000" w:rsidRPr="009F1A9A" w:rsidP="009F1A9A">
            <w:pPr>
              <w:pStyle w:val="BodyText"/>
            </w:pPr>
            <w:r w:rsidRPr="009F1A9A">
              <w:t>1.2</w:t>
            </w:r>
            <w:r w:rsidRPr="009F1A9A">
              <w:tab/>
              <w:t xml:space="preserve">Explain </w:t>
            </w:r>
            <w:r w:rsidRPr="009F1A9A">
              <w:rPr>
                <w:rStyle w:val="Emphasis"/>
              </w:rPr>
              <w:t>instructions for taking the homœopathic medicine</w:t>
            </w:r>
            <w:r w:rsidRPr="009F1A9A">
              <w:t>, and negotiate if required</w:t>
            </w:r>
          </w:p>
          <w:p w:rsidR="00000000" w:rsidRPr="009F1A9A" w:rsidP="009F1A9A">
            <w:pPr>
              <w:pStyle w:val="BodyText"/>
            </w:pPr>
            <w:r w:rsidRPr="009F1A9A">
              <w:t>1.3</w:t>
            </w:r>
            <w:r w:rsidRPr="009F1A9A">
              <w:tab/>
              <w:t xml:space="preserve">Explain </w:t>
            </w:r>
            <w:r w:rsidRPr="009F1A9A">
              <w:rPr>
                <w:rStyle w:val="Emphasis"/>
              </w:rPr>
              <w:t>factors which may interfere with the effectiveness of the treatment</w:t>
            </w:r>
            <w:r w:rsidRPr="009F1A9A">
              <w:t xml:space="preserve"> </w:t>
            </w:r>
          </w:p>
          <w:p w:rsidR="00000000" w:rsidRPr="009F1A9A" w:rsidP="009F1A9A">
            <w:pPr>
              <w:pStyle w:val="BodyText"/>
            </w:pPr>
            <w:r w:rsidRPr="009F1A9A">
              <w:t>1.4</w:t>
            </w:r>
            <w:r w:rsidRPr="009F1A9A">
              <w:tab/>
              <w:t xml:space="preserve">Ensure client </w:t>
            </w:r>
            <w:r w:rsidRPr="009F1A9A">
              <w:rPr>
                <w:rStyle w:val="Emphasis"/>
              </w:rPr>
              <w:t>consent for treatment</w:t>
            </w:r>
            <w:r w:rsidRPr="009F1A9A">
              <w:t xml:space="preserve"> </w:t>
            </w:r>
          </w:p>
          <w:p w:rsidR="00000000" w:rsidRPr="009F1A9A" w:rsidP="009F1A9A">
            <w:pPr>
              <w:pStyle w:val="BodyText"/>
            </w:pPr>
            <w:r w:rsidRPr="009F1A9A">
              <w:t>1.5</w:t>
            </w:r>
            <w:r w:rsidRPr="009F1A9A">
              <w:tab/>
              <w:t xml:space="preserve">Request client to monitor </w:t>
            </w:r>
            <w:r w:rsidRPr="009F1A9A">
              <w:rPr>
                <w:rStyle w:val="Emphasis"/>
              </w:rPr>
              <w:t>responses to the homœopathic medicine</w:t>
            </w:r>
            <w:r w:rsidRPr="009F1A9A">
              <w:t xml:space="preserve"> and to contact practitioner as required</w:t>
            </w:r>
          </w:p>
          <w:p w:rsidR="00000000" w:rsidRPr="009F1A9A" w:rsidP="009F1A9A">
            <w:pPr>
              <w:pStyle w:val="BodyText"/>
            </w:pPr>
            <w:r w:rsidRPr="009F1A9A">
              <w:t>1.6</w:t>
            </w:r>
            <w:r w:rsidRPr="009F1A9A">
              <w:tab/>
              <w:t>Explain the time, location and purpose of future sessions to the client</w:t>
            </w:r>
          </w:p>
          <w:p w:rsidR="00000000" w:rsidP="009F1A9A">
            <w:pPr>
              <w:pStyle w:val="BodyText"/>
              <w:rPr>
                <w:lang w:val="en-NZ"/>
              </w:rPr>
            </w:pPr>
            <w:r w:rsidRPr="009F1A9A">
              <w:t>1.7</w:t>
            </w:r>
            <w:r w:rsidRPr="009F1A9A">
              <w:tab/>
              <w:t>Document treatments, reco</w:t>
            </w:r>
            <w:r w:rsidRPr="009F1A9A">
              <w:t xml:space="preserve">mmendations and arrangements for review according </w:t>
            </w:r>
            <w:r w:rsidRPr="009F1A9A">
              <w:rPr>
                <w:rStyle w:val="Emphasis"/>
              </w:rPr>
              <w:t>to clinic guidelines</w:t>
            </w:r>
          </w:p>
        </w:tc>
      </w:tr>
      <w:tr w:rsidTr="00E878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1A9A">
            <w:pPr>
              <w:pStyle w:val="List"/>
              <w:rPr>
                <w:lang w:val="en-NZ"/>
              </w:rPr>
            </w:pPr>
            <w:r w:rsidRPr="009F1A9A">
              <w:t>2.</w:t>
            </w:r>
            <w:r w:rsidRPr="009F1A9A">
              <w:tab/>
              <w:t>Advise and resource the client</w:t>
            </w:r>
          </w:p>
        </w:tc>
        <w:tc>
          <w:tcPr>
            <w:tcW w:w="5702" w:type="dxa"/>
            <w:tcBorders>
              <w:top w:val="nil"/>
              <w:left w:val="nil"/>
              <w:bottom w:val="nil"/>
              <w:right w:val="nil"/>
            </w:tcBorders>
            <w:tcMar>
              <w:top w:w="0" w:type="dxa"/>
              <w:left w:w="62" w:type="dxa"/>
              <w:bottom w:w="0" w:type="dxa"/>
              <w:right w:w="62" w:type="dxa"/>
            </w:tcMar>
          </w:tcPr>
          <w:p w:rsidR="00000000" w:rsidRPr="009F1A9A" w:rsidP="009F1A9A">
            <w:pPr>
              <w:pStyle w:val="BodyText"/>
            </w:pPr>
            <w:r w:rsidRPr="009F1A9A">
              <w:t>2.1</w:t>
            </w:r>
            <w:r w:rsidRPr="009F1A9A">
              <w:tab/>
              <w:t xml:space="preserve">Provide the client with </w:t>
            </w:r>
            <w:r w:rsidRPr="009F1A9A">
              <w:rPr>
                <w:rStyle w:val="Emphasis"/>
              </w:rPr>
              <w:t>information relevant to their treatment plan</w:t>
            </w:r>
            <w:r w:rsidRPr="009F1A9A">
              <w:t xml:space="preserve"> and required participation</w:t>
            </w:r>
          </w:p>
          <w:p w:rsidR="00000000" w:rsidRPr="009F1A9A" w:rsidP="009F1A9A">
            <w:pPr>
              <w:pStyle w:val="BodyText"/>
            </w:pPr>
            <w:r w:rsidRPr="009F1A9A">
              <w:t>2.2</w:t>
            </w:r>
            <w:r w:rsidRPr="009F1A9A">
              <w:tab/>
              <w:t xml:space="preserve">Answer client queries with </w:t>
            </w:r>
            <w:r w:rsidRPr="009F1A9A">
              <w:t xml:space="preserve">clarity, using the appropriate language </w:t>
            </w:r>
          </w:p>
          <w:p w:rsidR="00000000" w:rsidRPr="009F1A9A" w:rsidP="009F1A9A">
            <w:pPr>
              <w:pStyle w:val="BodyText"/>
            </w:pPr>
            <w:r w:rsidRPr="009F1A9A">
              <w:t>2.3</w:t>
            </w:r>
            <w:r w:rsidRPr="009F1A9A">
              <w:tab/>
              <w:t>Use appropriate interpersonal skills when explaining treatment plans and recommendations to the client</w:t>
            </w:r>
          </w:p>
          <w:p w:rsidR="00000000" w:rsidP="009F1A9A">
            <w:pPr>
              <w:pStyle w:val="BodyText"/>
              <w:rPr>
                <w:lang w:val="en-NZ"/>
              </w:rPr>
            </w:pPr>
            <w:r w:rsidRPr="009F1A9A">
              <w:t>2.4</w:t>
            </w:r>
            <w:r w:rsidRPr="009F1A9A">
              <w:tab/>
              <w:t>Promote client independence and responsibility in treatment wherever possible</w:t>
            </w:r>
          </w:p>
        </w:tc>
      </w:tr>
      <w:tr w:rsidTr="00E878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1A9A">
            <w:pPr>
              <w:pStyle w:val="List"/>
              <w:rPr>
                <w:lang w:val="en-NZ"/>
              </w:rPr>
            </w:pPr>
            <w:r w:rsidRPr="009F1A9A">
              <w:t>3.</w:t>
            </w:r>
            <w:r w:rsidRPr="009F1A9A">
              <w:tab/>
              <w:t>Manage and review t</w:t>
            </w:r>
            <w:r w:rsidRPr="009F1A9A">
              <w:t>reatment</w:t>
            </w:r>
          </w:p>
        </w:tc>
        <w:tc>
          <w:tcPr>
            <w:tcW w:w="5702" w:type="dxa"/>
            <w:tcBorders>
              <w:top w:val="nil"/>
              <w:left w:val="nil"/>
              <w:bottom w:val="nil"/>
              <w:right w:val="nil"/>
            </w:tcBorders>
            <w:tcMar>
              <w:top w:w="0" w:type="dxa"/>
              <w:left w:w="62" w:type="dxa"/>
              <w:bottom w:w="0" w:type="dxa"/>
              <w:right w:w="62" w:type="dxa"/>
            </w:tcMar>
          </w:tcPr>
          <w:p w:rsidR="00000000" w:rsidRPr="009F1A9A" w:rsidP="009F1A9A">
            <w:pPr>
              <w:pStyle w:val="BodyText"/>
            </w:pPr>
            <w:r w:rsidRPr="009F1A9A">
              <w:t>3.1</w:t>
            </w:r>
            <w:r w:rsidRPr="009F1A9A">
              <w:tab/>
              <w:t xml:space="preserve">Monitor responses to treatment and </w:t>
            </w:r>
            <w:r w:rsidRPr="009F1A9A">
              <w:rPr>
                <w:rStyle w:val="Emphasis"/>
              </w:rPr>
              <w:t>manage aggravations promptly</w:t>
            </w:r>
            <w:r w:rsidRPr="009F1A9A">
              <w:t xml:space="preserve"> if necessary</w:t>
            </w:r>
          </w:p>
          <w:p w:rsidR="00000000" w:rsidRPr="009F1A9A" w:rsidP="009F1A9A">
            <w:pPr>
              <w:pStyle w:val="BodyText"/>
            </w:pPr>
            <w:r w:rsidRPr="009F1A9A">
              <w:t>3.2</w:t>
            </w:r>
            <w:r w:rsidRPr="009F1A9A">
              <w:tab/>
              <w:t xml:space="preserve">Review </w:t>
            </w:r>
            <w:r w:rsidRPr="009F1A9A">
              <w:rPr>
                <w:rStyle w:val="Emphasis"/>
              </w:rPr>
              <w:t>responses to the homœopathic</w:t>
            </w:r>
            <w:r w:rsidRPr="009F1A9A">
              <w:t xml:space="preserve"> medicine against therapeutic expectations and record according </w:t>
            </w:r>
            <w:r w:rsidRPr="009F1A9A">
              <w:rPr>
                <w:rStyle w:val="Emphasis"/>
              </w:rPr>
              <w:t>to clinic guidelines</w:t>
            </w:r>
          </w:p>
          <w:p w:rsidR="00000000" w:rsidRPr="009F1A9A" w:rsidP="009F1A9A">
            <w:pPr>
              <w:pStyle w:val="BodyText"/>
            </w:pPr>
            <w:r w:rsidRPr="009F1A9A">
              <w:t>3.3</w:t>
            </w:r>
            <w:r w:rsidRPr="009F1A9A">
              <w:tab/>
              <w:t>Evaluate progress with the client</w:t>
            </w:r>
          </w:p>
          <w:p w:rsidR="00000000" w:rsidRPr="009F1A9A" w:rsidP="009F1A9A">
            <w:pPr>
              <w:pStyle w:val="BodyText"/>
            </w:pPr>
            <w:r w:rsidRPr="009F1A9A">
              <w:t>3.4</w:t>
            </w:r>
            <w:r w:rsidRPr="009F1A9A">
              <w:tab/>
            </w:r>
            <w:r w:rsidRPr="009F1A9A">
              <w:t xml:space="preserve">Review previous treatment plan </w:t>
            </w:r>
          </w:p>
          <w:p w:rsidR="00000000" w:rsidRPr="009F1A9A" w:rsidP="009F1A9A">
            <w:pPr>
              <w:pStyle w:val="BodyText"/>
            </w:pPr>
            <w:r w:rsidRPr="009F1A9A">
              <w:t>3.5</w:t>
            </w:r>
            <w:r w:rsidRPr="009F1A9A">
              <w:tab/>
              <w:t xml:space="preserve">Evaluate need for </w:t>
            </w:r>
            <w:r w:rsidRPr="009F1A9A">
              <w:rPr>
                <w:rStyle w:val="Emphasis"/>
              </w:rPr>
              <w:t>ongoing and</w:t>
            </w:r>
            <w:r w:rsidRPr="009F1A9A">
              <w:t>/</w:t>
            </w:r>
            <w:r w:rsidRPr="009F1A9A">
              <w:rPr>
                <w:rStyle w:val="Emphasis"/>
              </w:rPr>
              <w:t>or additional treatment</w:t>
            </w:r>
            <w:r w:rsidRPr="009F1A9A">
              <w:t xml:space="preserve"> </w:t>
            </w:r>
          </w:p>
          <w:p w:rsidR="00000000" w:rsidRPr="009F1A9A" w:rsidP="009F1A9A">
            <w:pPr>
              <w:pStyle w:val="BodyText"/>
            </w:pPr>
            <w:r w:rsidRPr="009F1A9A">
              <w:t>3.6</w:t>
            </w:r>
            <w:r w:rsidRPr="009F1A9A">
              <w:tab/>
              <w:t>Negotiate changes to the treatment plan with the client to ensure optimal outcomes</w:t>
            </w:r>
          </w:p>
          <w:p w:rsidR="00000000" w:rsidRPr="009F1A9A" w:rsidP="009F1A9A">
            <w:pPr>
              <w:pStyle w:val="BodyText"/>
            </w:pPr>
            <w:r w:rsidRPr="009F1A9A">
              <w:t>3.7</w:t>
            </w:r>
            <w:r w:rsidRPr="009F1A9A">
              <w:tab/>
              <w:t xml:space="preserve">Instigate additional treatment or referral for further examination </w:t>
            </w:r>
          </w:p>
        </w:tc>
      </w:tr>
    </w:tbl>
    <w:p w:rsidR="00E8788F" w:rsidP="009F1A9A">
      <w:pPr>
        <w:pStyle w:val="BodyText"/>
      </w:pPr>
    </w:p>
    <w:p w:rsidR="00E8788F" w:rsidP="009F1A9A">
      <w:pPr>
        <w:pStyle w:val="BodyText"/>
      </w:pPr>
    </w:p>
    <w:p w:rsidR="00000000" w:rsidRPr="009F1A9A" w:rsidP="009F1A9A">
      <w:pPr>
        <w:pStyle w:val="Heading1"/>
      </w:pPr>
      <w:bookmarkStart w:id="9" w:name="O_259907"/>
      <w:bookmarkEnd w:id="9"/>
      <w:r w:rsidRPr="009F1A9A">
        <w:t>Required Skills and Knowledge</w:t>
      </w:r>
    </w:p>
    <w:tbl>
      <w:tblPr>
        <w:tblW w:w="0" w:type="auto"/>
        <w:tblLayout w:type="fixed"/>
        <w:tblCellMar>
          <w:left w:w="62" w:type="dxa"/>
          <w:right w:w="62" w:type="dxa"/>
        </w:tblCellMar>
        <w:tblLook w:val="0000"/>
      </w:tblPr>
      <w:tblGrid>
        <w:gridCol w:w="9072"/>
      </w:tblGrid>
      <w:tr w:rsidTr="00E8788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SpecialBold"/>
              </w:rPr>
              <w:t>REQUIRED SKILLS AND KNOWLEDGE</w:t>
            </w:r>
          </w:p>
        </w:tc>
      </w:tr>
      <w:tr w:rsidTr="00E878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t>This describes the essential skills and knowledge and their level required for this unit.</w:t>
            </w:r>
          </w:p>
        </w:tc>
      </w:tr>
      <w:tr w:rsidTr="00E878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F1A9A" w:rsidP="009F1A9A">
            <w:pPr>
              <w:pStyle w:val="BodyText"/>
            </w:pPr>
            <w:r w:rsidRPr="009F1A9A">
              <w:rPr>
                <w:rStyle w:val="Emphasis"/>
              </w:rPr>
              <w:t>Essential knowledge</w:t>
            </w:r>
            <w:r w:rsidRPr="009F1A9A">
              <w:t>:</w:t>
            </w:r>
          </w:p>
          <w:p w:rsidR="00000000" w:rsidRPr="009F1A9A" w:rsidP="009F1A9A">
            <w:pPr>
              <w:pStyle w:val="BodyText"/>
            </w:pPr>
            <w:r w:rsidRPr="009F1A9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F1A9A" w:rsidP="009F1A9A">
            <w:pPr>
              <w:pStyle w:val="BodyText"/>
            </w:pPr>
            <w:r w:rsidRPr="009F1A9A">
              <w:t xml:space="preserve">This includes </w:t>
            </w:r>
            <w:r w:rsidRPr="009F1A9A">
              <w:t>knowledge of:</w:t>
            </w:r>
          </w:p>
          <w:p w:rsidR="00000000" w:rsidRPr="009F1A9A" w:rsidP="009F1A9A">
            <w:pPr>
              <w:pStyle w:val="ListBullet"/>
            </w:pPr>
            <w:r w:rsidRPr="009F1A9A">
              <w:t xml:space="preserve">Anatomy and physiology </w:t>
            </w:r>
          </w:p>
          <w:p w:rsidR="00000000" w:rsidRPr="009F1A9A" w:rsidP="009F1A9A">
            <w:pPr>
              <w:pStyle w:val="ListBullet"/>
            </w:pPr>
            <w:r w:rsidRPr="009F1A9A">
              <w:t>Case analysis and management according to homœopathic principles</w:t>
            </w:r>
          </w:p>
          <w:p w:rsidR="00000000" w:rsidRPr="009F1A9A" w:rsidP="009F1A9A">
            <w:pPr>
              <w:pStyle w:val="ListBullet"/>
            </w:pPr>
            <w:r w:rsidRPr="009F1A9A">
              <w:t xml:space="preserve">Common causes of variation and corrective action required </w:t>
            </w:r>
          </w:p>
          <w:p w:rsidR="00000000" w:rsidRPr="009F1A9A" w:rsidP="009F1A9A">
            <w:pPr>
              <w:pStyle w:val="ListBullet"/>
            </w:pPr>
            <w:r w:rsidRPr="009F1A9A">
              <w:t>Disease processes and the natural history of disease</w:t>
            </w:r>
          </w:p>
          <w:p w:rsidR="00000000" w:rsidRPr="009F1A9A" w:rsidP="009F1A9A">
            <w:pPr>
              <w:pStyle w:val="ListBullet"/>
            </w:pPr>
            <w:r w:rsidRPr="009F1A9A">
              <w:t>Equipment and instrumentation components,</w:t>
            </w:r>
            <w:r w:rsidRPr="009F1A9A">
              <w:t xml:space="preserve"> purpose and operation </w:t>
            </w:r>
          </w:p>
          <w:p w:rsidR="00000000" w:rsidRPr="009F1A9A" w:rsidP="009F1A9A">
            <w:pPr>
              <w:pStyle w:val="ListBullet"/>
            </w:pPr>
            <w:r w:rsidRPr="009F1A9A">
              <w:t>Equipment specifications and manufacturers guidelines</w:t>
            </w:r>
          </w:p>
          <w:p w:rsidR="00000000" w:rsidRPr="009F1A9A" w:rsidP="009F1A9A">
            <w:pPr>
              <w:pStyle w:val="ListBullet"/>
            </w:pPr>
            <w:r w:rsidRPr="009F1A9A">
              <w:t xml:space="preserve">Equipment testing procedures </w:t>
            </w:r>
          </w:p>
          <w:p w:rsidR="00000000" w:rsidRPr="009F1A9A" w:rsidP="009F1A9A">
            <w:pPr>
              <w:pStyle w:val="ListBullet"/>
            </w:pPr>
            <w:r w:rsidRPr="009F1A9A">
              <w:t>Factors that affect homœopathic medicines in preparation and storage</w:t>
            </w:r>
          </w:p>
          <w:p w:rsidR="00000000" w:rsidRPr="009F1A9A" w:rsidP="009F1A9A">
            <w:pPr>
              <w:pStyle w:val="ListBullet"/>
            </w:pPr>
            <w:r w:rsidRPr="009F1A9A">
              <w:t xml:space="preserve">History, philosophy, principles and practices of homœopathy </w:t>
            </w:r>
          </w:p>
          <w:p w:rsidR="00000000" w:rsidRPr="009F1A9A" w:rsidP="009F1A9A">
            <w:pPr>
              <w:pStyle w:val="ListBullet"/>
            </w:pPr>
            <w:r w:rsidRPr="009F1A9A">
              <w:t>Homœopathic medici</w:t>
            </w:r>
            <w:r w:rsidRPr="009F1A9A">
              <w:t>ne dispensing principles and methods</w:t>
            </w:r>
          </w:p>
          <w:p w:rsidR="00000000" w:rsidRPr="009F1A9A" w:rsidP="009F1A9A">
            <w:pPr>
              <w:pStyle w:val="ListBullet"/>
            </w:pPr>
            <w:r w:rsidRPr="009F1A9A">
              <w:t>Homœopathic medicine preparation from source materials</w:t>
            </w:r>
          </w:p>
          <w:p w:rsidR="00000000" w:rsidRPr="009F1A9A" w:rsidP="009F1A9A">
            <w:pPr>
              <w:pStyle w:val="ListBullet"/>
            </w:pPr>
            <w:r w:rsidRPr="009F1A9A">
              <w:t xml:space="preserve">Homœopathic pharmacy </w:t>
            </w:r>
          </w:p>
          <w:p w:rsidR="00000000" w:rsidRPr="009F1A9A" w:rsidP="009F1A9A">
            <w:pPr>
              <w:pStyle w:val="ListBullet"/>
            </w:pPr>
            <w:r w:rsidRPr="009F1A9A">
              <w:t xml:space="preserve">Homœopathic principles and the principles of case-taking and case analysis </w:t>
            </w:r>
          </w:p>
          <w:p w:rsidR="00000000" w:rsidRPr="009F1A9A" w:rsidP="009F1A9A">
            <w:pPr>
              <w:pStyle w:val="ListBullet"/>
            </w:pPr>
            <w:r w:rsidRPr="009F1A9A">
              <w:t>Legal and regulatory implications of treatment</w:t>
            </w:r>
          </w:p>
          <w:p w:rsidR="00000000" w:rsidRPr="009F1A9A" w:rsidP="009F1A9A">
            <w:pPr>
              <w:pStyle w:val="ListBullet"/>
            </w:pPr>
            <w:r w:rsidRPr="009F1A9A">
              <w:t>Materia medica of sufficient scope and depth (derivation of data, systems of classification, keynotes, clinical indications) to enable accurate differentiation of indicated medicines in a broad range of acute and chronic conditions</w:t>
            </w:r>
          </w:p>
          <w:p w:rsidR="00000000" w:rsidRPr="009F1A9A" w:rsidP="009F1A9A">
            <w:pPr>
              <w:pStyle w:val="ListBullet"/>
            </w:pPr>
            <w:r w:rsidRPr="009F1A9A">
              <w:t>Medical tests and diagno</w:t>
            </w:r>
            <w:r w:rsidRPr="009F1A9A">
              <w:t>stic procedures</w:t>
            </w:r>
          </w:p>
          <w:p w:rsidR="00000000" w:rsidRPr="009F1A9A" w:rsidP="009F1A9A">
            <w:pPr>
              <w:pStyle w:val="ListBullet"/>
            </w:pPr>
            <w:r w:rsidRPr="009F1A9A">
              <w:t>Obstacles to cure</w:t>
            </w:r>
          </w:p>
          <w:p w:rsidR="00000000" w:rsidRPr="009F1A9A" w:rsidP="009F1A9A">
            <w:pPr>
              <w:pStyle w:val="ListBullet"/>
            </w:pPr>
            <w:r w:rsidRPr="009F1A9A">
              <w:t>Pathophysiology and disease processes</w:t>
            </w:r>
          </w:p>
          <w:p w:rsidR="00000000" w:rsidRPr="009F1A9A" w:rsidP="009F1A9A">
            <w:pPr>
              <w:pStyle w:val="ListBullet"/>
            </w:pPr>
            <w:r w:rsidRPr="009F1A9A">
              <w:t xml:space="preserve">Posology </w:t>
            </w:r>
          </w:p>
          <w:p w:rsidR="00000000" w:rsidRPr="009F1A9A" w:rsidP="009F1A9A">
            <w:pPr>
              <w:pStyle w:val="ListBullet"/>
            </w:pPr>
            <w:r w:rsidRPr="009F1A9A">
              <w:t>Primary and secondary responses to homœopathic medicines and contra-indications to treatment</w:t>
            </w:r>
          </w:p>
          <w:p w:rsidR="00000000" w:rsidRPr="009F1A9A" w:rsidP="009F1A9A">
            <w:pPr>
              <w:pStyle w:val="ListBullet"/>
            </w:pPr>
            <w:r w:rsidRPr="009F1A9A">
              <w:t>Relevant organisation policies and procedures</w:t>
            </w:r>
          </w:p>
          <w:p w:rsidR="00000000" w:rsidRPr="009F1A9A" w:rsidP="009F1A9A">
            <w:pPr>
              <w:pStyle w:val="ListBullet"/>
            </w:pPr>
            <w:r w:rsidRPr="009F1A9A">
              <w:t>Repertorial and non-repertorial tec</w:t>
            </w:r>
            <w:r w:rsidRPr="009F1A9A">
              <w:t>hniques</w:t>
            </w:r>
          </w:p>
          <w:p w:rsidR="00000000" w:rsidRPr="009F1A9A" w:rsidP="009F1A9A">
            <w:pPr>
              <w:pStyle w:val="ListBullet"/>
            </w:pPr>
            <w:r w:rsidRPr="009F1A9A">
              <w:t>Signs and symptoms of disease and disorder/dysfunction</w:t>
            </w:r>
          </w:p>
          <w:p w:rsidR="00000000" w:rsidRPr="009F1A9A" w:rsidP="009F1A9A">
            <w:pPr>
              <w:pStyle w:val="ListBullet"/>
            </w:pPr>
            <w:r w:rsidRPr="009F1A9A">
              <w:t>Standard precaution procedures in using equipment</w:t>
            </w:r>
          </w:p>
          <w:p w:rsidR="00000000" w:rsidRPr="009F1A9A" w:rsidP="009F1A9A">
            <w:pPr>
              <w:pStyle w:val="ListBullet"/>
            </w:pPr>
            <w:r w:rsidRPr="009F1A9A">
              <w:t>The capabilities and limitations of homœopathic treatment</w:t>
            </w:r>
          </w:p>
          <w:p w:rsidR="00000000" w:rsidRPr="009F1A9A" w:rsidP="009F1A9A">
            <w:pPr>
              <w:pStyle w:val="ListBullet"/>
            </w:pPr>
            <w:r w:rsidRPr="009F1A9A">
              <w:t>The contribution of the different schools of thought and historical theories of clini</w:t>
            </w:r>
            <w:r w:rsidRPr="009F1A9A">
              <w:t xml:space="preserve">cal practice </w:t>
            </w:r>
          </w:p>
          <w:p w:rsidR="00000000" w:rsidRPr="009F1A9A" w:rsidP="009F1A9A">
            <w:pPr>
              <w:pStyle w:val="ListBullet"/>
            </w:pPr>
            <w:r w:rsidRPr="009F1A9A">
              <w:t xml:space="preserve">The effect of the dispensing process on the end product </w:t>
            </w:r>
          </w:p>
          <w:p w:rsidR="00000000" w:rsidRPr="009F1A9A" w:rsidP="009F1A9A">
            <w:pPr>
              <w:pStyle w:val="ListBullet"/>
            </w:pPr>
            <w:r w:rsidRPr="009F1A9A">
              <w:t>The importance of strange, striking, rare, unusual and peculiar symptoms</w:t>
            </w:r>
          </w:p>
          <w:p w:rsidR="00000000" w:rsidP="009F1A9A">
            <w:pPr>
              <w:pStyle w:val="BodyText"/>
              <w:rPr>
                <w:lang w:val="en-NZ"/>
              </w:rPr>
            </w:pPr>
            <w:r w:rsidRPr="009F1A9A">
              <w:rPr>
                <w:rStyle w:val="Emphasis"/>
              </w:rPr>
              <w:t>continued</w:t>
            </w:r>
            <w:r w:rsidRPr="009F1A9A">
              <w:t xml:space="preserve"> ...</w:t>
            </w:r>
          </w:p>
        </w:tc>
      </w:tr>
      <w:tr w:rsidTr="00E878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F1A9A" w:rsidP="009F1A9A">
            <w:pPr>
              <w:pStyle w:val="BodyText"/>
            </w:pPr>
            <w:r w:rsidRPr="009F1A9A">
              <w:rPr>
                <w:rStyle w:val="Emphasis"/>
              </w:rPr>
              <w:t>Essential knowledge</w:t>
            </w:r>
            <w:r w:rsidRPr="009F1A9A">
              <w:t xml:space="preserve"> (</w:t>
            </w:r>
            <w:r w:rsidRPr="009F1A9A">
              <w:rPr>
                <w:rStyle w:val="Emphasis"/>
              </w:rPr>
              <w:t>contd</w:t>
            </w:r>
            <w:r w:rsidRPr="009F1A9A">
              <w:t>):</w:t>
            </w:r>
          </w:p>
          <w:p w:rsidR="00000000" w:rsidRPr="009F1A9A" w:rsidP="009F1A9A">
            <w:pPr>
              <w:pStyle w:val="ListBullet"/>
            </w:pPr>
            <w:r w:rsidRPr="009F1A9A">
              <w:t>The non-medicinal ingredients used in the preparation of homœopathic</w:t>
            </w:r>
            <w:r w:rsidRPr="009F1A9A">
              <w:t xml:space="preserve"> medicines</w:t>
            </w:r>
          </w:p>
          <w:p w:rsidR="00000000" w:rsidRPr="009F1A9A" w:rsidP="009F1A9A">
            <w:pPr>
              <w:pStyle w:val="ListBullet"/>
            </w:pPr>
            <w:r w:rsidRPr="009F1A9A">
              <w:t>The preparation of dispensing alcohol</w:t>
            </w:r>
          </w:p>
          <w:p w:rsidR="00000000" w:rsidRPr="009F1A9A" w:rsidP="009F1A9A">
            <w:pPr>
              <w:pStyle w:val="ListBullet"/>
            </w:pPr>
            <w:r w:rsidRPr="009F1A9A">
              <w:t>The quality and various strengths of alcohol used in preparation and dispensing</w:t>
            </w:r>
          </w:p>
          <w:p w:rsidR="00000000" w:rsidRPr="009F1A9A" w:rsidP="009F1A9A">
            <w:pPr>
              <w:pStyle w:val="ListBullet"/>
            </w:pPr>
            <w:r w:rsidRPr="009F1A9A">
              <w:t xml:space="preserve">The relationships between homœopathic medicines, inimical, antidotal complementary and follows well </w:t>
            </w:r>
          </w:p>
          <w:p w:rsidR="00000000" w:rsidRPr="009F1A9A" w:rsidP="009F1A9A">
            <w:pPr>
              <w:pStyle w:val="ListBullet"/>
            </w:pPr>
            <w:r w:rsidRPr="009F1A9A">
              <w:t>The role of other health care professionals and support services</w:t>
            </w:r>
          </w:p>
          <w:p w:rsidR="00000000" w:rsidRPr="009F1A9A" w:rsidP="009F1A9A">
            <w:pPr>
              <w:pStyle w:val="ListBullet"/>
            </w:pPr>
            <w:r w:rsidRPr="009F1A9A">
              <w:t>The use of alternating and intercurrent homœopathic medicines and antidotes</w:t>
            </w:r>
          </w:p>
          <w:p w:rsidR="00000000" w:rsidRPr="009F1A9A" w:rsidP="009F1A9A">
            <w:pPr>
              <w:pStyle w:val="ListBullet"/>
            </w:pPr>
            <w:r w:rsidRPr="009F1A9A">
              <w:t>The use of paper and/or computerised repertories</w:t>
            </w:r>
          </w:p>
          <w:p w:rsidR="00000000" w:rsidRPr="009F1A9A" w:rsidP="009F1A9A">
            <w:pPr>
              <w:pStyle w:val="ListBullet"/>
            </w:pPr>
            <w:r w:rsidRPr="009F1A9A">
              <w:t>The various approaches to prescribing including consideration of:</w:t>
            </w:r>
          </w:p>
          <w:p w:rsidR="00000000" w:rsidRPr="009F1A9A" w:rsidP="009F1A9A">
            <w:pPr>
              <w:pStyle w:val="ListBullet2"/>
            </w:pPr>
            <w:r w:rsidRPr="009F1A9A">
              <w:t>aetiology</w:t>
            </w:r>
          </w:p>
          <w:p w:rsidR="00000000" w:rsidRPr="009F1A9A" w:rsidP="009F1A9A">
            <w:pPr>
              <w:pStyle w:val="ListBullet2"/>
            </w:pPr>
            <w:r w:rsidRPr="009F1A9A">
              <w:t>central theme of a medicine</w:t>
            </w:r>
          </w:p>
          <w:p w:rsidR="00000000" w:rsidRPr="009F1A9A" w:rsidP="009F1A9A">
            <w:pPr>
              <w:pStyle w:val="ListBullet2"/>
            </w:pPr>
            <w:r w:rsidRPr="009F1A9A">
              <w:t>constitutional basis</w:t>
            </w:r>
          </w:p>
          <w:p w:rsidR="00000000" w:rsidRPr="009F1A9A" w:rsidP="009F1A9A">
            <w:pPr>
              <w:pStyle w:val="ListBullet2"/>
            </w:pPr>
            <w:r w:rsidRPr="009F1A9A">
              <w:t>keynote characteristic symptoms</w:t>
            </w:r>
          </w:p>
          <w:p w:rsidR="00000000" w:rsidRPr="009F1A9A" w:rsidP="009F1A9A">
            <w:pPr>
              <w:pStyle w:val="ListBullet2"/>
            </w:pPr>
            <w:r w:rsidRPr="009F1A9A">
              <w:t>ladder-like prescribing</w:t>
            </w:r>
          </w:p>
          <w:p w:rsidR="00000000" w:rsidRPr="009F1A9A" w:rsidP="009F1A9A">
            <w:pPr>
              <w:pStyle w:val="ListBullet2"/>
            </w:pPr>
            <w:r w:rsidRPr="009F1A9A">
              <w:t>miasmatic indications</w:t>
            </w:r>
          </w:p>
          <w:p w:rsidR="00000000" w:rsidRPr="009F1A9A" w:rsidP="009F1A9A">
            <w:pPr>
              <w:pStyle w:val="ListBullet2"/>
            </w:pPr>
            <w:r w:rsidRPr="009F1A9A">
              <w:t xml:space="preserve">prophylactics </w:t>
            </w:r>
          </w:p>
          <w:p w:rsidR="00000000" w:rsidRPr="009F1A9A" w:rsidP="009F1A9A">
            <w:pPr>
              <w:pStyle w:val="ListBullet2"/>
            </w:pPr>
            <w:r w:rsidRPr="009F1A9A">
              <w:t>tautopathy</w:t>
            </w:r>
          </w:p>
          <w:p w:rsidR="00000000" w:rsidRPr="009F1A9A" w:rsidP="009F1A9A">
            <w:pPr>
              <w:pStyle w:val="ListBullet2"/>
            </w:pPr>
            <w:r w:rsidRPr="009F1A9A">
              <w:t>totality of characteristic symptoms</w:t>
            </w:r>
          </w:p>
          <w:p w:rsidR="00000000" w:rsidP="009F1A9A">
            <w:pPr>
              <w:pStyle w:val="ListBullet2"/>
              <w:rPr>
                <w:lang w:val="en-NZ"/>
              </w:rPr>
            </w:pPr>
            <w:r w:rsidRPr="009F1A9A">
              <w:t>use of organopathic medicines</w:t>
            </w:r>
          </w:p>
        </w:tc>
      </w:tr>
      <w:tr w:rsidTr="00E878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F1A9A" w:rsidP="009F1A9A">
            <w:pPr>
              <w:pStyle w:val="BodyText"/>
            </w:pPr>
            <w:r w:rsidRPr="009F1A9A">
              <w:rPr>
                <w:rStyle w:val="Emphasis"/>
              </w:rPr>
              <w:t>Essential skills</w:t>
            </w:r>
            <w:r w:rsidRPr="009F1A9A">
              <w:t>:</w:t>
            </w:r>
          </w:p>
          <w:p w:rsidR="00000000" w:rsidRPr="009F1A9A" w:rsidP="009F1A9A">
            <w:pPr>
              <w:pStyle w:val="BodyText"/>
            </w:pPr>
            <w:r w:rsidRPr="009F1A9A">
              <w:t>It is critical that the candidate demonstrate the ability to effectively do the task outlined in elements and performance criteria of this unit, manage the task and manage contingencies in the context of the identified work role</w:t>
            </w:r>
          </w:p>
          <w:p w:rsidR="00000000" w:rsidRPr="009F1A9A" w:rsidP="009F1A9A">
            <w:pPr>
              <w:pStyle w:val="BodyText"/>
            </w:pPr>
            <w:r w:rsidRPr="009F1A9A">
              <w:t>This includes the ability t</w:t>
            </w:r>
            <w:r w:rsidRPr="009F1A9A">
              <w:t>o:</w:t>
            </w:r>
          </w:p>
          <w:p w:rsidR="00000000" w:rsidRPr="009F1A9A" w:rsidP="009F1A9A">
            <w:pPr>
              <w:pStyle w:val="ListBullet"/>
            </w:pPr>
            <w:r w:rsidRPr="009F1A9A">
              <w:t xml:space="preserve">Administer homœopathic medicines </w:t>
            </w:r>
          </w:p>
          <w:p w:rsidR="00000000" w:rsidRPr="009F1A9A" w:rsidP="009F1A9A">
            <w:pPr>
              <w:pStyle w:val="ListBullet"/>
            </w:pPr>
            <w:r w:rsidRPr="009F1A9A">
              <w:t>Apply differential assessment skills</w:t>
            </w:r>
          </w:p>
          <w:p w:rsidR="00000000" w:rsidRPr="009F1A9A" w:rsidP="009F1A9A">
            <w:pPr>
              <w:pStyle w:val="ListBullet"/>
            </w:pPr>
            <w:r w:rsidRPr="009F1A9A">
              <w:t>Assess the need for other treatment</w:t>
            </w:r>
          </w:p>
          <w:p w:rsidR="00000000" w:rsidRPr="009F1A9A" w:rsidP="009F1A9A">
            <w:pPr>
              <w:pStyle w:val="ListBullet"/>
            </w:pPr>
            <w:r w:rsidRPr="009F1A9A">
              <w:t>Communicate effectively with client</w:t>
            </w:r>
          </w:p>
          <w:p w:rsidR="00000000" w:rsidRPr="009F1A9A" w:rsidP="009F1A9A">
            <w:pPr>
              <w:pStyle w:val="ListBullet"/>
            </w:pPr>
            <w:r w:rsidRPr="009F1A9A">
              <w:t>Dispense homœopathic medicines in accordance with the order/prescription</w:t>
            </w:r>
          </w:p>
          <w:p w:rsidR="00000000" w:rsidRPr="009F1A9A" w:rsidP="009F1A9A">
            <w:pPr>
              <w:pStyle w:val="ListBullet"/>
            </w:pPr>
            <w:r w:rsidRPr="009F1A9A">
              <w:t>Explain any perceived risks and possi</w:t>
            </w:r>
            <w:r w:rsidRPr="009F1A9A">
              <w:t>ble responses to the homœopathic medicine</w:t>
            </w:r>
          </w:p>
          <w:p w:rsidR="00000000" w:rsidRPr="009F1A9A" w:rsidP="009F1A9A">
            <w:pPr>
              <w:pStyle w:val="ListBullet"/>
            </w:pPr>
            <w:r w:rsidRPr="009F1A9A">
              <w:t xml:space="preserve">Identify and analyse responses to previous homœopathic medicines </w:t>
            </w:r>
          </w:p>
          <w:p w:rsidR="00000000" w:rsidRPr="009F1A9A" w:rsidP="009F1A9A">
            <w:pPr>
              <w:pStyle w:val="ListBullet"/>
            </w:pPr>
            <w:r w:rsidRPr="009F1A9A">
              <w:t>Identify potential life threatening and emergency conditions</w:t>
            </w:r>
          </w:p>
          <w:p w:rsidR="00000000" w:rsidRPr="009F1A9A" w:rsidP="009F1A9A">
            <w:pPr>
              <w:pStyle w:val="ListBullet"/>
            </w:pPr>
            <w:r w:rsidRPr="009F1A9A">
              <w:t>Implement treatment plans to achieve the best possible therapeutic outcome for the clie</w:t>
            </w:r>
            <w:r w:rsidRPr="009F1A9A">
              <w:t>nt, which may involve:</w:t>
            </w:r>
          </w:p>
          <w:p w:rsidR="00000000" w:rsidRPr="009F1A9A" w:rsidP="009F1A9A">
            <w:pPr>
              <w:pStyle w:val="ListBullet2"/>
            </w:pPr>
            <w:r w:rsidRPr="009F1A9A">
              <w:t>complete documentation of all recommendations and client responses</w:t>
            </w:r>
          </w:p>
          <w:p w:rsidR="00000000" w:rsidRPr="009F1A9A" w:rsidP="009F1A9A">
            <w:pPr>
              <w:pStyle w:val="ListBullet2"/>
            </w:pPr>
            <w:r w:rsidRPr="009F1A9A">
              <w:t xml:space="preserve">demonstration of the application of established homœopathic clinical practices </w:t>
            </w:r>
          </w:p>
          <w:p w:rsidR="00000000" w:rsidRPr="009F1A9A" w:rsidP="009F1A9A">
            <w:pPr>
              <w:pStyle w:val="ListBullet2"/>
            </w:pPr>
            <w:r w:rsidRPr="009F1A9A">
              <w:t>provision of treatment</w:t>
            </w:r>
          </w:p>
          <w:p w:rsidR="00000000" w:rsidRPr="009F1A9A" w:rsidP="009F1A9A">
            <w:pPr>
              <w:pStyle w:val="ListBullet2"/>
            </w:pPr>
            <w:r w:rsidRPr="009F1A9A">
              <w:t>referral to another health care professional</w:t>
            </w:r>
          </w:p>
          <w:p w:rsidR="00000000" w:rsidRPr="009F1A9A" w:rsidP="009F1A9A">
            <w:pPr>
              <w:pStyle w:val="ListBullet2"/>
            </w:pPr>
            <w:r w:rsidRPr="009F1A9A">
              <w:t>review of treatment plan</w:t>
            </w:r>
          </w:p>
          <w:p w:rsidR="00000000" w:rsidRPr="009F1A9A" w:rsidP="009F1A9A">
            <w:pPr>
              <w:pStyle w:val="ListBullet2"/>
            </w:pPr>
            <w:r w:rsidRPr="009F1A9A">
              <w:t>treatment according to the individual, the 11 condition and the presence of complicating factors. it must be the safest, most efficacious method that is also cost effective to the client</w:t>
            </w:r>
          </w:p>
          <w:p w:rsidR="00000000" w:rsidRPr="009F1A9A" w:rsidP="009F1A9A">
            <w:pPr>
              <w:pStyle w:val="ListBullet2"/>
            </w:pPr>
            <w:r w:rsidRPr="009F1A9A">
              <w:t>treatment of a range of conditions/disease s</w:t>
            </w:r>
            <w:r w:rsidRPr="009F1A9A">
              <w:t>tates</w:t>
            </w:r>
          </w:p>
          <w:p w:rsidR="00000000" w:rsidRPr="009F1A9A" w:rsidP="009F1A9A">
            <w:pPr>
              <w:pStyle w:val="ListBullet2"/>
            </w:pPr>
            <w:r w:rsidRPr="009F1A9A">
              <w:t>use of counselling as a treatment method, where competence exists</w:t>
            </w:r>
          </w:p>
          <w:p w:rsidR="00000000" w:rsidRPr="009F1A9A" w:rsidP="009F1A9A">
            <w:pPr>
              <w:pStyle w:val="ListBullet"/>
            </w:pPr>
            <w:r w:rsidRPr="009F1A9A">
              <w:t>Maintain sterile stock and equipment according to legislation and guidelines</w:t>
            </w:r>
          </w:p>
          <w:p w:rsidR="00000000" w:rsidRPr="009F1A9A" w:rsidP="009F1A9A">
            <w:pPr>
              <w:pStyle w:val="ListBullet"/>
            </w:pPr>
            <w:r w:rsidRPr="009F1A9A">
              <w:t>Manage medical emergencies</w:t>
            </w:r>
          </w:p>
          <w:p w:rsidR="00000000" w:rsidRPr="009F1A9A" w:rsidP="009F1A9A">
            <w:pPr>
              <w:pStyle w:val="ListBullet"/>
            </w:pPr>
            <w:r w:rsidRPr="009F1A9A">
              <w:t>Manage time throughout consultation and treatment</w:t>
            </w:r>
          </w:p>
          <w:p w:rsidR="00000000" w:rsidRPr="009F1A9A" w:rsidP="009F1A9A">
            <w:pPr>
              <w:pStyle w:val="ListBullet"/>
            </w:pPr>
            <w:r w:rsidRPr="009F1A9A">
              <w:t>Negotiate strategies to overco</w:t>
            </w:r>
            <w:r w:rsidRPr="009F1A9A">
              <w:t>me any obstacles to cure</w:t>
            </w:r>
          </w:p>
          <w:p w:rsidR="00000000" w:rsidRPr="009F1A9A" w:rsidP="009F1A9A">
            <w:pPr>
              <w:pStyle w:val="ListBullet"/>
            </w:pPr>
            <w:r w:rsidRPr="009F1A9A">
              <w:t>Negotiate the management of homœopathic treatment with the client's current therapies.</w:t>
            </w:r>
          </w:p>
          <w:p w:rsidR="00000000" w:rsidRPr="009F1A9A" w:rsidP="009F1A9A">
            <w:pPr>
              <w:pStyle w:val="ListBullet"/>
            </w:pPr>
            <w:r w:rsidRPr="009F1A9A">
              <w:t>Prepare homœopathic medicines in a range of potency scales (mother tincture, decimal, centesimal, fifty millesimal)</w:t>
            </w:r>
          </w:p>
          <w:p w:rsidR="00000000" w:rsidRPr="009F1A9A" w:rsidP="009F1A9A">
            <w:pPr>
              <w:pStyle w:val="ListBullet"/>
            </w:pPr>
            <w:r w:rsidRPr="009F1A9A">
              <w:t>Prepare homœopathic medicine</w:t>
            </w:r>
            <w:r w:rsidRPr="009F1A9A">
              <w:t>s in accordance with official pharmacopœia, clinic guidelines and relevant legislation</w:t>
            </w:r>
          </w:p>
          <w:p w:rsidR="00000000" w:rsidRPr="009F1A9A" w:rsidP="009F1A9A">
            <w:pPr>
              <w:pStyle w:val="ListBullet"/>
            </w:pPr>
            <w:r w:rsidRPr="009F1A9A">
              <w:t>Provide appropriate antidotes</w:t>
            </w:r>
          </w:p>
          <w:p w:rsidR="00000000" w:rsidRPr="009F1A9A" w:rsidP="009F1A9A">
            <w:pPr>
              <w:pStyle w:val="ListBullet"/>
            </w:pPr>
            <w:r w:rsidRPr="009F1A9A">
              <w:t>Research allopathic drugs, including iatrogenic potential, interactions and requirements for withdrawal</w:t>
            </w:r>
          </w:p>
          <w:p w:rsidR="00000000" w:rsidRPr="009F1A9A" w:rsidP="009F1A9A">
            <w:pPr>
              <w:pStyle w:val="ListBullet"/>
            </w:pPr>
            <w:r w:rsidRPr="009F1A9A">
              <w:t>Use equipment and resources compete</w:t>
            </w:r>
            <w:r w:rsidRPr="009F1A9A">
              <w:t>ntly, safely and correctly</w:t>
            </w:r>
          </w:p>
          <w:p w:rsidR="00000000" w:rsidRPr="009F1A9A" w:rsidP="009F1A9A">
            <w:pPr>
              <w:pStyle w:val="ListBullet"/>
            </w:pPr>
            <w:r w:rsidRPr="009F1A9A">
              <w:t>Write referrals</w:t>
            </w:r>
          </w:p>
        </w:tc>
      </w:tr>
    </w:tbl>
    <w:p w:rsidR="00E8788F" w:rsidP="009F1A9A">
      <w:pPr>
        <w:pStyle w:val="BodyText"/>
      </w:pPr>
    </w:p>
    <w:p w:rsidR="00E8788F" w:rsidP="009F1A9A">
      <w:pPr>
        <w:pStyle w:val="BodyText"/>
      </w:pPr>
    </w:p>
    <w:p w:rsidR="00000000" w:rsidRPr="009F1A9A" w:rsidP="009F1A9A">
      <w:pPr>
        <w:pStyle w:val="Heading1"/>
      </w:pPr>
      <w:bookmarkStart w:id="10" w:name="O_243941"/>
      <w:bookmarkEnd w:id="10"/>
      <w:r w:rsidRPr="009F1A9A">
        <w:t>Evidence Guide</w:t>
      </w:r>
    </w:p>
    <w:tbl>
      <w:tblPr>
        <w:tblW w:w="0" w:type="auto"/>
        <w:tblLayout w:type="fixed"/>
        <w:tblCellMar>
          <w:left w:w="62" w:type="dxa"/>
          <w:right w:w="62" w:type="dxa"/>
        </w:tblCellMar>
        <w:tblLook w:val="0000"/>
      </w:tblPr>
      <w:tblGrid>
        <w:gridCol w:w="3402"/>
        <w:gridCol w:w="5670"/>
      </w:tblGrid>
      <w:tr w:rsidTr="00E8788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SpecialBold"/>
              </w:rPr>
              <w:t>EVIDENCE GUIDE</w:t>
            </w:r>
          </w:p>
        </w:tc>
      </w:tr>
      <w:tr w:rsidTr="00E878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t xml:space="preserve">The evidence guide provides advice on assessment and must be read in conjunction with the Performance Criteria, Required Skills and Knowledge, </w:t>
            </w:r>
            <w:r w:rsidRPr="009F1A9A">
              <w:t>the Range Statement and the Assessment Guidelines for this Training Package.</w:t>
            </w:r>
          </w:p>
        </w:tc>
      </w:tr>
      <w:tr w:rsidTr="00E878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Emphasis"/>
              </w:rPr>
              <w:t>Critical aspects for assessment and evidence required to demonstrate this competency unit</w:t>
            </w:r>
            <w:r w:rsidRPr="009F1A9A">
              <w:t xml:space="preserve">: </w:t>
            </w:r>
          </w:p>
        </w:tc>
        <w:tc>
          <w:tcPr>
            <w:tcW w:w="5670" w:type="dxa"/>
            <w:tcBorders>
              <w:top w:val="nil"/>
              <w:left w:val="nil"/>
              <w:bottom w:val="nil"/>
              <w:right w:val="nil"/>
            </w:tcBorders>
            <w:tcMar>
              <w:top w:w="0" w:type="dxa"/>
              <w:left w:w="62" w:type="dxa"/>
              <w:bottom w:w="0" w:type="dxa"/>
              <w:right w:w="62" w:type="dxa"/>
            </w:tcMar>
          </w:tcPr>
          <w:p w:rsidR="00000000" w:rsidRPr="009F1A9A" w:rsidP="009F1A9A">
            <w:pPr>
              <w:pStyle w:val="ListBullet"/>
            </w:pPr>
            <w:r w:rsidRPr="009F1A9A">
              <w:t>The individual being assessed must provide evidence of specified essential knowled</w:t>
            </w:r>
            <w:r w:rsidRPr="009F1A9A">
              <w:t>ge as well as skills</w:t>
            </w:r>
          </w:p>
          <w:p w:rsidR="00000000" w:rsidRPr="009F1A9A" w:rsidP="009F1A9A">
            <w:pPr>
              <w:pStyle w:val="ListBullet"/>
            </w:pPr>
            <w:r w:rsidRPr="009F1A9A">
              <w:t>Observation of performance in the workplace or a simulated workplace (defined as a supervised clinic) is essential for assessment of this unit</w:t>
            </w:r>
          </w:p>
          <w:p w:rsidR="00000000" w:rsidRPr="009F1A9A" w:rsidP="009F1A9A">
            <w:pPr>
              <w:pStyle w:val="ListBullet"/>
            </w:pPr>
            <w:r w:rsidRPr="009F1A9A">
              <w:t>Consistency of performance should be demonstrated over the required range of situations rele</w:t>
            </w:r>
            <w:r w:rsidRPr="009F1A9A">
              <w:t>vant to the workplace</w:t>
            </w:r>
          </w:p>
          <w:p w:rsidR="00000000" w:rsidRPr="009F1A9A" w:rsidP="009F1A9A">
            <w:pPr>
              <w:pStyle w:val="ListBullet"/>
            </w:pPr>
            <w:r w:rsidRPr="009F1A9A">
              <w:t>Where, for reasons of safety, space, or access to equipment and resources, assessment takes place away from the workplace, the assessment environment should represent workplace conditions as closely as possible</w:t>
            </w:r>
          </w:p>
          <w:p w:rsidR="00000000" w:rsidRPr="009F1A9A" w:rsidP="009F1A9A">
            <w:pPr>
              <w:pStyle w:val="ListBullet"/>
            </w:pPr>
            <w:r w:rsidRPr="009F1A9A">
              <w:t>Assessment of sole prac</w:t>
            </w:r>
            <w:r w:rsidRPr="009F1A9A">
              <w:t>titioners must include a range of clinical situations and different client groups covering at minimum, age, culture and gender</w:t>
            </w:r>
          </w:p>
          <w:p w:rsidR="00000000" w:rsidRPr="009F1A9A" w:rsidP="009F1A9A">
            <w:pPr>
              <w:pStyle w:val="ListBullet"/>
            </w:pPr>
            <w:r w:rsidRPr="009F1A9A">
              <w:t>Assessment of sole practitioners must consider their unique workplace context, including:</w:t>
            </w:r>
          </w:p>
          <w:p w:rsidR="00000000" w:rsidRPr="009F1A9A" w:rsidP="009F1A9A">
            <w:pPr>
              <w:pStyle w:val="ListBullet2"/>
            </w:pPr>
            <w:r w:rsidRPr="009F1A9A">
              <w:t>interaction with others in the broader</w:t>
            </w:r>
            <w:r w:rsidRPr="009F1A9A">
              <w:t xml:space="preserve"> professional community as part of the sole practitioner's workplace</w:t>
            </w:r>
          </w:p>
          <w:p w:rsidR="00000000" w:rsidRPr="009F1A9A" w:rsidP="009F1A9A">
            <w:pPr>
              <w:pStyle w:val="ListBullet2"/>
            </w:pPr>
            <w:r w:rsidRPr="009F1A9A">
              <w:t>scope of practice as detailed in the qualification and component competency units</w:t>
            </w:r>
          </w:p>
          <w:p w:rsidR="00000000" w:rsidRPr="009F1A9A" w:rsidP="009F1A9A">
            <w:pPr>
              <w:pStyle w:val="ListBullet2"/>
            </w:pPr>
            <w:r w:rsidRPr="009F1A9A">
              <w:t>holistic/integrated assessment including:</w:t>
            </w:r>
          </w:p>
          <w:p w:rsidR="00000000" w:rsidRPr="009F1A9A" w:rsidP="009F1A9A">
            <w:pPr>
              <w:pStyle w:val="ListBullet3"/>
            </w:pPr>
            <w:r w:rsidRPr="009F1A9A">
              <w:t>working within the practice framework</w:t>
            </w:r>
          </w:p>
          <w:p w:rsidR="00000000" w:rsidRPr="009F1A9A" w:rsidP="009F1A9A">
            <w:pPr>
              <w:pStyle w:val="ListBullet3"/>
            </w:pPr>
            <w:r w:rsidRPr="009F1A9A">
              <w:t>performing a health assessment</w:t>
            </w:r>
          </w:p>
          <w:p w:rsidR="00000000" w:rsidRPr="009F1A9A" w:rsidP="009F1A9A">
            <w:pPr>
              <w:pStyle w:val="ListBullet3"/>
            </w:pPr>
            <w:r w:rsidRPr="009F1A9A">
              <w:t>assessing the client</w:t>
            </w:r>
          </w:p>
          <w:p w:rsidR="00000000" w:rsidRPr="009F1A9A" w:rsidP="009F1A9A">
            <w:pPr>
              <w:pStyle w:val="ListBullet3"/>
            </w:pPr>
            <w:r w:rsidRPr="009F1A9A">
              <w:t>planning treatment</w:t>
            </w:r>
          </w:p>
          <w:p w:rsidR="00000000" w:rsidP="009F1A9A">
            <w:pPr>
              <w:pStyle w:val="ListBullet3"/>
              <w:rPr>
                <w:lang w:val="en-NZ"/>
              </w:rPr>
            </w:pPr>
            <w:r w:rsidRPr="009F1A9A">
              <w:t>providing treatment</w:t>
            </w: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Emphasis"/>
              </w:rPr>
              <w:t>Context of and specific resources for assessment</w:t>
            </w:r>
            <w:r w:rsidRPr="009F1A9A">
              <w:t xml:space="preserve">: </w:t>
            </w:r>
          </w:p>
        </w:tc>
        <w:tc>
          <w:tcPr>
            <w:tcW w:w="5670" w:type="dxa"/>
            <w:tcBorders>
              <w:top w:val="nil"/>
              <w:left w:val="nil"/>
              <w:bottom w:val="nil"/>
              <w:right w:val="nil"/>
            </w:tcBorders>
            <w:tcMar>
              <w:top w:w="0" w:type="dxa"/>
              <w:left w:w="62" w:type="dxa"/>
              <w:bottom w:w="0" w:type="dxa"/>
              <w:right w:w="62" w:type="dxa"/>
            </w:tcMar>
          </w:tcPr>
          <w:p w:rsidR="00000000" w:rsidRPr="009F1A9A" w:rsidP="009F1A9A">
            <w:pPr>
              <w:pStyle w:val="ListBullet"/>
            </w:pPr>
            <w:r w:rsidRPr="009F1A9A">
              <w:t>An appropriately stocked and equipped clinic or simulated clinic environment</w:t>
            </w:r>
          </w:p>
          <w:p w:rsidR="00000000" w:rsidRPr="009F1A9A" w:rsidP="009F1A9A">
            <w:pPr>
              <w:pStyle w:val="ListBullet"/>
            </w:pPr>
            <w:r w:rsidRPr="009F1A9A">
              <w:t>Relevant texts or medical manuals</w:t>
            </w:r>
          </w:p>
          <w:p w:rsidR="00000000" w:rsidRPr="009F1A9A" w:rsidP="009F1A9A">
            <w:pPr>
              <w:pStyle w:val="ListBullet"/>
            </w:pPr>
            <w:r w:rsidRPr="009F1A9A">
              <w:t>Relevant paper-based/video assessment instruments</w:t>
            </w:r>
          </w:p>
          <w:p w:rsidR="00000000" w:rsidRPr="009F1A9A" w:rsidP="009F1A9A">
            <w:pPr>
              <w:pStyle w:val="ListBullet"/>
            </w:pPr>
            <w:r w:rsidRPr="009F1A9A">
              <w:t>Appropriate assessment environment</w:t>
            </w:r>
          </w:p>
          <w:p w:rsidR="00000000" w:rsidP="009F1A9A">
            <w:pPr>
              <w:pStyle w:val="ListBullet"/>
              <w:rPr>
                <w:lang w:val="en-NZ"/>
              </w:rPr>
            </w:pPr>
            <w:r w:rsidRPr="009F1A9A">
              <w:t>Demonstration model/client</w:t>
            </w: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Emphasis"/>
              </w:rPr>
              <w:t>Method of assessment</w:t>
            </w:r>
            <w:r w:rsidRPr="009F1A9A">
              <w:t xml:space="preserve"> </w:t>
            </w:r>
          </w:p>
        </w:tc>
        <w:tc>
          <w:tcPr>
            <w:tcW w:w="5670" w:type="dxa"/>
            <w:tcBorders>
              <w:top w:val="nil"/>
              <w:left w:val="nil"/>
              <w:bottom w:val="nil"/>
              <w:right w:val="nil"/>
            </w:tcBorders>
            <w:tcMar>
              <w:top w:w="0" w:type="dxa"/>
              <w:left w:w="62" w:type="dxa"/>
              <w:bottom w:w="0" w:type="dxa"/>
              <w:right w:w="62" w:type="dxa"/>
            </w:tcMar>
          </w:tcPr>
          <w:p w:rsidR="00000000" w:rsidRPr="009F1A9A" w:rsidP="009F1A9A">
            <w:pPr>
              <w:pStyle w:val="ListBullet"/>
            </w:pPr>
            <w:r w:rsidRPr="009F1A9A">
              <w:t>Practical demonstration and observation in the work place (if possible)</w:t>
            </w:r>
          </w:p>
          <w:p w:rsidR="00000000" w:rsidRPr="009F1A9A" w:rsidP="009F1A9A">
            <w:pPr>
              <w:pStyle w:val="ListBullet"/>
            </w:pPr>
            <w:r w:rsidRPr="009F1A9A">
              <w:t>Written assignments/projects or questioning s</w:t>
            </w:r>
            <w:r w:rsidRPr="009F1A9A">
              <w:t>hould be used to assess knowledge</w:t>
            </w:r>
          </w:p>
          <w:p w:rsidR="00000000" w:rsidRPr="009F1A9A" w:rsidP="009F1A9A">
            <w:pPr>
              <w:pStyle w:val="ListBullet"/>
            </w:pPr>
            <w:r w:rsidRPr="009F1A9A">
              <w:t>Case study and scenario as a basis for discussion of issues and strategies to contribute to best practice</w:t>
            </w:r>
          </w:p>
          <w:p w:rsidR="00000000" w:rsidRPr="009F1A9A" w:rsidP="009F1A9A">
            <w:pPr>
              <w:pStyle w:val="ListBullet"/>
            </w:pPr>
            <w:r w:rsidRPr="009F1A9A">
              <w:t>Clinical skills involving direct client care are to be assessed initially in a simulated clinical setting (laborator</w:t>
            </w:r>
            <w:r w:rsidRPr="009F1A9A">
              <w:t>y). If successful, a second assessment is to be conducted during workplace application under direct supervision</w:t>
            </w:r>
          </w:p>
          <w:p w:rsidR="00000000" w:rsidRPr="009F1A9A" w:rsidP="009F1A9A">
            <w:pPr>
              <w:pStyle w:val="ListBullet"/>
            </w:pPr>
            <w:r w:rsidRPr="009F1A9A">
              <w:t>Explanations of technique</w:t>
            </w:r>
          </w:p>
          <w:p w:rsidR="00000000" w:rsidP="009F1A9A">
            <w:pPr>
              <w:pStyle w:val="ListBullet"/>
              <w:rPr>
                <w:lang w:val="en-NZ"/>
              </w:rPr>
            </w:pPr>
            <w:r w:rsidRPr="009F1A9A">
              <w:t>Oral questioning and discussion</w:t>
            </w: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Emphasis"/>
              </w:rPr>
              <w:t>Access and equity considerations</w:t>
            </w:r>
            <w:r w:rsidRPr="009F1A9A">
              <w:t>:</w:t>
            </w:r>
          </w:p>
        </w:tc>
        <w:tc>
          <w:tcPr>
            <w:tcW w:w="5670" w:type="dxa"/>
            <w:tcBorders>
              <w:top w:val="nil"/>
              <w:left w:val="nil"/>
              <w:bottom w:val="nil"/>
              <w:right w:val="nil"/>
            </w:tcBorders>
            <w:tcMar>
              <w:top w:w="0" w:type="dxa"/>
              <w:left w:w="62" w:type="dxa"/>
              <w:bottom w:w="0" w:type="dxa"/>
              <w:right w:w="62" w:type="dxa"/>
            </w:tcMar>
          </w:tcPr>
          <w:p w:rsidR="00000000" w:rsidRPr="009F1A9A" w:rsidP="009F1A9A">
            <w:pPr>
              <w:pStyle w:val="ListBullet"/>
            </w:pPr>
            <w:r w:rsidRPr="009F1A9A">
              <w:t xml:space="preserve">All </w:t>
            </w:r>
            <w:r w:rsidRPr="009F1A9A">
              <w:t>workers in the health industry should be aware of access and equity issues in relation to their own area of work</w:t>
            </w:r>
          </w:p>
          <w:p w:rsidR="00000000" w:rsidRPr="009F1A9A" w:rsidP="009F1A9A">
            <w:pPr>
              <w:pStyle w:val="ListBullet"/>
            </w:pPr>
            <w:r w:rsidRPr="009F1A9A">
              <w:t xml:space="preserve">All workers should develop their ability to work in a culturally diverse environment </w:t>
            </w:r>
          </w:p>
          <w:p w:rsidR="00000000" w:rsidRPr="009F1A9A" w:rsidP="009F1A9A">
            <w:pPr>
              <w:pStyle w:val="ListBullet"/>
            </w:pPr>
            <w:r w:rsidRPr="009F1A9A">
              <w:t>In recognition of particular health issues facing Aborigi</w:t>
            </w:r>
            <w:r w:rsidRPr="009F1A9A">
              <w:t>nal and Torres Strait Islander communities, workers should be aware of cultural, historical and current issues impacting on health of Aboriginal and Torres Strait Islander people</w:t>
            </w:r>
          </w:p>
          <w:p w:rsidR="00000000" w:rsidP="009F1A9A">
            <w:pPr>
              <w:pStyle w:val="ListBullet"/>
              <w:rPr>
                <w:lang w:val="en-NZ"/>
              </w:rPr>
            </w:pPr>
            <w:r w:rsidRPr="009F1A9A">
              <w:t>Assessors and trainers must take into account relevant access and equity issu</w:t>
            </w:r>
            <w:r w:rsidRPr="009F1A9A">
              <w:t>es, in particular relating to factors impacting on health of Aboriginal and/or Torres Strait Islander clients and communities</w:t>
            </w: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Emphasis"/>
              </w:rPr>
              <w:t>Related units</w:t>
            </w:r>
            <w:r w:rsidRPr="009F1A9A">
              <w:t>:</w:t>
            </w:r>
          </w:p>
        </w:tc>
        <w:tc>
          <w:tcPr>
            <w:tcW w:w="5670" w:type="dxa"/>
            <w:tcBorders>
              <w:top w:val="nil"/>
              <w:left w:val="nil"/>
              <w:bottom w:val="nil"/>
              <w:right w:val="nil"/>
            </w:tcBorders>
            <w:tcMar>
              <w:top w:w="0" w:type="dxa"/>
              <w:left w:w="62" w:type="dxa"/>
              <w:bottom w:w="0" w:type="dxa"/>
              <w:right w:w="62" w:type="dxa"/>
            </w:tcMar>
          </w:tcPr>
          <w:p w:rsidR="00000000" w:rsidRPr="009F1A9A" w:rsidP="009F1A9A">
            <w:pPr>
              <w:pStyle w:val="BodyText"/>
            </w:pPr>
            <w:r w:rsidRPr="009F1A9A">
              <w:t>This unit should be assessed in conjunction with the following related units:</w:t>
            </w:r>
          </w:p>
          <w:p w:rsidR="00000000" w:rsidRPr="009F1A9A" w:rsidP="009F1A9A">
            <w:pPr>
              <w:pStyle w:val="ListBullet"/>
            </w:pPr>
            <w:r w:rsidRPr="009F1A9A">
              <w:t>HLTCOM404C Communicate effectivel</w:t>
            </w:r>
            <w:r w:rsidRPr="009F1A9A">
              <w:t>y with clients</w:t>
            </w:r>
          </w:p>
          <w:p w:rsidR="00000000" w:rsidRPr="009F1A9A" w:rsidP="009F1A9A">
            <w:pPr>
              <w:pStyle w:val="ListBullet"/>
            </w:pPr>
            <w:r w:rsidRPr="009F1A9A">
              <w:t xml:space="preserve">HLTHIR301B Communicate and work effectively in health </w:t>
            </w:r>
          </w:p>
          <w:p w:rsidR="00000000" w:rsidRPr="009F1A9A" w:rsidP="009F1A9A">
            <w:pPr>
              <w:pStyle w:val="ListBullet"/>
            </w:pPr>
            <w:r w:rsidRPr="009F1A9A">
              <w:t>HLTHOM606C Prepare and dispense homœopathic medicine</w:t>
            </w:r>
          </w:p>
          <w:p w:rsidR="00000000" w:rsidP="009F1A9A">
            <w:pPr>
              <w:pStyle w:val="ListBullet"/>
              <w:rPr>
                <w:lang w:val="en-NZ"/>
              </w:rPr>
            </w:pPr>
            <w:r w:rsidRPr="009F1A9A">
              <w:t>HLTIN301C Comply with infection control policies and procedures</w:t>
            </w: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F1A9A" w:rsidP="009F1A9A">
            <w:pPr>
              <w:pStyle w:val="BodyText"/>
            </w:pPr>
          </w:p>
        </w:tc>
      </w:tr>
    </w:tbl>
    <w:p w:rsidR="00E8788F" w:rsidP="009F1A9A">
      <w:pPr>
        <w:pStyle w:val="BodyText"/>
      </w:pPr>
    </w:p>
    <w:p w:rsidR="00E8788F" w:rsidP="009F1A9A">
      <w:pPr>
        <w:pStyle w:val="BodyText"/>
      </w:pPr>
    </w:p>
    <w:p w:rsidR="00000000" w:rsidRPr="009F1A9A" w:rsidP="009F1A9A">
      <w:pPr>
        <w:pStyle w:val="Heading1"/>
      </w:pPr>
      <w:bookmarkStart w:id="11" w:name="O_251924"/>
      <w:bookmarkEnd w:id="11"/>
      <w:r w:rsidRPr="009F1A9A">
        <w:t>Range Statement</w:t>
      </w:r>
    </w:p>
    <w:tbl>
      <w:tblPr>
        <w:tblW w:w="0" w:type="auto"/>
        <w:tblLayout w:type="fixed"/>
        <w:tblCellMar>
          <w:left w:w="62" w:type="dxa"/>
          <w:right w:w="62" w:type="dxa"/>
        </w:tblCellMar>
        <w:tblLook w:val="0000"/>
      </w:tblPr>
      <w:tblGrid>
        <w:gridCol w:w="3402"/>
        <w:gridCol w:w="5670"/>
      </w:tblGrid>
      <w:tr w:rsidTr="00E8788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SpecialBold"/>
              </w:rPr>
              <w:t>RANGE STATEMENT</w:t>
            </w:r>
          </w:p>
        </w:tc>
      </w:tr>
      <w:tr w:rsidTr="00E878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t>The Range Statement relates to the unit of competency as a whole. It allows for different work environments and situations that may affect performance. Add any essential operating conditions that may be present with training and assessment depending on the</w:t>
            </w:r>
            <w:r w:rsidRPr="009F1A9A">
              <w:t xml:space="preserve"> work situation, needs of the candidate, accessibility of the item, and local industry and regional contexts.</w:t>
            </w: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Emphasis"/>
              </w:rPr>
              <w:t>Instructions for taking the homœopathic medicine must include</w:t>
            </w:r>
            <w:r w:rsidRPr="009F1A9A">
              <w:t>:</w:t>
            </w:r>
          </w:p>
        </w:tc>
        <w:tc>
          <w:tcPr>
            <w:tcW w:w="5670" w:type="dxa"/>
            <w:tcBorders>
              <w:top w:val="nil"/>
              <w:left w:val="nil"/>
              <w:bottom w:val="nil"/>
              <w:right w:val="nil"/>
            </w:tcBorders>
            <w:tcMar>
              <w:top w:w="0" w:type="dxa"/>
              <w:left w:w="62" w:type="dxa"/>
              <w:bottom w:w="0" w:type="dxa"/>
              <w:right w:w="62" w:type="dxa"/>
            </w:tcMar>
          </w:tcPr>
          <w:p w:rsidR="00000000" w:rsidRPr="009F1A9A" w:rsidP="009F1A9A">
            <w:pPr>
              <w:pStyle w:val="ListBullet"/>
            </w:pPr>
            <w:r w:rsidRPr="009F1A9A">
              <w:t>Route of administration - ingestion, olfaction, application</w:t>
            </w:r>
          </w:p>
          <w:p w:rsidR="00000000" w:rsidRPr="009F1A9A" w:rsidP="009F1A9A">
            <w:pPr>
              <w:pStyle w:val="ListBullet"/>
            </w:pPr>
            <w:r w:rsidRPr="009F1A9A">
              <w:t xml:space="preserve">When - time of day in relation to food and/or other medications </w:t>
            </w:r>
          </w:p>
          <w:p w:rsidR="00000000" w:rsidRPr="009F1A9A" w:rsidP="009F1A9A">
            <w:pPr>
              <w:pStyle w:val="ListBullet"/>
            </w:pPr>
            <w:r w:rsidRPr="009F1A9A">
              <w:t>Frequency - single dose or repeated doses, interval between doses</w:t>
            </w:r>
          </w:p>
          <w:p w:rsidR="00000000" w:rsidRPr="009F1A9A" w:rsidP="009F1A9A">
            <w:pPr>
              <w:pStyle w:val="ListBullet"/>
            </w:pPr>
            <w:r w:rsidRPr="009F1A9A">
              <w:t>Self-monitoring - cessation, reporting aggravations or new symptoms</w:t>
            </w:r>
          </w:p>
          <w:p w:rsidR="00000000" w:rsidP="009F1A9A">
            <w:pPr>
              <w:pStyle w:val="ListBullet"/>
              <w:rPr>
                <w:lang w:val="en-NZ"/>
              </w:rPr>
            </w:pPr>
            <w:r w:rsidRPr="009F1A9A">
              <w:t>Any additional instructions specific to the method of adm</w:t>
            </w:r>
            <w:r w:rsidRPr="009F1A9A">
              <w:t>inistration - eg dilution, plussing</w:t>
            </w: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Emphasis"/>
              </w:rPr>
              <w:t>Factors which may interfere with the effectiveness of treatment include</w:t>
            </w:r>
            <w:r w:rsidRPr="009F1A9A">
              <w:t>:</w:t>
            </w:r>
          </w:p>
        </w:tc>
        <w:tc>
          <w:tcPr>
            <w:tcW w:w="5670" w:type="dxa"/>
            <w:tcBorders>
              <w:top w:val="nil"/>
              <w:left w:val="nil"/>
              <w:bottom w:val="nil"/>
              <w:right w:val="nil"/>
            </w:tcBorders>
            <w:tcMar>
              <w:top w:w="0" w:type="dxa"/>
              <w:left w:w="62" w:type="dxa"/>
              <w:bottom w:w="0" w:type="dxa"/>
              <w:right w:w="62" w:type="dxa"/>
            </w:tcMar>
          </w:tcPr>
          <w:p w:rsidR="00000000" w:rsidRPr="009F1A9A" w:rsidP="009F1A9A">
            <w:pPr>
              <w:pStyle w:val="ListBullet"/>
            </w:pPr>
            <w:r w:rsidRPr="009F1A9A">
              <w:t>Ingestion of food/beverages or smoking within ten - twenty minutes before or after treatment</w:t>
            </w:r>
          </w:p>
          <w:p w:rsidR="00000000" w:rsidRPr="009F1A9A" w:rsidP="009F1A9A">
            <w:pPr>
              <w:pStyle w:val="ListBullet"/>
            </w:pPr>
            <w:r w:rsidRPr="009F1A9A">
              <w:t xml:space="preserve">Other medical treatment being undertaken </w:t>
            </w:r>
          </w:p>
          <w:p w:rsidR="00000000" w:rsidRPr="009F1A9A" w:rsidP="009F1A9A">
            <w:pPr>
              <w:pStyle w:val="ListBullet"/>
            </w:pPr>
            <w:r w:rsidRPr="009F1A9A">
              <w:t>Client's</w:t>
            </w:r>
            <w:r w:rsidRPr="009F1A9A">
              <w:t xml:space="preserve"> physical reactivity</w:t>
            </w:r>
          </w:p>
          <w:p w:rsidR="00000000" w:rsidRPr="009F1A9A" w:rsidP="009F1A9A">
            <w:pPr>
              <w:pStyle w:val="ListBullet"/>
            </w:pPr>
            <w:r w:rsidRPr="009F1A9A">
              <w:t>Client's ability/willingness to comply with instructions</w:t>
            </w:r>
          </w:p>
          <w:p w:rsidR="00000000" w:rsidP="009F1A9A">
            <w:pPr>
              <w:pStyle w:val="ListBullet"/>
              <w:rPr>
                <w:lang w:val="en-NZ"/>
              </w:rPr>
            </w:pPr>
            <w:r w:rsidRPr="009F1A9A">
              <w:t>Incorrect storage of medicine</w:t>
            </w: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Emphasis"/>
              </w:rPr>
              <w:t>Consent for treatment refers to</w:t>
            </w:r>
            <w:r w:rsidRPr="009F1A9A">
              <w:t>:</w:t>
            </w:r>
          </w:p>
        </w:tc>
        <w:tc>
          <w:tcPr>
            <w:tcW w:w="5670" w:type="dxa"/>
            <w:tcBorders>
              <w:top w:val="nil"/>
              <w:left w:val="nil"/>
              <w:bottom w:val="nil"/>
              <w:right w:val="nil"/>
            </w:tcBorders>
            <w:tcMar>
              <w:top w:w="0" w:type="dxa"/>
              <w:left w:w="62" w:type="dxa"/>
              <w:bottom w:w="0" w:type="dxa"/>
              <w:right w:w="62" w:type="dxa"/>
            </w:tcMar>
          </w:tcPr>
          <w:p w:rsidR="00000000" w:rsidRPr="009F1A9A" w:rsidP="009F1A9A">
            <w:pPr>
              <w:pStyle w:val="ListBullet"/>
            </w:pPr>
            <w:r w:rsidRPr="009F1A9A">
              <w:t>Informed consent according to the local and national regulations and legal guidelines</w:t>
            </w:r>
          </w:p>
          <w:p w:rsidR="00000000" w:rsidP="009F1A9A">
            <w:pPr>
              <w:pStyle w:val="ListBullet"/>
              <w:rPr>
                <w:lang w:val="en-NZ"/>
              </w:rPr>
            </w:pPr>
            <w:r w:rsidRPr="009F1A9A">
              <w:t>Attendance of appropriate adult for wards of State and minors as appropriate</w:t>
            </w: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Emphasis"/>
              </w:rPr>
              <w:t>Responses to the homœopathic medicine may include</w:t>
            </w:r>
            <w:r w:rsidRPr="009F1A9A">
              <w:t>:</w:t>
            </w:r>
          </w:p>
        </w:tc>
        <w:tc>
          <w:tcPr>
            <w:tcW w:w="5670" w:type="dxa"/>
            <w:tcBorders>
              <w:top w:val="nil"/>
              <w:left w:val="nil"/>
              <w:bottom w:val="nil"/>
              <w:right w:val="nil"/>
            </w:tcBorders>
            <w:tcMar>
              <w:top w:w="0" w:type="dxa"/>
              <w:left w:w="62" w:type="dxa"/>
              <w:bottom w:w="0" w:type="dxa"/>
              <w:right w:w="62" w:type="dxa"/>
            </w:tcMar>
          </w:tcPr>
          <w:p w:rsidR="00000000" w:rsidRPr="009F1A9A" w:rsidP="009F1A9A">
            <w:pPr>
              <w:pStyle w:val="ListBullet"/>
            </w:pPr>
            <w:r w:rsidRPr="009F1A9A">
              <w:t>Amelioration</w:t>
            </w:r>
          </w:p>
          <w:p w:rsidR="00000000" w:rsidRPr="009F1A9A" w:rsidP="009F1A9A">
            <w:pPr>
              <w:pStyle w:val="ListBullet"/>
            </w:pPr>
            <w:r w:rsidRPr="009F1A9A">
              <w:t>Amelioration-aggravation</w:t>
            </w:r>
          </w:p>
          <w:p w:rsidR="00000000" w:rsidRPr="009F1A9A" w:rsidP="009F1A9A">
            <w:pPr>
              <w:pStyle w:val="ListBullet"/>
            </w:pPr>
            <w:r w:rsidRPr="009F1A9A">
              <w:t>Aggravation</w:t>
            </w:r>
          </w:p>
          <w:p w:rsidR="00000000" w:rsidRPr="009F1A9A" w:rsidP="009F1A9A">
            <w:pPr>
              <w:pStyle w:val="ListBullet"/>
            </w:pPr>
            <w:r w:rsidRPr="009F1A9A">
              <w:t>Aggravation-amelioration</w:t>
            </w:r>
          </w:p>
          <w:p w:rsidR="00000000" w:rsidRPr="009F1A9A" w:rsidP="009F1A9A">
            <w:pPr>
              <w:pStyle w:val="ListBullet"/>
            </w:pPr>
            <w:r w:rsidRPr="009F1A9A">
              <w:t>Palliation</w:t>
            </w:r>
          </w:p>
          <w:p w:rsidR="00000000" w:rsidRPr="009F1A9A" w:rsidP="009F1A9A">
            <w:pPr>
              <w:pStyle w:val="ListBullet"/>
            </w:pPr>
            <w:r w:rsidRPr="009F1A9A">
              <w:t xml:space="preserve">Suppression </w:t>
            </w:r>
          </w:p>
          <w:p w:rsidR="00000000" w:rsidRPr="009F1A9A" w:rsidP="009F1A9A">
            <w:pPr>
              <w:pStyle w:val="ListBullet"/>
            </w:pPr>
            <w:r w:rsidRPr="009F1A9A">
              <w:t>Old symptoms return</w:t>
            </w:r>
          </w:p>
          <w:p w:rsidR="00000000" w:rsidRPr="009F1A9A" w:rsidP="009F1A9A">
            <w:pPr>
              <w:pStyle w:val="ListBullet"/>
            </w:pPr>
            <w:r w:rsidRPr="009F1A9A">
              <w:t>New s</w:t>
            </w:r>
            <w:r w:rsidRPr="009F1A9A">
              <w:t>ymptoms emerge unrelated to the medicine</w:t>
            </w:r>
          </w:p>
          <w:p w:rsidR="00000000" w:rsidRPr="009F1A9A" w:rsidP="009F1A9A">
            <w:pPr>
              <w:pStyle w:val="ListBullet"/>
            </w:pPr>
            <w:r w:rsidRPr="009F1A9A">
              <w:t>Proving symptoms emerge</w:t>
            </w:r>
          </w:p>
          <w:p w:rsidR="00000000" w:rsidP="009F1A9A">
            <w:pPr>
              <w:pStyle w:val="ListBullet"/>
              <w:rPr>
                <w:lang w:val="en-NZ"/>
              </w:rPr>
            </w:pPr>
            <w:r w:rsidRPr="009F1A9A">
              <w:t>No change in symptoms</w:t>
            </w: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Emphasis"/>
              </w:rPr>
              <w:t>Clinic guidelines may include</w:t>
            </w:r>
            <w:r w:rsidRPr="009F1A9A">
              <w:t>:</w:t>
            </w:r>
          </w:p>
        </w:tc>
        <w:tc>
          <w:tcPr>
            <w:tcW w:w="5670" w:type="dxa"/>
            <w:tcBorders>
              <w:top w:val="nil"/>
              <w:left w:val="nil"/>
              <w:bottom w:val="nil"/>
              <w:right w:val="nil"/>
            </w:tcBorders>
            <w:tcMar>
              <w:top w:w="0" w:type="dxa"/>
              <w:left w:w="62" w:type="dxa"/>
              <w:bottom w:w="0" w:type="dxa"/>
              <w:right w:w="62" w:type="dxa"/>
            </w:tcMar>
          </w:tcPr>
          <w:p w:rsidR="00000000" w:rsidRPr="009F1A9A" w:rsidP="009F1A9A">
            <w:pPr>
              <w:pStyle w:val="ListBullet"/>
            </w:pPr>
            <w:r w:rsidRPr="009F1A9A">
              <w:t>Procedures and guidelines</w:t>
            </w:r>
          </w:p>
          <w:p w:rsidR="00000000" w:rsidRPr="009F1A9A" w:rsidP="009F1A9A">
            <w:pPr>
              <w:pStyle w:val="ListBullet"/>
            </w:pPr>
            <w:r w:rsidRPr="009F1A9A">
              <w:t>Purpose or mission statement</w:t>
            </w:r>
          </w:p>
          <w:p w:rsidR="00000000" w:rsidRPr="009F1A9A" w:rsidP="009F1A9A">
            <w:pPr>
              <w:pStyle w:val="ListBullet"/>
            </w:pPr>
            <w:r w:rsidRPr="009F1A9A">
              <w:t>Code of ethics or practice</w:t>
            </w:r>
          </w:p>
          <w:p w:rsidR="00000000" w:rsidP="009F1A9A">
            <w:pPr>
              <w:pStyle w:val="ListBullet"/>
              <w:rPr>
                <w:lang w:val="en-NZ"/>
              </w:rPr>
            </w:pPr>
            <w:r w:rsidRPr="009F1A9A">
              <w:t>Agreed practice</w:t>
            </w: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Emphasis"/>
              </w:rPr>
              <w:t>Information relevant to treatment plan may include</w:t>
            </w:r>
            <w:r w:rsidRPr="009F1A9A">
              <w:t>:</w:t>
            </w:r>
          </w:p>
        </w:tc>
        <w:tc>
          <w:tcPr>
            <w:tcW w:w="5670" w:type="dxa"/>
            <w:tcBorders>
              <w:top w:val="nil"/>
              <w:left w:val="nil"/>
              <w:bottom w:val="nil"/>
              <w:right w:val="nil"/>
            </w:tcBorders>
            <w:tcMar>
              <w:top w:w="0" w:type="dxa"/>
              <w:left w:w="62" w:type="dxa"/>
              <w:bottom w:w="0" w:type="dxa"/>
              <w:right w:w="62" w:type="dxa"/>
            </w:tcMar>
          </w:tcPr>
          <w:p w:rsidR="00000000" w:rsidRPr="009F1A9A" w:rsidP="009F1A9A">
            <w:pPr>
              <w:pStyle w:val="ListBullet"/>
            </w:pPr>
            <w:r w:rsidRPr="009F1A9A">
              <w:t xml:space="preserve">Literature or information materials </w:t>
            </w:r>
          </w:p>
          <w:p w:rsidR="00000000" w:rsidRPr="009F1A9A" w:rsidP="009F1A9A">
            <w:pPr>
              <w:pStyle w:val="ListBullet"/>
            </w:pPr>
            <w:r w:rsidRPr="009F1A9A">
              <w:t>Referrals to other information sources</w:t>
            </w:r>
          </w:p>
          <w:p w:rsidR="00000000" w:rsidRPr="009F1A9A" w:rsidP="009F1A9A">
            <w:pPr>
              <w:pStyle w:val="ListBullet"/>
            </w:pPr>
            <w:r w:rsidRPr="009F1A9A">
              <w:t>Advice regarding self-care and/or removing obstacles to cure</w:t>
            </w:r>
          </w:p>
          <w:p w:rsidR="00000000" w:rsidRPr="009F1A9A" w:rsidP="009F1A9A">
            <w:pPr>
              <w:pStyle w:val="ListBullet"/>
            </w:pPr>
            <w:r w:rsidRPr="009F1A9A">
              <w:t>Referrals to other health care professionals/services</w:t>
            </w:r>
          </w:p>
          <w:p w:rsidR="00000000" w:rsidP="009F1A9A">
            <w:pPr>
              <w:pStyle w:val="ListBullet"/>
              <w:rPr>
                <w:lang w:val="en-NZ"/>
              </w:rPr>
            </w:pPr>
            <w:r w:rsidRPr="009F1A9A">
              <w:t xml:space="preserve">Availability </w:t>
            </w:r>
            <w:r w:rsidRPr="009F1A9A">
              <w:t>of any products recommended in the treatment plan</w:t>
            </w: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Emphasis"/>
              </w:rPr>
              <w:t>Aggravations are managed may include</w:t>
            </w:r>
            <w:r w:rsidRPr="009F1A9A">
              <w:t>:</w:t>
            </w:r>
          </w:p>
        </w:tc>
        <w:tc>
          <w:tcPr>
            <w:tcW w:w="5670" w:type="dxa"/>
            <w:tcBorders>
              <w:top w:val="nil"/>
              <w:left w:val="nil"/>
              <w:bottom w:val="nil"/>
              <w:right w:val="nil"/>
            </w:tcBorders>
            <w:tcMar>
              <w:top w:w="0" w:type="dxa"/>
              <w:left w:w="62" w:type="dxa"/>
              <w:bottom w:w="0" w:type="dxa"/>
              <w:right w:w="62" w:type="dxa"/>
            </w:tcMar>
          </w:tcPr>
          <w:p w:rsidR="00000000" w:rsidRPr="009F1A9A" w:rsidP="009F1A9A">
            <w:pPr>
              <w:pStyle w:val="ListBullet"/>
            </w:pPr>
            <w:r w:rsidRPr="009F1A9A">
              <w:t>Discussing response with the client</w:t>
            </w:r>
          </w:p>
          <w:p w:rsidR="00000000" w:rsidRPr="009F1A9A" w:rsidP="009F1A9A">
            <w:pPr>
              <w:pStyle w:val="ListBullet"/>
            </w:pPr>
            <w:r w:rsidRPr="009F1A9A">
              <w:t>Using antidotes</w:t>
            </w:r>
          </w:p>
          <w:p w:rsidR="00000000" w:rsidRPr="009F1A9A" w:rsidP="009F1A9A">
            <w:pPr>
              <w:pStyle w:val="ListBullet"/>
            </w:pPr>
            <w:r w:rsidRPr="009F1A9A">
              <w:t xml:space="preserve">Adjusting posology </w:t>
            </w:r>
          </w:p>
          <w:p w:rsidR="00000000" w:rsidRPr="009F1A9A" w:rsidP="009F1A9A">
            <w:pPr>
              <w:pStyle w:val="ListBullet"/>
            </w:pPr>
            <w:r w:rsidRPr="009F1A9A">
              <w:t>Seeking appropriate expertise</w:t>
            </w:r>
          </w:p>
          <w:p w:rsidR="00000000" w:rsidRPr="009F1A9A" w:rsidP="009F1A9A">
            <w:pPr>
              <w:pStyle w:val="ListBullet"/>
            </w:pPr>
            <w:r w:rsidRPr="009F1A9A">
              <w:t xml:space="preserve">Using recognised first aid procedures </w:t>
            </w:r>
          </w:p>
          <w:p w:rsidR="00000000" w:rsidP="009F1A9A">
            <w:pPr>
              <w:pStyle w:val="ListBullet"/>
              <w:rPr>
                <w:lang w:val="en-NZ"/>
              </w:rPr>
            </w:pPr>
            <w:r w:rsidRPr="009F1A9A">
              <w:t>Accessing local emergency services</w:t>
            </w: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A9A">
            <w:pPr>
              <w:pStyle w:val="BodyText"/>
              <w:rPr>
                <w:lang w:val="en-NZ"/>
              </w:rPr>
            </w:pPr>
            <w:r w:rsidRPr="009F1A9A">
              <w:rPr>
                <w:rStyle w:val="Emphasis"/>
              </w:rPr>
              <w:t>Ongoing and</w:t>
            </w:r>
            <w:r w:rsidRPr="009F1A9A">
              <w:t>/</w:t>
            </w:r>
            <w:r w:rsidRPr="009F1A9A">
              <w:rPr>
                <w:rStyle w:val="Emphasis"/>
              </w:rPr>
              <w:t>or additional treatment may include</w:t>
            </w:r>
            <w:r w:rsidRPr="009F1A9A">
              <w:t>:</w:t>
            </w:r>
          </w:p>
        </w:tc>
        <w:tc>
          <w:tcPr>
            <w:tcW w:w="5670" w:type="dxa"/>
            <w:tcBorders>
              <w:top w:val="nil"/>
              <w:left w:val="nil"/>
              <w:bottom w:val="nil"/>
              <w:right w:val="nil"/>
            </w:tcBorders>
            <w:tcMar>
              <w:top w:w="0" w:type="dxa"/>
              <w:left w:w="62" w:type="dxa"/>
              <w:bottom w:w="0" w:type="dxa"/>
              <w:right w:w="62" w:type="dxa"/>
            </w:tcMar>
          </w:tcPr>
          <w:p w:rsidR="00000000" w:rsidRPr="009F1A9A" w:rsidP="009F1A9A">
            <w:pPr>
              <w:pStyle w:val="ListBullet"/>
            </w:pPr>
            <w:r w:rsidRPr="009F1A9A">
              <w:t xml:space="preserve">Repetition of same medicine in same potency </w:t>
            </w:r>
          </w:p>
          <w:p w:rsidR="00000000" w:rsidRPr="009F1A9A" w:rsidP="009F1A9A">
            <w:pPr>
              <w:pStyle w:val="ListBullet"/>
            </w:pPr>
            <w:r w:rsidRPr="009F1A9A">
              <w:t>Repetition of same medicine in different potency</w:t>
            </w:r>
          </w:p>
          <w:p w:rsidR="00000000" w:rsidRPr="009F1A9A" w:rsidP="009F1A9A">
            <w:pPr>
              <w:pStyle w:val="ListBullet"/>
            </w:pPr>
            <w:r w:rsidRPr="009F1A9A">
              <w:t>Change of frequency of administration</w:t>
            </w:r>
          </w:p>
          <w:p w:rsidR="00000000" w:rsidRPr="009F1A9A" w:rsidP="009F1A9A">
            <w:pPr>
              <w:pStyle w:val="ListBullet"/>
            </w:pPr>
            <w:r w:rsidRPr="009F1A9A">
              <w:t>Change of medicine</w:t>
            </w:r>
          </w:p>
          <w:p w:rsidR="00000000" w:rsidRPr="009F1A9A" w:rsidP="009F1A9A">
            <w:pPr>
              <w:pStyle w:val="ListBullet"/>
            </w:pPr>
            <w:r w:rsidRPr="009F1A9A">
              <w:t>Need for intercur</w:t>
            </w:r>
            <w:r w:rsidRPr="009F1A9A">
              <w:t>rent medicine</w:t>
            </w:r>
          </w:p>
          <w:p w:rsidR="00000000" w:rsidRPr="009F1A9A" w:rsidP="009F1A9A">
            <w:pPr>
              <w:pStyle w:val="ListBullet"/>
            </w:pPr>
            <w:r w:rsidRPr="009F1A9A">
              <w:t>Adding miasmatic medicine</w:t>
            </w:r>
          </w:p>
          <w:p w:rsidR="00000000" w:rsidRPr="009F1A9A" w:rsidP="009F1A9A">
            <w:pPr>
              <w:pStyle w:val="ListBullet"/>
            </w:pPr>
            <w:r w:rsidRPr="009F1A9A">
              <w:t>Introducing constitutional medicine</w:t>
            </w:r>
          </w:p>
          <w:p w:rsidR="00000000" w:rsidRPr="009F1A9A" w:rsidP="009F1A9A">
            <w:pPr>
              <w:pStyle w:val="ListBullet"/>
            </w:pPr>
            <w:r w:rsidRPr="009F1A9A">
              <w:t>Adding a nosode</w:t>
            </w:r>
          </w:p>
          <w:p w:rsidR="00000000" w:rsidRPr="009F1A9A" w:rsidP="009F1A9A">
            <w:pPr>
              <w:pStyle w:val="ListBullet"/>
            </w:pPr>
            <w:r w:rsidRPr="009F1A9A">
              <w:t>Adding a pathological lesion medicine</w:t>
            </w:r>
          </w:p>
          <w:p w:rsidR="00000000" w:rsidRPr="009F1A9A" w:rsidP="009F1A9A">
            <w:pPr>
              <w:pStyle w:val="ListBullet"/>
            </w:pPr>
            <w:r w:rsidRPr="009F1A9A">
              <w:t>Waiting</w:t>
            </w:r>
          </w:p>
          <w:p w:rsidR="00000000" w:rsidRPr="009F1A9A" w:rsidP="009F1A9A">
            <w:pPr>
              <w:pStyle w:val="ListBullet"/>
            </w:pPr>
            <w:r w:rsidRPr="009F1A9A">
              <w:t>Placebo</w:t>
            </w:r>
          </w:p>
          <w:p w:rsidR="00000000" w:rsidRPr="009F1A9A" w:rsidP="009F1A9A">
            <w:pPr>
              <w:pStyle w:val="ListBullet"/>
            </w:pPr>
            <w:r w:rsidRPr="009F1A9A">
              <w:t>Adjusting diet or lifestyle</w:t>
            </w:r>
          </w:p>
          <w:p w:rsidR="00000000" w:rsidRPr="009F1A9A" w:rsidP="009F1A9A">
            <w:pPr>
              <w:pStyle w:val="ListBullet"/>
            </w:pPr>
            <w:r w:rsidRPr="009F1A9A">
              <w:t>Body work</w:t>
            </w:r>
          </w:p>
          <w:p w:rsidR="00000000" w:rsidP="009F1A9A">
            <w:pPr>
              <w:pStyle w:val="ListBullet"/>
              <w:rPr>
                <w:lang w:val="en-NZ"/>
              </w:rPr>
            </w:pPr>
            <w:r w:rsidRPr="009F1A9A">
              <w:t>Counselling</w:t>
            </w:r>
          </w:p>
        </w:tc>
      </w:tr>
      <w:tr w:rsidTr="00E878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F1A9A" w:rsidP="009F1A9A">
            <w:pPr>
              <w:pStyle w:val="BodyText"/>
            </w:pPr>
          </w:p>
        </w:tc>
      </w:tr>
    </w:tbl>
    <w:p w:rsidR="00E8788F" w:rsidP="009F1A9A">
      <w:pPr>
        <w:pStyle w:val="BodyText"/>
      </w:pPr>
    </w:p>
    <w:p w:rsidR="00E8788F" w:rsidP="009F1A9A">
      <w:pPr>
        <w:pStyle w:val="BodyText"/>
      </w:pPr>
    </w:p>
    <w:p w:rsidR="00000000" w:rsidRPr="009F1A9A" w:rsidP="009F1A9A">
      <w:pPr>
        <w:pStyle w:val="Heading1"/>
      </w:pPr>
      <w:bookmarkStart w:id="12" w:name="O_295150"/>
      <w:bookmarkEnd w:id="12"/>
      <w:r w:rsidRPr="009F1A9A">
        <w:t>Unit Sector(s)</w:t>
      </w:r>
    </w:p>
    <w:p w:rsidR="00000000" w:rsidRPr="009F1A9A" w:rsidP="009F1A9A">
      <w:pPr>
        <w:pStyle w:val="BodyText"/>
      </w:pPr>
      <w:r w:rsidRPr="009F1A9A">
        <w:t>Not Applicable</w:t>
      </w:r>
    </w:p>
    <w:p w:rsidR="00000000" w:rsidRPr="009F1A9A" w:rsidP="009F1A9A"/>
    <w:sectPr w:rsidSect="009F1A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788F" w:rsidP="00E878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8F" w:rsidP="009F1A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8788F" w:rsidP="009F1A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8788F" w:rsidP="009F1A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9A" w:rsidRPr="00E8788F" w:rsidP="00E878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8F" w:rsidRPr="002D2AF8" w:rsidP="009F1A9A">
    <w:pPr>
      <w:pStyle w:val="Header"/>
      <w:framePr w:wrap="around"/>
    </w:pPr>
    <w:r>
      <w:fldChar w:fldCharType="begin"/>
    </w:r>
    <w:r>
      <w:instrText xml:space="preserve"> TITLE   \* MERGEFORMAT </w:instrText>
    </w:r>
    <w:r>
      <w:fldChar w:fldCharType="separate"/>
    </w:r>
    <w:r>
      <w:t>HLTHOM608C Provide homeopathic treatment and manage the 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8788F" w:rsidP="009F1A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9E17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EE5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E46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A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A9A"/>
    <w:pPr>
      <w:spacing w:before="360" w:after="60"/>
      <w:outlineLvl w:val="0"/>
    </w:pPr>
    <w:rPr>
      <w:sz w:val="32"/>
    </w:rPr>
  </w:style>
  <w:style w:type="paragraph" w:styleId="Heading2">
    <w:name w:val="heading 2"/>
    <w:basedOn w:val="HeadingBase"/>
    <w:next w:val="BodyText"/>
    <w:link w:val="Heading2Char"/>
    <w:qFormat/>
    <w:rsid w:val="009F1A9A"/>
    <w:pPr>
      <w:keepLines/>
      <w:spacing w:before="240" w:after="120"/>
      <w:outlineLvl w:val="1"/>
    </w:pPr>
    <w:rPr>
      <w:sz w:val="28"/>
      <w:szCs w:val="40"/>
    </w:rPr>
  </w:style>
  <w:style w:type="paragraph" w:styleId="Heading3">
    <w:name w:val="heading 3"/>
    <w:basedOn w:val="HeadingBase"/>
    <w:next w:val="BodyText"/>
    <w:link w:val="Heading3Char"/>
    <w:qFormat/>
    <w:rsid w:val="009F1A9A"/>
    <w:pPr>
      <w:spacing w:before="180" w:after="120"/>
      <w:outlineLvl w:val="2"/>
    </w:pPr>
    <w:rPr>
      <w:spacing w:val="-10"/>
      <w:kern w:val="32"/>
    </w:rPr>
  </w:style>
  <w:style w:type="paragraph" w:styleId="Heading4">
    <w:name w:val="heading 4"/>
    <w:basedOn w:val="HeadingBase"/>
    <w:next w:val="BodyText"/>
    <w:link w:val="Heading4Char"/>
    <w:qFormat/>
    <w:rsid w:val="009F1A9A"/>
    <w:pPr>
      <w:spacing w:before="160" w:after="120"/>
      <w:outlineLvl w:val="3"/>
    </w:pPr>
    <w:rPr>
      <w:sz w:val="22"/>
    </w:rPr>
  </w:style>
  <w:style w:type="paragraph" w:styleId="Heading5">
    <w:name w:val="heading 5"/>
    <w:basedOn w:val="HeadingBase"/>
    <w:next w:val="Normal"/>
    <w:link w:val="Heading5Char"/>
    <w:qFormat/>
    <w:rsid w:val="009F1A9A"/>
    <w:pPr>
      <w:spacing w:before="80"/>
      <w:outlineLvl w:val="4"/>
    </w:pPr>
    <w:rPr>
      <w:color w:val="918585"/>
      <w:sz w:val="20"/>
    </w:rPr>
  </w:style>
  <w:style w:type="paragraph" w:styleId="Heading6">
    <w:name w:val="heading 6"/>
    <w:basedOn w:val="HeadingBase"/>
    <w:next w:val="Normal"/>
    <w:link w:val="Heading6Char"/>
    <w:qFormat/>
    <w:rsid w:val="009F1A9A"/>
    <w:pPr>
      <w:spacing w:before="60"/>
      <w:outlineLvl w:val="5"/>
    </w:pPr>
    <w:rPr>
      <w:color w:val="918585"/>
      <w:sz w:val="20"/>
    </w:rPr>
  </w:style>
  <w:style w:type="paragraph" w:styleId="Heading7">
    <w:name w:val="heading 7"/>
    <w:basedOn w:val="Normal"/>
    <w:next w:val="Normal"/>
    <w:link w:val="Heading7Char"/>
    <w:qFormat/>
    <w:rsid w:val="009F1A9A"/>
    <w:pPr>
      <w:ind w:left="720"/>
      <w:outlineLvl w:val="6"/>
    </w:pPr>
    <w:rPr>
      <w:i/>
    </w:rPr>
  </w:style>
  <w:style w:type="paragraph" w:styleId="Heading8">
    <w:name w:val="heading 8"/>
    <w:basedOn w:val="Normal"/>
    <w:next w:val="Normal"/>
    <w:link w:val="Heading8Char"/>
    <w:qFormat/>
    <w:rsid w:val="009F1A9A"/>
    <w:pPr>
      <w:ind w:left="720"/>
      <w:outlineLvl w:val="7"/>
    </w:pPr>
    <w:rPr>
      <w:i/>
    </w:rPr>
  </w:style>
  <w:style w:type="paragraph" w:styleId="Heading9">
    <w:name w:val="heading 9"/>
    <w:basedOn w:val="Normal"/>
    <w:next w:val="Normal"/>
    <w:link w:val="Heading9Char"/>
    <w:qFormat/>
    <w:rsid w:val="009F1A9A"/>
    <w:pPr>
      <w:ind w:left="720"/>
      <w:outlineLvl w:val="8"/>
    </w:pPr>
    <w:rPr>
      <w:i/>
    </w:rPr>
  </w:style>
  <w:style w:type="character" w:default="1" w:styleId="DefaultParagraphFont">
    <w:name w:val="Default Paragraph Font"/>
    <w:uiPriority w:val="1"/>
    <w:unhideWhenUsed/>
    <w:rsid w:val="009F1A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A9A"/>
  </w:style>
  <w:style w:type="character" w:customStyle="1" w:styleId="Heading1Char">
    <w:name w:val="Heading 1 Char"/>
    <w:basedOn w:val="DefaultParagraphFont"/>
    <w:link w:val="Heading1"/>
    <w:rsid w:val="009F1A9A"/>
    <w:rPr>
      <w:rFonts w:ascii="Times New Roman" w:eastAsia="Times New Roman" w:hAnsi="Times New Roman" w:cs="Times New Roman"/>
      <w:b/>
      <w:sz w:val="32"/>
      <w:szCs w:val="20"/>
      <w:lang w:eastAsia="en-US"/>
    </w:rPr>
  </w:style>
  <w:style w:type="paragraph" w:styleId="BodyText">
    <w:name w:val="Body Text"/>
    <w:basedOn w:val="Normal"/>
    <w:link w:val="BodyTextChar"/>
    <w:rsid w:val="009F1A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1A9A"/>
    <w:rPr>
      <w:rFonts w:ascii="Times New Roman" w:eastAsia="Times New Roman" w:hAnsi="Times New Roman" w:cs="Times New Roman"/>
      <w:sz w:val="24"/>
      <w:lang w:eastAsia="en-US"/>
    </w:rPr>
  </w:style>
  <w:style w:type="paragraph" w:styleId="Footer">
    <w:name w:val="footer"/>
    <w:basedOn w:val="Normal"/>
    <w:link w:val="FooterChar"/>
    <w:rsid w:val="009F1A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A9A"/>
    <w:rPr>
      <w:rFonts w:ascii="Times New Roman" w:eastAsia="Times New Roman" w:hAnsi="Times New Roman" w:cs="Times New Roman"/>
      <w:sz w:val="16"/>
      <w:lang w:eastAsia="en-US"/>
    </w:rPr>
  </w:style>
  <w:style w:type="paragraph" w:styleId="List">
    <w:name w:val="List"/>
    <w:basedOn w:val="BodyText"/>
    <w:next w:val="BodyText"/>
    <w:rsid w:val="009F1A9A"/>
    <w:pPr>
      <w:tabs>
        <w:tab w:val="left" w:pos="340"/>
      </w:tabs>
      <w:spacing w:before="60" w:after="60"/>
      <w:ind w:left="340" w:hanging="340"/>
    </w:pPr>
  </w:style>
  <w:style w:type="paragraph" w:styleId="ListBullet">
    <w:name w:val="List Bullet"/>
    <w:basedOn w:val="List"/>
    <w:rsid w:val="009F1A9A"/>
    <w:pPr>
      <w:numPr>
        <w:numId w:val="14"/>
      </w:numPr>
      <w:tabs>
        <w:tab w:val="clear" w:pos="340"/>
      </w:tabs>
      <w:spacing w:before="40" w:after="40"/>
    </w:pPr>
  </w:style>
  <w:style w:type="character" w:customStyle="1" w:styleId="SpecialBold">
    <w:name w:val="Special Bold"/>
    <w:basedOn w:val="DefaultParagraphFont"/>
    <w:rsid w:val="009F1A9A"/>
    <w:rPr>
      <w:b/>
      <w:spacing w:val="0"/>
    </w:rPr>
  </w:style>
  <w:style w:type="paragraph" w:styleId="ListBullet2">
    <w:name w:val="List Bullet 2"/>
    <w:basedOn w:val="List2"/>
    <w:rsid w:val="009F1A9A"/>
    <w:pPr>
      <w:numPr>
        <w:numId w:val="15"/>
      </w:numPr>
      <w:tabs>
        <w:tab w:val="clear" w:pos="680"/>
      </w:tabs>
    </w:pPr>
  </w:style>
  <w:style w:type="character" w:styleId="Emphasis">
    <w:name w:val="Emphasis"/>
    <w:basedOn w:val="DefaultParagraphFont"/>
    <w:qFormat/>
    <w:rsid w:val="009F1A9A"/>
    <w:rPr>
      <w:i/>
    </w:rPr>
  </w:style>
  <w:style w:type="paragraph" w:customStyle="1" w:styleId="SuperHeading">
    <w:name w:val="SuperHeading"/>
    <w:basedOn w:val="Normal"/>
    <w:rsid w:val="009F1A9A"/>
    <w:pPr>
      <w:spacing w:before="240" w:after="120"/>
      <w:outlineLvl w:val="0"/>
    </w:pPr>
    <w:rPr>
      <w:rFonts w:ascii="Times New Roman" w:hAnsi="Times New Roman"/>
      <w:b/>
      <w:sz w:val="28"/>
    </w:rPr>
  </w:style>
  <w:style w:type="paragraph" w:customStyle="1" w:styleId="AllowPageBreak">
    <w:name w:val="AllowPageBreak"/>
    <w:rsid w:val="009F1A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1A9A"/>
    <w:pPr>
      <w:numPr>
        <w:numId w:val="3"/>
      </w:numPr>
      <w:tabs>
        <w:tab w:val="clear" w:pos="1021"/>
      </w:tabs>
      <w:ind w:left="1037" w:hanging="357"/>
    </w:pPr>
  </w:style>
  <w:style w:type="character" w:customStyle="1" w:styleId="Heading2Char">
    <w:name w:val="Heading 2 Char"/>
    <w:basedOn w:val="DefaultParagraphFont"/>
    <w:link w:val="Heading2"/>
    <w:rsid w:val="009F1A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A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A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A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A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A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A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A9A"/>
    <w:rPr>
      <w:rFonts w:ascii="Courier New" w:eastAsia="Times New Roman" w:hAnsi="Courier New" w:cs="Times New Roman"/>
      <w:i/>
      <w:szCs w:val="20"/>
      <w:lang w:eastAsia="en-US"/>
    </w:rPr>
  </w:style>
  <w:style w:type="paragraph" w:customStyle="1" w:styleId="HeadingBase">
    <w:name w:val="Heading Base"/>
    <w:rsid w:val="009F1A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A9A"/>
    <w:pPr>
      <w:tabs>
        <w:tab w:val="right" w:leader="dot" w:pos="9072"/>
      </w:tabs>
      <w:ind w:left="567"/>
    </w:pPr>
    <w:rPr>
      <w:szCs w:val="22"/>
    </w:rPr>
  </w:style>
  <w:style w:type="paragraph" w:customStyle="1" w:styleId="TOCBase">
    <w:name w:val="TOC Base"/>
    <w:rsid w:val="009F1A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A9A"/>
    <w:pPr>
      <w:tabs>
        <w:tab w:val="right" w:leader="dot" w:pos="9072"/>
      </w:tabs>
      <w:spacing w:before="40" w:after="40"/>
      <w:ind w:left="284"/>
    </w:pPr>
    <w:rPr>
      <w:rFonts w:ascii="Times New Roman" w:hAnsi="Times New Roman"/>
    </w:rPr>
  </w:style>
  <w:style w:type="paragraph" w:styleId="TOC1">
    <w:name w:val="toc 1"/>
    <w:basedOn w:val="TOCBase"/>
    <w:next w:val="Normal"/>
    <w:rsid w:val="009F1A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1A9A"/>
    <w:pPr>
      <w:spacing w:before="5040"/>
      <w:jc w:val="center"/>
    </w:pPr>
    <w:rPr>
      <w:sz w:val="48"/>
      <w:szCs w:val="72"/>
      <w:lang w:val="en-US"/>
    </w:rPr>
  </w:style>
  <w:style w:type="character" w:customStyle="1" w:styleId="TitleChar">
    <w:name w:val="Title Char"/>
    <w:basedOn w:val="DefaultParagraphFont"/>
    <w:link w:val="Title"/>
    <w:rsid w:val="009F1A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A9A"/>
    <w:pPr>
      <w:tabs>
        <w:tab w:val="left" w:pos="3600"/>
        <w:tab w:val="left" w:pos="3958"/>
      </w:tabs>
    </w:pPr>
  </w:style>
  <w:style w:type="paragraph" w:customStyle="1" w:styleId="Note">
    <w:name w:val="Note"/>
    <w:basedOn w:val="BodyText"/>
    <w:rsid w:val="009F1A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A9A"/>
    <w:pPr>
      <w:framePr w:wrap="auto" w:hAnchor="text" w:y="6049"/>
    </w:pPr>
    <w:rPr>
      <w:color w:val="000000"/>
      <w:sz w:val="40"/>
    </w:rPr>
  </w:style>
  <w:style w:type="paragraph" w:customStyle="1" w:styleId="TOCTitle">
    <w:name w:val="TOCTitle"/>
    <w:basedOn w:val="Heading1"/>
    <w:rsid w:val="009F1A9A"/>
    <w:pPr>
      <w:spacing w:after="240"/>
      <w:jc w:val="center"/>
      <w:outlineLvl w:val="9"/>
    </w:pPr>
    <w:rPr>
      <w:caps/>
    </w:rPr>
  </w:style>
  <w:style w:type="paragraph" w:customStyle="1" w:styleId="Version">
    <w:name w:val="Version"/>
    <w:rsid w:val="009F1A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A9A"/>
    <w:pPr>
      <w:keepNext w:val="0"/>
      <w:tabs>
        <w:tab w:val="right" w:pos="4176"/>
      </w:tabs>
      <w:ind w:left="198" w:hanging="198"/>
    </w:pPr>
    <w:rPr>
      <w:rFonts w:ascii="Garamond" w:hAnsi="Garamond"/>
    </w:rPr>
  </w:style>
  <w:style w:type="paragraph" w:styleId="IndexHeading">
    <w:name w:val="index heading"/>
    <w:basedOn w:val="Normal"/>
    <w:next w:val="Index1"/>
    <w:semiHidden/>
    <w:rsid w:val="009F1A9A"/>
    <w:pPr>
      <w:spacing w:before="120" w:after="120"/>
    </w:pPr>
    <w:rPr>
      <w:rFonts w:ascii="Arial" w:hAnsi="Arial"/>
      <w:b/>
      <w:color w:val="918585"/>
      <w:sz w:val="24"/>
    </w:rPr>
  </w:style>
  <w:style w:type="paragraph" w:styleId="Header">
    <w:name w:val="header"/>
    <w:basedOn w:val="Normal"/>
    <w:link w:val="HeaderChar"/>
    <w:rsid w:val="009F1A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A9A"/>
    <w:rPr>
      <w:rFonts w:ascii="Times New Roman" w:eastAsia="Times New Roman" w:hAnsi="Times New Roman" w:cs="Times New Roman"/>
      <w:sz w:val="16"/>
      <w:szCs w:val="20"/>
      <w:lang w:val="en-GB" w:eastAsia="en-US"/>
    </w:rPr>
  </w:style>
  <w:style w:type="paragraph" w:customStyle="1" w:styleId="Chapter">
    <w:name w:val="Chapter"/>
    <w:basedOn w:val="Normal"/>
    <w:rsid w:val="009F1A9A"/>
    <w:pPr>
      <w:spacing w:before="240"/>
    </w:pPr>
    <w:rPr>
      <w:rFonts w:ascii="Times New Roman" w:hAnsi="Times New Roman"/>
      <w:smallCaps/>
      <w:spacing w:val="80"/>
      <w:sz w:val="28"/>
    </w:rPr>
  </w:style>
  <w:style w:type="paragraph" w:customStyle="1" w:styleId="InChapter">
    <w:name w:val="InChapter"/>
    <w:basedOn w:val="Heading3"/>
    <w:rsid w:val="009F1A9A"/>
    <w:pPr>
      <w:spacing w:after="240"/>
      <w:outlineLvl w:val="9"/>
    </w:pPr>
    <w:rPr>
      <w:noProof/>
    </w:rPr>
  </w:style>
  <w:style w:type="paragraph" w:styleId="Index2">
    <w:name w:val="index 2"/>
    <w:basedOn w:val="Normal"/>
    <w:next w:val="Normal"/>
    <w:semiHidden/>
    <w:rsid w:val="009F1A9A"/>
    <w:pPr>
      <w:tabs>
        <w:tab w:val="right" w:pos="4176"/>
      </w:tabs>
      <w:ind w:left="568" w:hanging="284"/>
    </w:pPr>
    <w:rPr>
      <w:rFonts w:ascii="Garamond" w:hAnsi="Garamond"/>
    </w:rPr>
  </w:style>
  <w:style w:type="paragraph" w:customStyle="1" w:styleId="Byline">
    <w:name w:val="Byline"/>
    <w:rsid w:val="009F1A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A9A"/>
    <w:pPr>
      <w:tabs>
        <w:tab w:val="clear" w:pos="3600"/>
        <w:tab w:val="clear" w:pos="3958"/>
      </w:tabs>
      <w:jc w:val="right"/>
    </w:pPr>
  </w:style>
  <w:style w:type="paragraph" w:styleId="Caption">
    <w:name w:val="caption"/>
    <w:basedOn w:val="BodyText"/>
    <w:next w:val="Normal"/>
    <w:qFormat/>
    <w:rsid w:val="009F1A9A"/>
    <w:pPr>
      <w:framePr w:w="2268" w:hSpace="181" w:vSpace="181" w:wrap="around" w:vAnchor="text" w:hAnchor="page" w:x="1135" w:y="285" w:anchorLock="1"/>
    </w:pPr>
    <w:rPr>
      <w:i/>
    </w:rPr>
  </w:style>
  <w:style w:type="paragraph" w:customStyle="1" w:styleId="MiniTOCTitle">
    <w:name w:val="MiniTOCTitle"/>
    <w:basedOn w:val="Heading4"/>
    <w:rsid w:val="009F1A9A"/>
    <w:pPr>
      <w:spacing w:before="240"/>
      <w:outlineLvl w:val="9"/>
    </w:pPr>
    <w:rPr>
      <w:noProof/>
      <w:sz w:val="24"/>
    </w:rPr>
  </w:style>
  <w:style w:type="paragraph" w:customStyle="1" w:styleId="MiniTOCItem">
    <w:name w:val="MiniTOCItem"/>
    <w:basedOn w:val="ListBullet"/>
    <w:rsid w:val="009F1A9A"/>
    <w:pPr>
      <w:numPr>
        <w:numId w:val="0"/>
      </w:numPr>
      <w:tabs>
        <w:tab w:val="right" w:leader="dot" w:pos="6521"/>
      </w:tabs>
      <w:spacing w:before="0" w:after="0"/>
    </w:pPr>
  </w:style>
  <w:style w:type="paragraph" w:customStyle="1" w:styleId="TOFTitle">
    <w:name w:val="TOFTitle"/>
    <w:basedOn w:val="TOCTitle"/>
    <w:rsid w:val="009F1A9A"/>
  </w:style>
  <w:style w:type="paragraph" w:styleId="TableofFigures">
    <w:name w:val="table of figures"/>
    <w:basedOn w:val="Normal"/>
    <w:next w:val="Normal"/>
    <w:semiHidden/>
    <w:rsid w:val="009F1A9A"/>
    <w:pPr>
      <w:tabs>
        <w:tab w:val="right" w:leader="dot" w:pos="9072"/>
      </w:tabs>
      <w:ind w:left="970" w:hanging="403"/>
    </w:pPr>
    <w:rPr>
      <w:rFonts w:ascii="Times New Roman" w:hAnsi="Times New Roman"/>
      <w:b/>
    </w:rPr>
  </w:style>
  <w:style w:type="paragraph" w:styleId="ListNumber">
    <w:name w:val="List Number"/>
    <w:basedOn w:val="List"/>
    <w:rsid w:val="009F1A9A"/>
    <w:pPr>
      <w:numPr>
        <w:numId w:val="12"/>
      </w:numPr>
    </w:pPr>
  </w:style>
  <w:style w:type="character" w:customStyle="1" w:styleId="WingdingSymbols">
    <w:name w:val="Wingding Symbols"/>
    <w:rsid w:val="009F1A9A"/>
    <w:rPr>
      <w:rFonts w:ascii="Wingdings" w:hAnsi="Wingdings"/>
    </w:rPr>
  </w:style>
  <w:style w:type="paragraph" w:customStyle="1" w:styleId="TableHeading">
    <w:name w:val="Table Heading"/>
    <w:basedOn w:val="HeadingBase"/>
    <w:rsid w:val="009F1A9A"/>
    <w:pPr>
      <w:keepLines/>
      <w:pBdr>
        <w:bottom w:val="single" w:sz="6" w:space="1" w:color="918585"/>
      </w:pBdr>
      <w:spacing w:before="240"/>
    </w:pPr>
  </w:style>
  <w:style w:type="character" w:customStyle="1" w:styleId="HotSpot">
    <w:name w:val="HotSpot"/>
    <w:rsid w:val="009F1A9A"/>
    <w:rPr>
      <w:color w:val="0033CC"/>
      <w:u w:val="none"/>
    </w:rPr>
  </w:style>
  <w:style w:type="paragraph" w:customStyle="1" w:styleId="BodyTextRight">
    <w:name w:val="Body Text Right"/>
    <w:basedOn w:val="BodyText"/>
    <w:rsid w:val="009F1A9A"/>
    <w:pPr>
      <w:spacing w:before="0" w:after="0"/>
      <w:jc w:val="right"/>
    </w:pPr>
  </w:style>
  <w:style w:type="paragraph" w:styleId="Index3">
    <w:name w:val="index 3"/>
    <w:basedOn w:val="ListNumber2"/>
    <w:next w:val="Normal"/>
    <w:semiHidden/>
    <w:rsid w:val="009F1A9A"/>
    <w:pPr>
      <w:numPr>
        <w:numId w:val="0"/>
      </w:numPr>
      <w:tabs>
        <w:tab w:val="right" w:leader="dot" w:pos="4176"/>
      </w:tabs>
    </w:pPr>
  </w:style>
  <w:style w:type="paragraph" w:styleId="ListNumber2">
    <w:name w:val="List Number 2"/>
    <w:basedOn w:val="List2"/>
    <w:rsid w:val="009F1A9A"/>
    <w:pPr>
      <w:numPr>
        <w:numId w:val="11"/>
      </w:numPr>
      <w:tabs>
        <w:tab w:val="clear" w:pos="1060"/>
      </w:tabs>
    </w:pPr>
  </w:style>
  <w:style w:type="paragraph" w:customStyle="1" w:styleId="MarginNote">
    <w:name w:val="Margin Note"/>
    <w:basedOn w:val="BodyText"/>
    <w:rsid w:val="009F1A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A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A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A9A"/>
    <w:rPr>
      <w:sz w:val="32"/>
    </w:rPr>
  </w:style>
  <w:style w:type="paragraph" w:customStyle="1" w:styleId="HeadingProcedure">
    <w:name w:val="Heading Procedure"/>
    <w:basedOn w:val="HeadingBase"/>
    <w:next w:val="Normal"/>
    <w:rsid w:val="009F1A9A"/>
    <w:pPr>
      <w:tabs>
        <w:tab w:val="left" w:pos="0"/>
      </w:tabs>
      <w:spacing w:before="120" w:after="60"/>
    </w:pPr>
    <w:rPr>
      <w:i/>
      <w:color w:val="918585"/>
      <w:sz w:val="22"/>
    </w:rPr>
  </w:style>
  <w:style w:type="paragraph" w:customStyle="1" w:styleId="TableBodyText">
    <w:name w:val="Table Body Text"/>
    <w:basedOn w:val="BodyText"/>
    <w:rsid w:val="009F1A9A"/>
    <w:pPr>
      <w:spacing w:before="60" w:after="60"/>
    </w:pPr>
  </w:style>
  <w:style w:type="paragraph" w:styleId="ListContinue">
    <w:name w:val="List Continue"/>
    <w:basedOn w:val="List"/>
    <w:rsid w:val="009F1A9A"/>
    <w:pPr>
      <w:ind w:firstLine="0"/>
    </w:pPr>
  </w:style>
  <w:style w:type="paragraph" w:customStyle="1" w:styleId="ListNote">
    <w:name w:val="List Note"/>
    <w:basedOn w:val="List"/>
    <w:rsid w:val="009F1A9A"/>
    <w:pPr>
      <w:pBdr>
        <w:top w:val="single" w:sz="6" w:space="2" w:color="918585"/>
        <w:bottom w:val="single" w:sz="6" w:space="2" w:color="918585"/>
      </w:pBdr>
      <w:tabs>
        <w:tab w:val="left" w:pos="1021"/>
      </w:tabs>
      <w:ind w:firstLine="0"/>
    </w:pPr>
  </w:style>
  <w:style w:type="paragraph" w:customStyle="1" w:styleId="Warning">
    <w:name w:val="Warning"/>
    <w:basedOn w:val="BodyText"/>
    <w:rsid w:val="009F1A9A"/>
    <w:pPr>
      <w:shd w:val="clear" w:color="auto" w:fill="D9D9D9"/>
      <w:tabs>
        <w:tab w:val="left" w:pos="992"/>
      </w:tabs>
      <w:ind w:left="119" w:right="119"/>
    </w:pPr>
    <w:rPr>
      <w:sz w:val="20"/>
    </w:rPr>
  </w:style>
  <w:style w:type="paragraph" w:customStyle="1" w:styleId="MarginIcons">
    <w:name w:val="Margin Icons"/>
    <w:basedOn w:val="BodyText"/>
    <w:rsid w:val="009F1A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A9A"/>
    <w:rPr>
      <w:rFonts w:ascii="Courier New" w:hAnsi="Courier New"/>
    </w:rPr>
  </w:style>
  <w:style w:type="paragraph" w:customStyle="1" w:styleId="NoteBullet">
    <w:name w:val="Note Bullet"/>
    <w:basedOn w:val="Note"/>
    <w:rsid w:val="009F1A9A"/>
    <w:pPr>
      <w:tabs>
        <w:tab w:val="clear" w:pos="680"/>
      </w:tabs>
      <w:spacing w:before="60" w:after="60"/>
    </w:pPr>
  </w:style>
  <w:style w:type="paragraph" w:customStyle="1" w:styleId="SubHeading2">
    <w:name w:val="SubHeading2"/>
    <w:basedOn w:val="HeadingBase"/>
    <w:rsid w:val="009F1A9A"/>
    <w:pPr>
      <w:spacing w:before="240" w:after="60"/>
    </w:pPr>
    <w:rPr>
      <w:sz w:val="20"/>
    </w:rPr>
  </w:style>
  <w:style w:type="paragraph" w:customStyle="1" w:styleId="SubHeading1">
    <w:name w:val="SubHeading1"/>
    <w:basedOn w:val="HeadingBase"/>
    <w:rsid w:val="009F1A9A"/>
    <w:pPr>
      <w:spacing w:before="240" w:after="60"/>
    </w:pPr>
    <w:rPr>
      <w:color w:val="918585"/>
      <w:sz w:val="22"/>
    </w:rPr>
  </w:style>
  <w:style w:type="paragraph" w:customStyle="1" w:styleId="SideHeading">
    <w:name w:val="Side Heading"/>
    <w:basedOn w:val="HeadingBase"/>
    <w:rsid w:val="009F1A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A9A"/>
    <w:pPr>
      <w:numPr>
        <w:numId w:val="13"/>
      </w:numPr>
    </w:pPr>
  </w:style>
  <w:style w:type="paragraph" w:styleId="PlainText">
    <w:name w:val="Plain Text"/>
    <w:basedOn w:val="Normal"/>
    <w:link w:val="PlainTextChar"/>
    <w:rsid w:val="009F1A9A"/>
    <w:rPr>
      <w:sz w:val="20"/>
    </w:rPr>
  </w:style>
  <w:style w:type="character" w:customStyle="1" w:styleId="PlainTextChar">
    <w:name w:val="Plain Text Char"/>
    <w:basedOn w:val="DefaultParagraphFont"/>
    <w:link w:val="PlainText"/>
    <w:rsid w:val="009F1A9A"/>
    <w:rPr>
      <w:rFonts w:ascii="Courier New" w:eastAsia="Times New Roman" w:hAnsi="Courier New" w:cs="Times New Roman"/>
      <w:sz w:val="20"/>
      <w:szCs w:val="20"/>
      <w:lang w:eastAsia="en-US"/>
    </w:rPr>
  </w:style>
  <w:style w:type="character" w:customStyle="1" w:styleId="MenuOption">
    <w:name w:val="Menu Option"/>
    <w:basedOn w:val="DefaultParagraphFont"/>
    <w:rsid w:val="009F1A9A"/>
    <w:rPr>
      <w:b/>
      <w:smallCaps/>
    </w:rPr>
  </w:style>
  <w:style w:type="paragraph" w:customStyle="1" w:styleId="TableListNumber">
    <w:name w:val="Table List Number"/>
    <w:basedOn w:val="ListNumber"/>
    <w:rsid w:val="009F1A9A"/>
    <w:pPr>
      <w:numPr>
        <w:numId w:val="0"/>
      </w:numPr>
    </w:pPr>
  </w:style>
  <w:style w:type="paragraph" w:styleId="TOC4">
    <w:name w:val="toc 4"/>
    <w:basedOn w:val="TOCBase"/>
    <w:next w:val="Normal"/>
    <w:semiHidden/>
    <w:rsid w:val="009F1A9A"/>
    <w:pPr>
      <w:tabs>
        <w:tab w:val="right" w:leader="dot" w:pos="9071"/>
      </w:tabs>
      <w:ind w:left="1701"/>
    </w:pPr>
  </w:style>
  <w:style w:type="paragraph" w:customStyle="1" w:styleId="ListAlpha">
    <w:name w:val="List Alpha"/>
    <w:basedOn w:val="List"/>
    <w:rsid w:val="009F1A9A"/>
    <w:pPr>
      <w:numPr>
        <w:numId w:val="10"/>
      </w:numPr>
    </w:pPr>
  </w:style>
  <w:style w:type="paragraph" w:customStyle="1" w:styleId="ListAlpha2">
    <w:name w:val="List Alpha 2"/>
    <w:basedOn w:val="List2"/>
    <w:rsid w:val="009F1A9A"/>
    <w:pPr>
      <w:numPr>
        <w:numId w:val="9"/>
      </w:numPr>
    </w:pPr>
  </w:style>
  <w:style w:type="paragraph" w:styleId="List2">
    <w:name w:val="List 2"/>
    <w:basedOn w:val="BodyText"/>
    <w:rsid w:val="009F1A9A"/>
    <w:pPr>
      <w:tabs>
        <w:tab w:val="left" w:pos="680"/>
      </w:tabs>
      <w:spacing w:before="60" w:after="60"/>
      <w:ind w:left="680" w:hanging="340"/>
    </w:pPr>
  </w:style>
  <w:style w:type="paragraph" w:styleId="List3">
    <w:name w:val="List 3"/>
    <w:basedOn w:val="BodyText"/>
    <w:rsid w:val="009F1A9A"/>
    <w:pPr>
      <w:tabs>
        <w:tab w:val="left" w:pos="1021"/>
      </w:tabs>
      <w:spacing w:before="60" w:after="60"/>
      <w:ind w:left="1020" w:hanging="340"/>
    </w:pPr>
  </w:style>
  <w:style w:type="paragraph" w:styleId="List4">
    <w:name w:val="List 4"/>
    <w:basedOn w:val="BodyText"/>
    <w:rsid w:val="009F1A9A"/>
    <w:pPr>
      <w:tabs>
        <w:tab w:val="left" w:pos="1361"/>
      </w:tabs>
      <w:spacing w:before="60" w:after="60"/>
      <w:ind w:left="1361" w:hanging="340"/>
    </w:pPr>
  </w:style>
  <w:style w:type="paragraph" w:styleId="List5">
    <w:name w:val="List 5"/>
    <w:basedOn w:val="BodyText"/>
    <w:rsid w:val="009F1A9A"/>
    <w:pPr>
      <w:tabs>
        <w:tab w:val="left" w:pos="1701"/>
      </w:tabs>
      <w:spacing w:before="60" w:after="60"/>
      <w:ind w:left="1701" w:hanging="340"/>
    </w:pPr>
  </w:style>
  <w:style w:type="paragraph" w:styleId="ListBullet4">
    <w:name w:val="List Bullet 4"/>
    <w:basedOn w:val="List4"/>
    <w:rsid w:val="009F1A9A"/>
    <w:pPr>
      <w:numPr>
        <w:numId w:val="4"/>
      </w:numPr>
    </w:pPr>
  </w:style>
  <w:style w:type="paragraph" w:styleId="ListBullet5">
    <w:name w:val="List Bullet 5"/>
    <w:basedOn w:val="List5"/>
    <w:rsid w:val="009F1A9A"/>
    <w:pPr>
      <w:numPr>
        <w:numId w:val="5"/>
      </w:numPr>
    </w:pPr>
  </w:style>
  <w:style w:type="paragraph" w:styleId="ListContinue2">
    <w:name w:val="List Continue 2"/>
    <w:basedOn w:val="List2"/>
    <w:rsid w:val="009F1A9A"/>
    <w:pPr>
      <w:ind w:firstLine="0"/>
    </w:pPr>
  </w:style>
  <w:style w:type="paragraph" w:styleId="ListContinue3">
    <w:name w:val="List Continue 3"/>
    <w:basedOn w:val="List3"/>
    <w:rsid w:val="009F1A9A"/>
    <w:pPr>
      <w:ind w:left="1021" w:firstLine="0"/>
    </w:pPr>
  </w:style>
  <w:style w:type="paragraph" w:styleId="ListContinue4">
    <w:name w:val="List Continue 4"/>
    <w:basedOn w:val="List4"/>
    <w:rsid w:val="009F1A9A"/>
    <w:pPr>
      <w:ind w:firstLine="0"/>
    </w:pPr>
  </w:style>
  <w:style w:type="paragraph" w:styleId="ListContinue5">
    <w:name w:val="List Continue 5"/>
    <w:basedOn w:val="List5"/>
    <w:rsid w:val="009F1A9A"/>
    <w:pPr>
      <w:ind w:firstLine="0"/>
    </w:pPr>
  </w:style>
  <w:style w:type="paragraph" w:styleId="ListNumber3">
    <w:name w:val="List Number 3"/>
    <w:basedOn w:val="List3"/>
    <w:rsid w:val="009F1A9A"/>
    <w:pPr>
      <w:numPr>
        <w:numId w:val="6"/>
      </w:numPr>
    </w:pPr>
  </w:style>
  <w:style w:type="paragraph" w:styleId="ListNumber4">
    <w:name w:val="List Number 4"/>
    <w:basedOn w:val="List4"/>
    <w:rsid w:val="009F1A9A"/>
    <w:pPr>
      <w:numPr>
        <w:numId w:val="7"/>
      </w:numPr>
    </w:pPr>
  </w:style>
  <w:style w:type="paragraph" w:styleId="ListNumber5">
    <w:name w:val="List Number 5"/>
    <w:basedOn w:val="List5"/>
    <w:rsid w:val="009F1A9A"/>
    <w:pPr>
      <w:numPr>
        <w:numId w:val="8"/>
      </w:numPr>
    </w:pPr>
  </w:style>
  <w:style w:type="paragraph" w:styleId="BlockText">
    <w:name w:val="Block Text"/>
    <w:basedOn w:val="Normal"/>
    <w:rsid w:val="009F1A9A"/>
    <w:pPr>
      <w:spacing w:after="120"/>
      <w:ind w:left="1440" w:right="1440"/>
    </w:pPr>
  </w:style>
  <w:style w:type="character" w:customStyle="1" w:styleId="Subscript">
    <w:name w:val="Subscript"/>
    <w:basedOn w:val="DefaultParagraphFont"/>
    <w:rsid w:val="009F1A9A"/>
    <w:rPr>
      <w:sz w:val="16"/>
      <w:vertAlign w:val="subscript"/>
    </w:rPr>
  </w:style>
  <w:style w:type="character" w:customStyle="1" w:styleId="Superscript">
    <w:name w:val="Superscript"/>
    <w:basedOn w:val="DefaultParagraphFont"/>
    <w:rsid w:val="009F1A9A"/>
    <w:rPr>
      <w:sz w:val="16"/>
      <w:vertAlign w:val="superscript"/>
    </w:rPr>
  </w:style>
  <w:style w:type="character" w:customStyle="1" w:styleId="Symbols">
    <w:name w:val="Symbols"/>
    <w:basedOn w:val="DefaultParagraphFont"/>
    <w:rsid w:val="009F1A9A"/>
    <w:rPr>
      <w:rFonts w:ascii="Symbol" w:hAnsi="Symbol"/>
    </w:rPr>
  </w:style>
  <w:style w:type="character" w:customStyle="1" w:styleId="MenuOptions">
    <w:name w:val="Menu Options"/>
    <w:basedOn w:val="DefaultParagraphFont"/>
    <w:rsid w:val="009F1A9A"/>
    <w:rPr>
      <w:rFonts w:ascii="Arial Narrow" w:hAnsi="Arial Narrow"/>
      <w:smallCaps/>
    </w:rPr>
  </w:style>
  <w:style w:type="character" w:customStyle="1" w:styleId="Buttons">
    <w:name w:val="Buttons"/>
    <w:basedOn w:val="DefaultParagraphFont"/>
    <w:rsid w:val="009F1A9A"/>
    <w:rPr>
      <w:b/>
    </w:rPr>
  </w:style>
  <w:style w:type="character" w:customStyle="1" w:styleId="Underlined">
    <w:name w:val="Underlined"/>
    <w:basedOn w:val="DefaultParagraphFont"/>
    <w:rsid w:val="009F1A9A"/>
    <w:rPr>
      <w:u w:val="single"/>
    </w:rPr>
  </w:style>
  <w:style w:type="paragraph" w:customStyle="1" w:styleId="TableBodyTextRight">
    <w:name w:val="Table Body Text Right"/>
    <w:basedOn w:val="TableBodyText"/>
    <w:rsid w:val="009F1A9A"/>
    <w:pPr>
      <w:widowControl w:val="0"/>
      <w:autoSpaceDE w:val="0"/>
      <w:autoSpaceDN w:val="0"/>
      <w:adjustRightInd w:val="0"/>
      <w:jc w:val="right"/>
    </w:pPr>
    <w:rPr>
      <w:rFonts w:cs="Arial"/>
      <w:szCs w:val="18"/>
    </w:rPr>
  </w:style>
  <w:style w:type="paragraph" w:customStyle="1" w:styleId="CopyrightText">
    <w:name w:val="Copyright Text"/>
    <w:basedOn w:val="BodyText"/>
    <w:rsid w:val="009F1A9A"/>
    <w:rPr>
      <w:sz w:val="18"/>
    </w:rPr>
  </w:style>
  <w:style w:type="paragraph" w:customStyle="1" w:styleId="BodySmallRight">
    <w:name w:val="Body Small Right"/>
    <w:basedOn w:val="BodyTextRight"/>
    <w:rsid w:val="009F1A9A"/>
    <w:rPr>
      <w:sz w:val="18"/>
      <w:szCs w:val="18"/>
    </w:rPr>
  </w:style>
  <w:style w:type="paragraph" w:customStyle="1" w:styleId="MarginEdition">
    <w:name w:val="Margin Edition"/>
    <w:basedOn w:val="MarginNote"/>
    <w:rsid w:val="009F1A9A"/>
    <w:pPr>
      <w:spacing w:before="0" w:after="0"/>
    </w:pPr>
    <w:rPr>
      <w:rFonts w:ascii="Times New Roman" w:hAnsi="Times New Roman"/>
      <w:color w:val="999999"/>
    </w:rPr>
  </w:style>
  <w:style w:type="paragraph" w:customStyle="1" w:styleId="Spacer">
    <w:name w:val="Spacer"/>
    <w:basedOn w:val="Normal"/>
    <w:rsid w:val="009F1A9A"/>
    <w:rPr>
      <w:sz w:val="2"/>
      <w:szCs w:val="2"/>
    </w:rPr>
  </w:style>
  <w:style w:type="character" w:customStyle="1" w:styleId="Small">
    <w:name w:val="Small"/>
    <w:basedOn w:val="DefaultParagraphFont"/>
    <w:rsid w:val="009F1A9A"/>
    <w:rPr>
      <w:sz w:val="16"/>
    </w:rPr>
  </w:style>
  <w:style w:type="paragraph" w:customStyle="1" w:styleId="WideTable">
    <w:name w:val="Wide Table"/>
    <w:basedOn w:val="Normal"/>
    <w:rsid w:val="009F1A9A"/>
    <w:pPr>
      <w:ind w:left="-1418"/>
    </w:pPr>
    <w:rPr>
      <w:sz w:val="2"/>
      <w:szCs w:val="2"/>
    </w:rPr>
  </w:style>
  <w:style w:type="character" w:styleId="PageNumber">
    <w:name w:val="page number"/>
    <w:basedOn w:val="DefaultParagraphFont"/>
    <w:rsid w:val="009F1A9A"/>
  </w:style>
  <w:style w:type="paragraph" w:styleId="Quote">
    <w:name w:val="Quote"/>
    <w:basedOn w:val="Heading1"/>
    <w:link w:val="QuoteChar"/>
    <w:qFormat/>
    <w:rsid w:val="009F1A9A"/>
    <w:rPr>
      <w:b w:val="0"/>
      <w:sz w:val="72"/>
      <w:szCs w:val="72"/>
      <w:lang w:val="en-NZ"/>
    </w:rPr>
  </w:style>
  <w:style w:type="character" w:customStyle="1" w:styleId="QuoteChar">
    <w:name w:val="Quote Char"/>
    <w:basedOn w:val="DefaultParagraphFont"/>
    <w:link w:val="Quote"/>
    <w:rsid w:val="009F1A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A9A"/>
    <w:pPr>
      <w:pageBreakBefore/>
    </w:pPr>
  </w:style>
  <w:style w:type="paragraph" w:customStyle="1" w:styleId="Border">
    <w:name w:val="Border"/>
    <w:basedOn w:val="Normal"/>
    <w:qFormat/>
    <w:rsid w:val="009F1A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A9A"/>
    <w:rPr>
      <w:b/>
      <w:bCs/>
      <w:i/>
      <w:iCs/>
      <w:color w:val="auto"/>
    </w:rPr>
  </w:style>
  <w:style w:type="paragraph" w:styleId="IntenseQuote">
    <w:name w:val="Intense Quote"/>
    <w:basedOn w:val="Normal"/>
    <w:next w:val="Normal"/>
    <w:link w:val="IntenseQuoteChar"/>
    <w:uiPriority w:val="30"/>
    <w:qFormat/>
    <w:rsid w:val="009F1A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A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A9A"/>
    <w:rPr>
      <w:smallCaps/>
      <w:color w:val="auto"/>
      <w:u w:val="single"/>
    </w:rPr>
  </w:style>
  <w:style w:type="character" w:styleId="IntenseReference">
    <w:name w:val="Intense Reference"/>
    <w:basedOn w:val="DefaultParagraphFont"/>
    <w:uiPriority w:val="32"/>
    <w:qFormat/>
    <w:rsid w:val="009F1A9A"/>
    <w:rPr>
      <w:b/>
      <w:bCs/>
      <w:smallCaps/>
      <w:color w:val="auto"/>
      <w:spacing w:val="5"/>
      <w:u w:val="single"/>
    </w:rPr>
  </w:style>
  <w:style w:type="paragraph" w:customStyle="1" w:styleId="2ColumnHeading">
    <w:name w:val="2Column Heading"/>
    <w:basedOn w:val="BodyText"/>
    <w:qFormat/>
    <w:rsid w:val="009F1A9A"/>
    <w:pPr>
      <w:spacing w:after="60"/>
      <w:ind w:left="-2268"/>
    </w:pPr>
    <w:rPr>
      <w:b/>
    </w:rPr>
  </w:style>
  <w:style w:type="paragraph" w:customStyle="1" w:styleId="Heading1TOC">
    <w:name w:val="Heading1 TOC"/>
    <w:basedOn w:val="Normal"/>
    <w:qFormat/>
    <w:rsid w:val="009F1A9A"/>
    <w:pPr>
      <w:spacing w:before="240" w:after="120"/>
    </w:pPr>
    <w:rPr>
      <w:rFonts w:ascii="Times New Roman" w:hAnsi="Times New Roman"/>
      <w:b/>
      <w:sz w:val="32"/>
    </w:rPr>
  </w:style>
  <w:style w:type="paragraph" w:customStyle="1" w:styleId="Heading2TOC">
    <w:name w:val="Heading2 TOC"/>
    <w:basedOn w:val="Normal"/>
    <w:qFormat/>
    <w:rsid w:val="009F1A9A"/>
    <w:pPr>
      <w:spacing w:before="240" w:after="60"/>
    </w:pPr>
    <w:rPr>
      <w:rFonts w:ascii="Times New Roman" w:hAnsi="Times New Roman"/>
      <w:b/>
      <w:sz w:val="28"/>
    </w:rPr>
  </w:style>
  <w:style w:type="character" w:customStyle="1" w:styleId="Underline">
    <w:name w:val="Underline"/>
    <w:basedOn w:val="DefaultParagraphFont"/>
    <w:qFormat/>
    <w:rsid w:val="009F1A9A"/>
    <w:rPr>
      <w:u w:val="single"/>
    </w:rPr>
  </w:style>
  <w:style w:type="character" w:customStyle="1" w:styleId="BoldandItalics">
    <w:name w:val="Bold and Italics"/>
    <w:qFormat/>
    <w:rsid w:val="009F1A9A"/>
    <w:rPr>
      <w:b/>
      <w:i/>
      <w:u w:val="none"/>
    </w:rPr>
  </w:style>
  <w:style w:type="paragraph" w:styleId="BalloonText">
    <w:name w:val="Balloon Text"/>
    <w:basedOn w:val="Normal"/>
    <w:link w:val="BalloonTextChar"/>
    <w:rsid w:val="009F1A9A"/>
    <w:rPr>
      <w:rFonts w:ascii="Tahoma" w:hAnsi="Tahoma" w:cs="Tahoma"/>
      <w:sz w:val="16"/>
      <w:szCs w:val="16"/>
    </w:rPr>
  </w:style>
  <w:style w:type="character" w:customStyle="1" w:styleId="BalloonTextChar">
    <w:name w:val="Balloon Text Char"/>
    <w:basedOn w:val="DefaultParagraphFont"/>
    <w:link w:val="BalloonText"/>
    <w:rsid w:val="009F1A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A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1A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A9A"/>
    <w:rPr>
      <w:b/>
      <w:color w:val="660033"/>
      <w:spacing w:val="0"/>
    </w:rPr>
  </w:style>
  <w:style w:type="paragraph" w:customStyle="1" w:styleId="Nameditemlist">
    <w:name w:val="Named item list"/>
    <w:basedOn w:val="BodyText"/>
    <w:qFormat/>
    <w:rsid w:val="009F1A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1821</Words>
  <Characters>11855</Characters>
  <Application>Microsoft Office Word</Application>
  <DocSecurity>0</DocSecurity>
  <Lines>405</Lines>
  <Paragraphs>236</Paragraphs>
  <ScaleCrop>false</ScaleCrop>
  <Company>Author-it Software Corporation Ltd.</Company>
  <LinksUpToDate>false</LinksUpToDate>
  <CharactersWithSpaces>13632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HLTHOM608C Provide homeopathic treatment and manage the case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2012-10-05T13:11:00Z</dcterms:created>
  <dcterms:modified xsi:type="dcterms:W3CDTF">2012-10-05T13:11:00Z</dcterms:modified>
</cp:coreProperties>
</file>