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5EB" w:rsidP="000365EB">
      <w:pPr>
        <w:pStyle w:val="Title"/>
      </w:pPr>
      <w:bookmarkStart w:id="0" w:name="_GoBack"/>
      <w:bookmarkEnd w:id="0"/>
      <w:r>
        <w:fldChar w:fldCharType="begin"/>
      </w:r>
      <w:r>
        <w:instrText xml:space="preserve"> TITLE   \* MERGEFORMAT </w:instrText>
      </w:r>
      <w:r>
        <w:fldChar w:fldCharType="separate"/>
      </w:r>
      <w:r>
        <w:t>HLTHOM605C Plan homeopathic treatment strategy</w:t>
      </w:r>
      <w:r>
        <w:fldChar w:fldCharType="end"/>
      </w:r>
    </w:p>
    <w:p w:rsidR="000365EB" w:rsidP="000365EB">
      <w:pPr>
        <w:pStyle w:val="Version"/>
        <w:sectPr w:rsidSect="006C20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01E" w:rsidP="006C201E">
      <w:pPr>
        <w:pStyle w:val="SuperHeading"/>
      </w:pPr>
      <w:r w:rsidRPr="006C201E">
        <w:t>HLTHOM605C Plan homœopathic treatment strategy</w:t>
      </w:r>
    </w:p>
    <w:p w:rsidR="00000000" w:rsidRPr="006C201E" w:rsidP="006C201E">
      <w:pPr>
        <w:pStyle w:val="Heading1"/>
      </w:pPr>
      <w:bookmarkStart w:id="1" w:name="O_271242"/>
      <w:bookmarkEnd w:id="1"/>
      <w:r w:rsidRPr="006C201E">
        <w:t>Modification History</w:t>
      </w:r>
    </w:p>
    <w:p w:rsidR="00000000" w:rsidRPr="006C201E" w:rsidP="006C201E">
      <w:pPr>
        <w:pStyle w:val="BodyText"/>
      </w:pPr>
      <w:r w:rsidRPr="006C201E">
        <w:t>Not Applicable</w:t>
      </w:r>
    </w:p>
    <w:p w:rsidR="00000000" w:rsidRPr="006C201E" w:rsidP="006C201E">
      <w:pPr>
        <w:pStyle w:val="AllowPageBreak"/>
      </w:pPr>
    </w:p>
    <w:p w:rsidR="00000000" w:rsidRPr="006C201E" w:rsidP="006C201E">
      <w:pPr>
        <w:pStyle w:val="Heading1"/>
      </w:pPr>
      <w:bookmarkStart w:id="2" w:name="O_206083"/>
      <w:bookmarkEnd w:id="2"/>
      <w:r w:rsidRPr="006C201E">
        <w:t>Unit Descriptor</w:t>
      </w:r>
    </w:p>
    <w:tbl>
      <w:tblPr>
        <w:tblW w:w="0" w:type="auto"/>
        <w:tblLayout w:type="fixed"/>
        <w:tblCellMar>
          <w:left w:w="62" w:type="dxa"/>
          <w:right w:w="62" w:type="dxa"/>
        </w:tblCellMar>
        <w:tblLook w:val="0000"/>
      </w:tblPr>
      <w:tblGrid>
        <w:gridCol w:w="3338"/>
        <w:gridCol w:w="5218"/>
      </w:tblGrid>
      <w:tr w:rsidTr="000365EB">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t>This unit of competency</w:t>
            </w:r>
            <w:r w:rsidRPr="006C201E">
              <w:t xml:space="preserve"> describes the skills and knowledge required to prepare for treatment of client's and to negotiate a treatment plan with them, according to homœopathic principles and practice</w:t>
            </w:r>
          </w:p>
        </w:tc>
      </w:tr>
    </w:tbl>
    <w:p w:rsidR="000365EB" w:rsidP="006C201E">
      <w:pPr>
        <w:pStyle w:val="BodyText"/>
      </w:pPr>
    </w:p>
    <w:p w:rsidR="000365EB" w:rsidP="006C201E">
      <w:pPr>
        <w:pStyle w:val="BodyText"/>
      </w:pPr>
    </w:p>
    <w:p w:rsidR="00000000" w:rsidRPr="006C201E" w:rsidP="006C201E">
      <w:pPr>
        <w:pStyle w:val="Heading1"/>
      </w:pPr>
      <w:bookmarkStart w:id="3" w:name="O_206085"/>
      <w:bookmarkEnd w:id="3"/>
      <w:r w:rsidRPr="006C201E">
        <w:t>Application of the Unit</w:t>
      </w:r>
    </w:p>
    <w:tbl>
      <w:tblPr>
        <w:tblW w:w="0" w:type="auto"/>
        <w:tblLayout w:type="fixed"/>
        <w:tblCellMar>
          <w:left w:w="62" w:type="dxa"/>
          <w:right w:w="62" w:type="dxa"/>
        </w:tblCellMar>
        <w:tblLook w:val="0000"/>
      </w:tblPr>
      <w:tblGrid>
        <w:gridCol w:w="3349"/>
        <w:gridCol w:w="5207"/>
      </w:tblGrid>
      <w:tr w:rsidTr="000365E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SpecialBold"/>
              </w:rPr>
              <w:t>Application</w:t>
            </w:r>
            <w:r w:rsidRPr="006C201E">
              <w:t xml:space="preserve"> </w:t>
            </w:r>
          </w:p>
        </w:tc>
        <w:tc>
          <w:tcPr>
            <w:tcW w:w="5207"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t>This unit applies to work in homœopathy</w:t>
            </w:r>
          </w:p>
        </w:tc>
      </w:tr>
    </w:tbl>
    <w:p w:rsidR="000365EB" w:rsidP="006C201E">
      <w:pPr>
        <w:pStyle w:val="BodyText"/>
      </w:pPr>
    </w:p>
    <w:p w:rsidR="000365EB" w:rsidP="006C201E">
      <w:pPr>
        <w:pStyle w:val="BodyText"/>
      </w:pPr>
    </w:p>
    <w:p w:rsidR="00000000" w:rsidRPr="006C201E" w:rsidP="006C201E">
      <w:pPr>
        <w:pStyle w:val="Heading1"/>
      </w:pPr>
      <w:bookmarkStart w:id="4" w:name="O_279502"/>
      <w:bookmarkEnd w:id="4"/>
      <w:r w:rsidRPr="006C201E">
        <w:t>Licensing/Regulatory Information</w:t>
      </w:r>
    </w:p>
    <w:p w:rsidR="00000000" w:rsidRPr="006C201E" w:rsidP="006C201E">
      <w:pPr>
        <w:pStyle w:val="BodyText"/>
      </w:pPr>
      <w:r w:rsidRPr="006C201E">
        <w:t>Not Applicable</w:t>
      </w:r>
    </w:p>
    <w:p w:rsidR="00000000" w:rsidRPr="006C201E" w:rsidP="006C201E">
      <w:pPr>
        <w:pStyle w:val="AllowPageBreak"/>
      </w:pPr>
    </w:p>
    <w:p w:rsidR="00000000" w:rsidRPr="006C201E" w:rsidP="006C201E">
      <w:pPr>
        <w:pStyle w:val="Heading1"/>
      </w:pPr>
      <w:bookmarkStart w:id="5" w:name="O_284192"/>
      <w:bookmarkEnd w:id="5"/>
      <w:r w:rsidRPr="006C201E">
        <w:t>Pre-Requisites</w:t>
      </w:r>
    </w:p>
    <w:p w:rsidR="00000000" w:rsidRPr="006C201E" w:rsidP="006C201E">
      <w:pPr>
        <w:pStyle w:val="BodyText"/>
      </w:pPr>
      <w:r w:rsidRPr="006C201E">
        <w:t>Not Applicable</w:t>
      </w:r>
    </w:p>
    <w:p w:rsidR="00000000" w:rsidRPr="006C201E" w:rsidP="006C201E">
      <w:pPr>
        <w:pStyle w:val="AllowPageBreak"/>
      </w:pPr>
    </w:p>
    <w:p w:rsidR="00000000" w:rsidRPr="006C201E" w:rsidP="006C201E">
      <w:pPr>
        <w:pStyle w:val="Heading1"/>
      </w:pPr>
      <w:bookmarkStart w:id="6" w:name="O_206084"/>
      <w:bookmarkEnd w:id="6"/>
      <w:r w:rsidRPr="006C201E">
        <w:t>Employability Skills Information</w:t>
      </w:r>
    </w:p>
    <w:tbl>
      <w:tblPr>
        <w:tblW w:w="0" w:type="auto"/>
        <w:tblLayout w:type="fixed"/>
        <w:tblCellMar>
          <w:left w:w="62" w:type="dxa"/>
          <w:right w:w="62" w:type="dxa"/>
        </w:tblCellMar>
        <w:tblLook w:val="0000"/>
      </w:tblPr>
      <w:tblGrid>
        <w:gridCol w:w="3320"/>
        <w:gridCol w:w="5236"/>
      </w:tblGrid>
      <w:tr w:rsidTr="000365E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t>This unit contains Employability Skills</w:t>
            </w:r>
          </w:p>
        </w:tc>
      </w:tr>
    </w:tbl>
    <w:p w:rsidR="000365EB" w:rsidP="006C201E">
      <w:pPr>
        <w:pStyle w:val="BodyText"/>
      </w:pPr>
    </w:p>
    <w:p w:rsidR="000365EB" w:rsidP="006C201E">
      <w:pPr>
        <w:pStyle w:val="BodyText"/>
      </w:pPr>
    </w:p>
    <w:p w:rsidR="00000000" w:rsidRPr="006C201E" w:rsidP="006C201E">
      <w:pPr>
        <w:pStyle w:val="Heading1"/>
      </w:pPr>
      <w:bookmarkStart w:id="7" w:name="O_289288"/>
      <w:bookmarkEnd w:id="7"/>
      <w:r w:rsidRPr="006C201E">
        <w:t>Elements and Performance Criteria Pre-Content</w:t>
      </w:r>
    </w:p>
    <w:tbl>
      <w:tblPr>
        <w:tblW w:w="0" w:type="auto"/>
        <w:tblLayout w:type="fixed"/>
        <w:tblCellMar>
          <w:left w:w="62" w:type="dxa"/>
          <w:right w:w="62" w:type="dxa"/>
        </w:tblCellMar>
        <w:tblLook w:val="0000"/>
      </w:tblPr>
      <w:tblGrid>
        <w:gridCol w:w="3369"/>
        <w:gridCol w:w="5702"/>
      </w:tblGrid>
      <w:tr w:rsidTr="000365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t>The Performance Criteria specify the level of performance required to demonstrate achi</w:t>
            </w:r>
            <w:r w:rsidRPr="006C201E">
              <w:t xml:space="preserve">evement of the Element. Terms in italics are elaborated in the Range Statement. </w:t>
            </w:r>
          </w:p>
        </w:tc>
      </w:tr>
    </w:tbl>
    <w:p w:rsidR="00000000" w:rsidRPr="006C201E" w:rsidP="006C201E">
      <w:pPr>
        <w:pStyle w:val="BodyText"/>
      </w:pPr>
    </w:p>
    <w:p w:rsidR="00000000" w:rsidRPr="006C201E" w:rsidP="006C201E">
      <w:pPr>
        <w:pStyle w:val="AllowPageBreak"/>
      </w:pPr>
    </w:p>
    <w:p w:rsidR="00000000" w:rsidRPr="006C201E" w:rsidP="006C201E">
      <w:pPr>
        <w:pStyle w:val="Heading1"/>
      </w:pPr>
      <w:bookmarkStart w:id="8" w:name="O_235955"/>
      <w:bookmarkEnd w:id="8"/>
      <w:r w:rsidRPr="006C201E">
        <w:t>Elements and Performance Criteria</w:t>
      </w:r>
    </w:p>
    <w:tbl>
      <w:tblPr>
        <w:tblW w:w="0" w:type="auto"/>
        <w:tblLayout w:type="fixed"/>
        <w:tblCellMar>
          <w:left w:w="62" w:type="dxa"/>
          <w:right w:w="62" w:type="dxa"/>
        </w:tblCellMar>
        <w:tblLook w:val="0000"/>
      </w:tblPr>
      <w:tblGrid>
        <w:gridCol w:w="3369"/>
        <w:gridCol w:w="5702"/>
      </w:tblGrid>
      <w:tr w:rsidTr="000365E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SpecialBold"/>
              </w:rPr>
              <w:t>PERFORMANCE CRITERIA</w:t>
            </w:r>
          </w:p>
        </w:tc>
      </w:tr>
      <w:tr w:rsidTr="000365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201E">
            <w:pPr>
              <w:pStyle w:val="List"/>
              <w:rPr>
                <w:lang w:val="en-NZ"/>
              </w:rPr>
            </w:pPr>
            <w:r w:rsidRPr="006C201E">
              <w:t>1.</w:t>
            </w:r>
            <w:r w:rsidRPr="006C201E">
              <w:tab/>
              <w:t>Determine treatment strategy</w:t>
            </w:r>
          </w:p>
        </w:tc>
        <w:tc>
          <w:tcPr>
            <w:tcW w:w="5702"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t>1.1</w:t>
            </w:r>
            <w:r w:rsidRPr="006C201E">
              <w:tab/>
              <w:t>Determine the treatment strategy according to the homœ</w:t>
            </w:r>
            <w:r w:rsidRPr="006C201E">
              <w:t>opathic diagnosis and the therapeutic needs of the client</w:t>
            </w:r>
          </w:p>
          <w:p w:rsidR="00000000" w:rsidRPr="006C201E" w:rsidP="006C201E">
            <w:pPr>
              <w:pStyle w:val="BodyText"/>
            </w:pPr>
            <w:r w:rsidRPr="006C201E">
              <w:t>1.2</w:t>
            </w:r>
            <w:r w:rsidRPr="006C201E">
              <w:tab/>
              <w:t xml:space="preserve">Ascertain </w:t>
            </w:r>
            <w:r w:rsidRPr="006C201E">
              <w:rPr>
                <w:rStyle w:val="Emphasis"/>
              </w:rPr>
              <w:t>contraindications to treatment</w:t>
            </w:r>
            <w:r w:rsidRPr="006C201E">
              <w:t xml:space="preserve"> and modify treatment strategy according to homœopathic principles</w:t>
            </w:r>
          </w:p>
          <w:p w:rsidR="00000000" w:rsidRPr="006C201E" w:rsidP="006C201E">
            <w:pPr>
              <w:pStyle w:val="BodyText"/>
            </w:pPr>
            <w:r w:rsidRPr="006C201E">
              <w:t>1.3</w:t>
            </w:r>
            <w:r w:rsidRPr="006C201E">
              <w:tab/>
              <w:t>Take into consideration treatment and advice provided by other health care professi</w:t>
            </w:r>
            <w:r w:rsidRPr="006C201E">
              <w:t xml:space="preserve">onals in determining the strategy to be used </w:t>
            </w:r>
          </w:p>
          <w:p w:rsidR="00000000" w:rsidRPr="006C201E" w:rsidP="006C201E">
            <w:pPr>
              <w:pStyle w:val="BodyText"/>
            </w:pPr>
            <w:r w:rsidRPr="006C201E">
              <w:t>1.4</w:t>
            </w:r>
            <w:r w:rsidRPr="006C201E">
              <w:tab/>
              <w:t xml:space="preserve">Select treatment strategy appropriate to the client's </w:t>
            </w:r>
            <w:r w:rsidRPr="006C201E">
              <w:rPr>
                <w:rStyle w:val="Emphasis"/>
              </w:rPr>
              <w:t>phase</w:t>
            </w:r>
            <w:r w:rsidRPr="006C201E">
              <w:t>/</w:t>
            </w:r>
            <w:r w:rsidRPr="006C201E">
              <w:rPr>
                <w:rStyle w:val="Emphasis"/>
              </w:rPr>
              <w:t>stage of disease</w:t>
            </w:r>
            <w:r w:rsidRPr="006C201E">
              <w:t xml:space="preserve"> </w:t>
            </w:r>
          </w:p>
          <w:p w:rsidR="00000000" w:rsidRPr="006C201E" w:rsidP="006C201E">
            <w:pPr>
              <w:pStyle w:val="BodyText"/>
            </w:pPr>
            <w:r w:rsidRPr="006C201E">
              <w:t>1.5</w:t>
            </w:r>
            <w:r w:rsidRPr="006C201E">
              <w:tab/>
              <w:t xml:space="preserve">Take into consideration possible client </w:t>
            </w:r>
            <w:r w:rsidRPr="006C201E">
              <w:rPr>
                <w:rStyle w:val="Emphasis"/>
              </w:rPr>
              <w:t>compliance issues</w:t>
            </w:r>
            <w:r w:rsidRPr="006C201E">
              <w:t xml:space="preserve"> in specific treatment options </w:t>
            </w:r>
          </w:p>
          <w:p w:rsidR="00000000" w:rsidRPr="006C201E" w:rsidP="006C201E">
            <w:pPr>
              <w:pStyle w:val="BodyText"/>
            </w:pPr>
            <w:r w:rsidRPr="006C201E">
              <w:t>1.6</w:t>
            </w:r>
            <w:r w:rsidRPr="006C201E">
              <w:tab/>
              <w:t xml:space="preserve">Select </w:t>
            </w:r>
            <w:r w:rsidRPr="006C201E">
              <w:rPr>
                <w:rStyle w:val="Emphasis"/>
              </w:rPr>
              <w:t>medicines</w:t>
            </w:r>
            <w:r w:rsidRPr="006C201E">
              <w:t xml:space="preserve"> according to t</w:t>
            </w:r>
            <w:r w:rsidRPr="006C201E">
              <w:t xml:space="preserve">he law </w:t>
            </w:r>
            <w:r w:rsidRPr="006C201E">
              <w:rPr>
                <w:rStyle w:val="Emphasis"/>
              </w:rPr>
              <w:t>of similars</w:t>
            </w:r>
            <w:r w:rsidRPr="006C201E">
              <w:t xml:space="preserve"> and on the basis of established homœopathic clinical practice</w:t>
            </w:r>
          </w:p>
          <w:p w:rsidR="00000000" w:rsidRPr="006C201E" w:rsidP="006C201E">
            <w:pPr>
              <w:pStyle w:val="BodyText"/>
            </w:pPr>
            <w:r w:rsidRPr="006C201E">
              <w:t>1.7</w:t>
            </w:r>
            <w:r w:rsidRPr="006C201E">
              <w:tab/>
              <w:t xml:space="preserve">Select the most appropriate </w:t>
            </w:r>
            <w:r w:rsidRPr="006C201E">
              <w:rPr>
                <w:rStyle w:val="Emphasis"/>
              </w:rPr>
              <w:t>posology</w:t>
            </w:r>
            <w:r w:rsidRPr="006C201E">
              <w:t xml:space="preserve"> </w:t>
            </w:r>
          </w:p>
          <w:p w:rsidR="00000000" w:rsidP="006C201E">
            <w:pPr>
              <w:pStyle w:val="BodyText"/>
              <w:rPr>
                <w:lang w:val="en-NZ"/>
              </w:rPr>
            </w:pPr>
            <w:r w:rsidRPr="006C201E">
              <w:t>1.8</w:t>
            </w:r>
            <w:r w:rsidRPr="006C201E">
              <w:tab/>
              <w:t xml:space="preserve">Select the most appropriate </w:t>
            </w:r>
            <w:r w:rsidRPr="006C201E">
              <w:rPr>
                <w:rStyle w:val="Emphasis"/>
              </w:rPr>
              <w:t>administration method</w:t>
            </w:r>
            <w:r w:rsidRPr="006C201E">
              <w:t xml:space="preserve"> </w:t>
            </w:r>
          </w:p>
        </w:tc>
      </w:tr>
      <w:tr w:rsidTr="000365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201E">
            <w:pPr>
              <w:pStyle w:val="List"/>
              <w:rPr>
                <w:lang w:val="en-NZ"/>
              </w:rPr>
            </w:pPr>
            <w:r w:rsidRPr="006C201E">
              <w:t>2.</w:t>
            </w:r>
            <w:r w:rsidRPr="006C201E">
              <w:tab/>
              <w:t>Formulate a plan to identify and manage obstacles to cure</w:t>
            </w:r>
          </w:p>
        </w:tc>
        <w:tc>
          <w:tcPr>
            <w:tcW w:w="5702"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t>2.1</w:t>
            </w:r>
            <w:r w:rsidRPr="006C201E">
              <w:tab/>
            </w:r>
            <w:r w:rsidRPr="006C201E">
              <w:t xml:space="preserve">Identify and assess </w:t>
            </w:r>
            <w:r w:rsidRPr="006C201E">
              <w:rPr>
                <w:rStyle w:val="Emphasis"/>
              </w:rPr>
              <w:t>obstacles to cure</w:t>
            </w:r>
            <w:r w:rsidRPr="006C201E">
              <w:t xml:space="preserve"> </w:t>
            </w:r>
          </w:p>
          <w:p w:rsidR="00000000" w:rsidRPr="006C201E" w:rsidP="006C201E">
            <w:pPr>
              <w:pStyle w:val="BodyText"/>
            </w:pPr>
            <w:r w:rsidRPr="006C201E">
              <w:t>2.2</w:t>
            </w:r>
            <w:r w:rsidRPr="006C201E">
              <w:tab/>
              <w:t xml:space="preserve">Negotiate </w:t>
            </w:r>
            <w:r w:rsidRPr="006C201E">
              <w:rPr>
                <w:rStyle w:val="Emphasis"/>
              </w:rPr>
              <w:t>dietary modifications</w:t>
            </w:r>
            <w:r w:rsidRPr="006C201E">
              <w:t>, if appropriate</w:t>
            </w:r>
          </w:p>
          <w:p w:rsidR="00000000" w:rsidP="006C201E">
            <w:pPr>
              <w:pStyle w:val="BodyText"/>
              <w:rPr>
                <w:lang w:val="en-NZ"/>
              </w:rPr>
            </w:pPr>
            <w:r w:rsidRPr="006C201E">
              <w:t>2.3</w:t>
            </w:r>
            <w:r w:rsidRPr="006C201E">
              <w:tab/>
              <w:t xml:space="preserve">Negotiate </w:t>
            </w:r>
            <w:r w:rsidRPr="006C201E">
              <w:rPr>
                <w:rStyle w:val="Emphasis"/>
              </w:rPr>
              <w:t>lifestyle modifications</w:t>
            </w:r>
            <w:r w:rsidRPr="006C201E">
              <w:t>, if appropriate</w:t>
            </w:r>
          </w:p>
        </w:tc>
      </w:tr>
      <w:tr w:rsidTr="000365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201E">
            <w:pPr>
              <w:pStyle w:val="List"/>
              <w:rPr>
                <w:lang w:val="en-NZ"/>
              </w:rPr>
            </w:pPr>
            <w:r w:rsidRPr="006C201E">
              <w:t>3.</w:t>
            </w:r>
            <w:r w:rsidRPr="006C201E">
              <w:tab/>
              <w:t>Discuss the treatment strategy with the client</w:t>
            </w:r>
          </w:p>
        </w:tc>
        <w:tc>
          <w:tcPr>
            <w:tcW w:w="5702"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t>3.1</w:t>
            </w:r>
            <w:r w:rsidRPr="006C201E">
              <w:tab/>
              <w:t>Allocate sufficient time to discuss the treatment str</w:t>
            </w:r>
            <w:r w:rsidRPr="006C201E">
              <w:t xml:space="preserve">ategy, appropriate to the client's needs </w:t>
            </w:r>
          </w:p>
          <w:p w:rsidR="00000000" w:rsidRPr="006C201E" w:rsidP="006C201E">
            <w:pPr>
              <w:pStyle w:val="BodyText"/>
            </w:pPr>
            <w:r w:rsidRPr="006C201E">
              <w:t>3.2</w:t>
            </w:r>
            <w:r w:rsidRPr="006C201E">
              <w:tab/>
              <w:t xml:space="preserve">Negotiate </w:t>
            </w:r>
            <w:r w:rsidRPr="006C201E">
              <w:rPr>
                <w:rStyle w:val="Emphasis"/>
              </w:rPr>
              <w:t>client compliance</w:t>
            </w:r>
            <w:r w:rsidRPr="006C201E">
              <w:t xml:space="preserve"> </w:t>
            </w:r>
          </w:p>
          <w:p w:rsidR="00000000" w:rsidRPr="006C201E" w:rsidP="006C201E">
            <w:pPr>
              <w:pStyle w:val="BodyText"/>
            </w:pPr>
            <w:r w:rsidRPr="006C201E">
              <w:t>3.3</w:t>
            </w:r>
            <w:r w:rsidRPr="006C201E">
              <w:tab/>
              <w:t xml:space="preserve">Clarify </w:t>
            </w:r>
            <w:r w:rsidRPr="006C201E">
              <w:rPr>
                <w:rStyle w:val="Emphasis"/>
              </w:rPr>
              <w:t>discrepancies</w:t>
            </w:r>
            <w:r w:rsidRPr="006C201E">
              <w:t xml:space="preserve"> between the practitioner's and the client's perception of the condition and therapeutic expectations </w:t>
            </w:r>
          </w:p>
          <w:p w:rsidR="00000000" w:rsidRPr="006C201E" w:rsidP="006C201E">
            <w:pPr>
              <w:pStyle w:val="BodyText"/>
            </w:pPr>
            <w:r w:rsidRPr="006C201E">
              <w:t>3.4</w:t>
            </w:r>
            <w:r w:rsidRPr="006C201E">
              <w:tab/>
              <w:t xml:space="preserve">Communicate relevant information from medical or </w:t>
            </w:r>
            <w:r w:rsidRPr="006C201E">
              <w:t>diagnostic reports where appropriate</w:t>
            </w:r>
          </w:p>
          <w:p w:rsidR="00000000" w:rsidRPr="006C201E" w:rsidP="006C201E">
            <w:pPr>
              <w:pStyle w:val="BodyText"/>
            </w:pPr>
            <w:r w:rsidRPr="006C201E">
              <w:t>3.5</w:t>
            </w:r>
            <w:r w:rsidRPr="006C201E">
              <w:tab/>
              <w:t xml:space="preserve">Clarify </w:t>
            </w:r>
            <w:r w:rsidRPr="006C201E">
              <w:rPr>
                <w:rStyle w:val="Emphasis"/>
              </w:rPr>
              <w:t>responsibilities of practitioner and client</w:t>
            </w:r>
            <w:r w:rsidRPr="006C201E">
              <w:t xml:space="preserve"> within the treatment plan </w:t>
            </w:r>
          </w:p>
          <w:p w:rsidR="00000000" w:rsidRPr="006C201E" w:rsidP="006C201E">
            <w:pPr>
              <w:pStyle w:val="BodyText"/>
            </w:pPr>
            <w:r w:rsidRPr="006C201E">
              <w:t>3.6</w:t>
            </w:r>
            <w:r w:rsidRPr="006C201E">
              <w:tab/>
              <w:t xml:space="preserve">Negotiate the management of selected treatment in relation to any other current therapies </w:t>
            </w:r>
          </w:p>
          <w:p w:rsidR="00000000" w:rsidRPr="006C201E" w:rsidP="006C201E">
            <w:pPr>
              <w:pStyle w:val="BodyText"/>
            </w:pPr>
            <w:r w:rsidRPr="006C201E">
              <w:t>3.7</w:t>
            </w:r>
            <w:r w:rsidRPr="006C201E">
              <w:tab/>
              <w:t xml:space="preserve">Discuss </w:t>
            </w:r>
            <w:r w:rsidRPr="006C201E">
              <w:rPr>
                <w:rStyle w:val="Emphasis"/>
              </w:rPr>
              <w:t>treatment evaluation</w:t>
            </w:r>
            <w:r w:rsidRPr="006C201E">
              <w:t>/</w:t>
            </w:r>
            <w:r w:rsidRPr="006C201E">
              <w:rPr>
                <w:rStyle w:val="Emphasis"/>
              </w:rPr>
              <w:t>follow u</w:t>
            </w:r>
            <w:r w:rsidRPr="006C201E">
              <w:rPr>
                <w:rStyle w:val="Emphasis"/>
              </w:rPr>
              <w:t>p strategies</w:t>
            </w:r>
            <w:r w:rsidRPr="006C201E">
              <w:t xml:space="preserve"> </w:t>
            </w:r>
          </w:p>
        </w:tc>
      </w:tr>
    </w:tbl>
    <w:p w:rsidR="000365EB" w:rsidP="006C201E">
      <w:pPr>
        <w:pStyle w:val="BodyText"/>
      </w:pPr>
    </w:p>
    <w:p w:rsidR="000365EB" w:rsidP="006C201E">
      <w:pPr>
        <w:pStyle w:val="BodyText"/>
      </w:pPr>
    </w:p>
    <w:p w:rsidR="00000000" w:rsidRPr="006C201E" w:rsidP="006C201E">
      <w:pPr>
        <w:pStyle w:val="Heading1"/>
      </w:pPr>
      <w:bookmarkStart w:id="9" w:name="O_259905"/>
      <w:bookmarkEnd w:id="9"/>
      <w:r w:rsidRPr="006C201E">
        <w:t>Required Skills and Knowledge</w:t>
      </w:r>
    </w:p>
    <w:tbl>
      <w:tblPr>
        <w:tblW w:w="0" w:type="auto"/>
        <w:tblLayout w:type="fixed"/>
        <w:tblCellMar>
          <w:left w:w="62" w:type="dxa"/>
          <w:right w:w="62" w:type="dxa"/>
        </w:tblCellMar>
        <w:tblLook w:val="0000"/>
      </w:tblPr>
      <w:tblGrid>
        <w:gridCol w:w="9072"/>
      </w:tblGrid>
      <w:tr w:rsidTr="000365E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SpecialBold"/>
              </w:rPr>
              <w:t>REQUIRED SKILLS AND KNOWLEDGE</w:t>
            </w:r>
          </w:p>
        </w:tc>
      </w:tr>
      <w:tr w:rsidTr="00036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t>This describes the essential skills and knowledge and their level required for this unit.</w:t>
            </w:r>
          </w:p>
        </w:tc>
      </w:tr>
      <w:tr w:rsidTr="00036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rPr>
                <w:rStyle w:val="Emphasis"/>
              </w:rPr>
              <w:t>Essential knowledge</w:t>
            </w:r>
            <w:r w:rsidRPr="006C201E">
              <w:t>:</w:t>
            </w:r>
          </w:p>
          <w:p w:rsidR="00000000" w:rsidRPr="006C201E" w:rsidP="006C201E">
            <w:pPr>
              <w:pStyle w:val="BodyText"/>
            </w:pPr>
            <w:r w:rsidRPr="006C201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C201E" w:rsidP="006C201E">
            <w:pPr>
              <w:pStyle w:val="BodyText"/>
            </w:pPr>
            <w:r w:rsidRPr="006C201E">
              <w:t xml:space="preserve">This includes </w:t>
            </w:r>
            <w:r w:rsidRPr="006C201E">
              <w:t>knowledge of:</w:t>
            </w:r>
          </w:p>
          <w:p w:rsidR="00000000" w:rsidRPr="006C201E" w:rsidP="006C201E">
            <w:pPr>
              <w:pStyle w:val="ListBullet"/>
            </w:pPr>
            <w:r w:rsidRPr="006C201E">
              <w:t xml:space="preserve">Anatomy and physiology </w:t>
            </w:r>
          </w:p>
          <w:p w:rsidR="00000000" w:rsidRPr="006C201E" w:rsidP="006C201E">
            <w:pPr>
              <w:pStyle w:val="ListBullet"/>
            </w:pPr>
            <w:r w:rsidRPr="006C201E">
              <w:t>Appropriate methods of administration of homœopathic medicines</w:t>
            </w:r>
          </w:p>
          <w:p w:rsidR="00000000" w:rsidRPr="006C201E" w:rsidP="006C201E">
            <w:pPr>
              <w:pStyle w:val="ListBullet"/>
            </w:pPr>
            <w:r w:rsidRPr="006C201E">
              <w:t>Basic nutritional requirements for the various ages and stages of life</w:t>
            </w:r>
          </w:p>
          <w:p w:rsidR="00000000" w:rsidRPr="006C201E" w:rsidP="006C201E">
            <w:pPr>
              <w:pStyle w:val="ListBullet"/>
            </w:pPr>
            <w:r w:rsidRPr="006C201E">
              <w:t>Community resources and support services</w:t>
            </w:r>
          </w:p>
          <w:p w:rsidR="00000000" w:rsidRPr="006C201E" w:rsidP="006C201E">
            <w:pPr>
              <w:pStyle w:val="ListBullet"/>
            </w:pPr>
            <w:r w:rsidRPr="006C201E">
              <w:t>Contraindications of treatment and obstacle</w:t>
            </w:r>
            <w:r w:rsidRPr="006C201E">
              <w:t>s to cure</w:t>
            </w:r>
          </w:p>
          <w:p w:rsidR="00000000" w:rsidRPr="006C201E" w:rsidP="006C201E">
            <w:pPr>
              <w:pStyle w:val="ListBullet"/>
            </w:pPr>
            <w:r w:rsidRPr="006C201E">
              <w:t>Current state and federal medical Acts and notifiable diseases legislation</w:t>
            </w:r>
          </w:p>
          <w:p w:rsidR="00000000" w:rsidRPr="006C201E" w:rsidP="006C201E">
            <w:pPr>
              <w:pStyle w:val="ListBullet"/>
            </w:pPr>
            <w:r w:rsidRPr="006C201E">
              <w:t>Demonstrated sound philosophical logic and knowledge of clinical medicine and the pathophysiological process that could inhibit and/or hinder selected treatment</w:t>
            </w:r>
          </w:p>
          <w:p w:rsidR="00000000" w:rsidRPr="006C201E" w:rsidP="006C201E">
            <w:pPr>
              <w:pStyle w:val="ListBullet"/>
            </w:pPr>
            <w:r w:rsidRPr="006C201E">
              <w:t>Dietary re</w:t>
            </w:r>
            <w:r w:rsidRPr="006C201E">
              <w:t>quirements of particular conditions and diseases</w:t>
            </w:r>
          </w:p>
          <w:p w:rsidR="00000000" w:rsidRPr="006C201E" w:rsidP="006C201E">
            <w:pPr>
              <w:pStyle w:val="ListBullet"/>
            </w:pPr>
            <w:r w:rsidRPr="006C201E">
              <w:t xml:space="preserve">Disease processes </w:t>
            </w:r>
          </w:p>
          <w:p w:rsidR="00000000" w:rsidRPr="006C201E" w:rsidP="006C201E">
            <w:pPr>
              <w:pStyle w:val="ListBullet"/>
            </w:pPr>
            <w:r w:rsidRPr="006C201E">
              <w:t>Homœopathic medicines for a range of common diseases or conditions</w:t>
            </w:r>
          </w:p>
          <w:p w:rsidR="00000000" w:rsidRPr="006C201E" w:rsidP="006C201E">
            <w:pPr>
              <w:pStyle w:val="ListBullet"/>
            </w:pPr>
            <w:r w:rsidRPr="006C201E">
              <w:t xml:space="preserve">How to assess a medical emergency  </w:t>
            </w:r>
          </w:p>
          <w:p w:rsidR="00000000" w:rsidRPr="006C201E" w:rsidP="006C201E">
            <w:pPr>
              <w:pStyle w:val="ListBullet"/>
            </w:pPr>
            <w:r w:rsidRPr="006C201E">
              <w:t>Lifestyle factors conducive to good health</w:t>
            </w:r>
          </w:p>
          <w:p w:rsidR="00000000" w:rsidRPr="006C201E" w:rsidP="006C201E">
            <w:pPr>
              <w:pStyle w:val="ListBullet"/>
            </w:pPr>
            <w:r w:rsidRPr="006C201E">
              <w:t>Lifestyle factors relevant to treatment of</w:t>
            </w:r>
            <w:r w:rsidRPr="006C201E">
              <w:t xml:space="preserve"> specific conditions and diseases</w:t>
            </w:r>
          </w:p>
          <w:p w:rsidR="00000000" w:rsidRPr="006C201E" w:rsidP="006C201E">
            <w:pPr>
              <w:pStyle w:val="ListBullet"/>
            </w:pPr>
            <w:r w:rsidRPr="006C201E">
              <w:t>Materia medica of sufficien</w:t>
            </w:r>
            <w:r w:rsidRPr="006C201E">
              <w:t xml:space="preserve">t scope and depth (derivation of data, systems of classification, keynotes, clinical indications) to enable accurate differentiation of indicated medicines in a broad range of acute and chronic conditions </w:t>
            </w:r>
          </w:p>
          <w:p w:rsidR="00000000" w:rsidRPr="006C201E" w:rsidP="006C201E">
            <w:pPr>
              <w:pStyle w:val="ListBullet"/>
            </w:pPr>
            <w:r w:rsidRPr="006C201E">
              <w:t>Medical tests and diagnostic procedures</w:t>
            </w:r>
          </w:p>
          <w:p w:rsidR="00000000" w:rsidRPr="006C201E" w:rsidP="006C201E">
            <w:pPr>
              <w:pStyle w:val="ListBullet"/>
            </w:pPr>
            <w:r w:rsidRPr="006C201E">
              <w:t xml:space="preserve">Miasmatic </w:t>
            </w:r>
            <w:r w:rsidRPr="006C201E">
              <w:t>nature of homœopathic symptomatology</w:t>
            </w:r>
          </w:p>
          <w:p w:rsidR="00000000" w:rsidRPr="006C201E" w:rsidP="006C201E">
            <w:pPr>
              <w:pStyle w:val="ListBullet"/>
            </w:pPr>
            <w:r w:rsidRPr="006C201E">
              <w:t>Pathophysiology and aetiology of disease</w:t>
            </w:r>
          </w:p>
          <w:p w:rsidR="00000000" w:rsidRPr="006C201E" w:rsidP="006C201E">
            <w:pPr>
              <w:pStyle w:val="ListBullet"/>
            </w:pPr>
            <w:r w:rsidRPr="006C201E">
              <w:t>Posology</w:t>
            </w:r>
          </w:p>
          <w:p w:rsidR="00000000" w:rsidRPr="006C201E" w:rsidP="006C201E">
            <w:pPr>
              <w:pStyle w:val="ListBullet"/>
            </w:pPr>
            <w:r w:rsidRPr="006C201E">
              <w:t>Potencies (decimal, centesimal, LM/Q) and mother tincture</w:t>
            </w:r>
          </w:p>
          <w:p w:rsidR="00000000" w:rsidRPr="006C201E" w:rsidP="006C201E">
            <w:pPr>
              <w:pStyle w:val="ListBullet"/>
            </w:pPr>
            <w:r w:rsidRPr="006C201E">
              <w:t>Potential impact on children of volume of alcohol component in the homœopathic medicine</w:t>
            </w:r>
          </w:p>
          <w:p w:rsidR="00000000" w:rsidRPr="006C201E" w:rsidP="006C201E">
            <w:pPr>
              <w:pStyle w:val="ListBullet"/>
            </w:pPr>
            <w:r w:rsidRPr="006C201E">
              <w:t xml:space="preserve">Proving methods from a </w:t>
            </w:r>
            <w:r w:rsidRPr="006C201E">
              <w:t>variety of sources.</w:t>
            </w:r>
          </w:p>
          <w:p w:rsidR="00000000" w:rsidRPr="006C201E" w:rsidP="006C201E">
            <w:pPr>
              <w:pStyle w:val="ListBullet"/>
            </w:pPr>
            <w:r w:rsidRPr="006C201E">
              <w:t>Recommendations made by Hahnemann and others for protection against depotentising the medicines</w:t>
            </w:r>
          </w:p>
          <w:p w:rsidR="00000000" w:rsidRPr="006C201E" w:rsidP="006C201E">
            <w:pPr>
              <w:pStyle w:val="ListBullet"/>
            </w:pPr>
            <w:r w:rsidRPr="006C201E">
              <w:t xml:space="preserve">The possible reactions to a homœopathic medicine in the phase/stage of disease </w:t>
            </w:r>
          </w:p>
          <w:p w:rsidR="00000000" w:rsidRPr="006C201E" w:rsidP="006C201E">
            <w:pPr>
              <w:pStyle w:val="ListBullet"/>
            </w:pPr>
            <w:r w:rsidRPr="006C201E">
              <w:t>The presenting phase of disease and whether that phase is tr</w:t>
            </w:r>
            <w:r w:rsidRPr="006C201E">
              <w:t>eatable with homœopathy</w:t>
            </w:r>
          </w:p>
          <w:p w:rsidR="00000000" w:rsidRPr="006C201E" w:rsidP="006C201E">
            <w:pPr>
              <w:pStyle w:val="ListBullet"/>
            </w:pPr>
            <w:r w:rsidRPr="006C201E">
              <w:t xml:space="preserve">The principles of homœopathic case analysis, prescribing, and case management </w:t>
            </w:r>
          </w:p>
          <w:p w:rsidR="00000000" w:rsidRPr="006C201E" w:rsidP="006C201E">
            <w:pPr>
              <w:pStyle w:val="ListBullet"/>
            </w:pPr>
            <w:r w:rsidRPr="006C201E">
              <w:t xml:space="preserve">The underlying condition, including knowledge of pathology </w:t>
            </w:r>
          </w:p>
          <w:p w:rsidR="00000000" w:rsidRPr="006C201E" w:rsidP="006C201E">
            <w:pPr>
              <w:pStyle w:val="ListBullet"/>
            </w:pPr>
            <w:r w:rsidRPr="006C201E">
              <w:t>The use of placebo and the conditions and situations that warrant it</w:t>
            </w:r>
          </w:p>
          <w:p w:rsidR="00000000" w:rsidP="006C201E">
            <w:pPr>
              <w:pStyle w:val="BodyText"/>
              <w:rPr>
                <w:lang w:val="en-NZ"/>
              </w:rPr>
            </w:pPr>
            <w:r w:rsidRPr="006C201E">
              <w:rPr>
                <w:rStyle w:val="Emphasis"/>
              </w:rPr>
              <w:t>continued</w:t>
            </w:r>
            <w:r w:rsidRPr="006C201E">
              <w:t xml:space="preserve"> ...</w:t>
            </w:r>
          </w:p>
        </w:tc>
      </w:tr>
      <w:tr w:rsidTr="00036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rPr>
                <w:rStyle w:val="Emphasis"/>
              </w:rPr>
              <w:t>Essential</w:t>
            </w:r>
            <w:r w:rsidRPr="006C201E">
              <w:rPr>
                <w:rStyle w:val="Emphasis"/>
              </w:rPr>
              <w:t xml:space="preserve"> knowledge</w:t>
            </w:r>
            <w:r w:rsidRPr="006C201E">
              <w:t xml:space="preserve"> (</w:t>
            </w:r>
            <w:r w:rsidRPr="006C201E">
              <w:rPr>
                <w:rStyle w:val="Emphasis"/>
              </w:rPr>
              <w:t>contd</w:t>
            </w:r>
            <w:r w:rsidRPr="006C201E">
              <w:t>):</w:t>
            </w:r>
          </w:p>
          <w:p w:rsidR="00000000" w:rsidRPr="006C201E" w:rsidP="006C201E">
            <w:pPr>
              <w:pStyle w:val="ListBullet"/>
            </w:pPr>
            <w:r w:rsidRPr="006C201E">
              <w:t>Referral procedure</w:t>
            </w:r>
          </w:p>
          <w:p w:rsidR="00000000" w:rsidRPr="006C201E" w:rsidP="006C201E">
            <w:pPr>
              <w:pStyle w:val="ListBullet"/>
            </w:pPr>
            <w:r w:rsidRPr="006C201E">
              <w:t>The role of other health care professionals and support services</w:t>
            </w:r>
          </w:p>
          <w:p w:rsidR="00000000" w:rsidRPr="006C201E" w:rsidP="006C201E">
            <w:pPr>
              <w:pStyle w:val="ListBullet"/>
            </w:pPr>
            <w:r w:rsidRPr="006C201E">
              <w:t>Various disease processes such as those for epidemic diseases, pandemic diseases, sporadic diseases, immune deficiencies, communicable contagious diseas</w:t>
            </w:r>
            <w:r w:rsidRPr="006C201E">
              <w:t xml:space="preserve">es </w:t>
            </w:r>
          </w:p>
          <w:p w:rsidR="00000000" w:rsidRPr="006C201E" w:rsidP="006C201E">
            <w:pPr>
              <w:pStyle w:val="ListBullet"/>
            </w:pPr>
            <w:r w:rsidRPr="006C201E">
              <w:t>When homœopathic treatment is not a viable option for the client</w:t>
            </w:r>
          </w:p>
          <w:p w:rsidR="00000000" w:rsidP="006C201E">
            <w:pPr>
              <w:pStyle w:val="ListBullet"/>
              <w:rPr>
                <w:lang w:val="en-NZ"/>
              </w:rPr>
            </w:pPr>
            <w:r w:rsidRPr="006C201E">
              <w:t>When palliative treatment is indicated</w:t>
            </w:r>
          </w:p>
        </w:tc>
      </w:tr>
      <w:tr w:rsidTr="00036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rPr>
                <w:rStyle w:val="Emphasis"/>
              </w:rPr>
              <w:t>Essential skills</w:t>
            </w:r>
            <w:r w:rsidRPr="006C201E">
              <w:t>:</w:t>
            </w:r>
          </w:p>
          <w:p w:rsidR="00000000" w:rsidRPr="006C201E" w:rsidP="006C201E">
            <w:pPr>
              <w:pStyle w:val="BodyText"/>
            </w:pPr>
            <w:r w:rsidRPr="006C201E">
              <w:t>It is critical that the candidate demonstrate the ability to effectively do the task outlined in elements and performance criteria of this unit, manage the task and manage contingencies in the context of the identified work role</w:t>
            </w:r>
          </w:p>
          <w:p w:rsidR="00000000" w:rsidRPr="006C201E" w:rsidP="006C201E">
            <w:pPr>
              <w:pStyle w:val="BodyText"/>
            </w:pPr>
            <w:r w:rsidRPr="006C201E">
              <w:t>This includes the ability t</w:t>
            </w:r>
            <w:r w:rsidRPr="006C201E">
              <w:t>o:</w:t>
            </w:r>
          </w:p>
          <w:p w:rsidR="00000000" w:rsidRPr="006C201E" w:rsidP="006C201E">
            <w:pPr>
              <w:pStyle w:val="ListBullet"/>
            </w:pPr>
            <w:r w:rsidRPr="006C201E">
              <w:t>Demonstrate communication and negotiation skills</w:t>
            </w:r>
          </w:p>
          <w:p w:rsidR="00000000" w:rsidRPr="006C201E" w:rsidP="006C201E">
            <w:pPr>
              <w:pStyle w:val="ListBullet"/>
            </w:pPr>
            <w:r w:rsidRPr="006C201E">
              <w:t>Determine the posology appropriate for the phase/stage of disease, according to the clinical approach the practitioner uses</w:t>
            </w:r>
          </w:p>
          <w:p w:rsidR="00000000" w:rsidRPr="006C201E" w:rsidP="006C201E">
            <w:pPr>
              <w:pStyle w:val="ListBullet"/>
            </w:pPr>
            <w:r w:rsidRPr="006C201E">
              <w:t>Identify clinical signs of nutritional imbalance</w:t>
            </w:r>
          </w:p>
          <w:p w:rsidR="00000000" w:rsidRPr="006C201E" w:rsidP="006C201E">
            <w:pPr>
              <w:pStyle w:val="ListBullet"/>
            </w:pPr>
            <w:r w:rsidRPr="006C201E">
              <w:t xml:space="preserve">Identify treatment options and </w:t>
            </w:r>
            <w:r w:rsidRPr="006C201E">
              <w:t>establish treatment regimes</w:t>
            </w:r>
          </w:p>
          <w:p w:rsidR="00000000" w:rsidRPr="006C201E" w:rsidP="006C201E">
            <w:pPr>
              <w:pStyle w:val="ListBullet"/>
            </w:pPr>
            <w:r w:rsidRPr="006C201E">
              <w:t xml:space="preserve">Interpret pathology test results in relation to the selection of appropriate posology </w:t>
            </w:r>
          </w:p>
          <w:p w:rsidR="00000000" w:rsidRPr="006C201E" w:rsidP="006C201E">
            <w:pPr>
              <w:pStyle w:val="ListBullet"/>
            </w:pPr>
            <w:r w:rsidRPr="006C201E">
              <w:t>Negotiate strategies to overcome any obstacles to cure</w:t>
            </w:r>
          </w:p>
          <w:p w:rsidR="00000000" w:rsidRPr="006C201E" w:rsidP="006C201E">
            <w:pPr>
              <w:pStyle w:val="ListBullet"/>
            </w:pPr>
            <w:r w:rsidRPr="006C201E">
              <w:t>Prepare treatment plans</w:t>
            </w:r>
          </w:p>
          <w:p w:rsidR="00000000" w:rsidRPr="006C201E" w:rsidP="006C201E">
            <w:pPr>
              <w:pStyle w:val="ListBullet"/>
            </w:pPr>
            <w:r w:rsidRPr="006C201E">
              <w:t>Provide treatment</w:t>
            </w:r>
          </w:p>
          <w:p w:rsidR="00000000" w:rsidRPr="006C201E" w:rsidP="006C201E">
            <w:pPr>
              <w:pStyle w:val="ListBullet"/>
            </w:pPr>
            <w:r w:rsidRPr="006C201E">
              <w:t>Read and interpret medical reports and other</w:t>
            </w:r>
            <w:r w:rsidRPr="006C201E">
              <w:t xml:space="preserve"> data relevant to the case</w:t>
            </w:r>
          </w:p>
          <w:p w:rsidR="00000000" w:rsidRPr="006C201E" w:rsidP="006C201E">
            <w:pPr>
              <w:pStyle w:val="ListBullet"/>
            </w:pPr>
            <w:r w:rsidRPr="006C201E">
              <w:t>Research allopathic drugs, including iatrogenic potential, interactions and requirements for withdrawal</w:t>
            </w:r>
          </w:p>
          <w:p w:rsidR="00000000" w:rsidRPr="006C201E" w:rsidP="006C201E">
            <w:pPr>
              <w:pStyle w:val="ListBullet"/>
            </w:pPr>
            <w:r w:rsidRPr="006C201E">
              <w:t>Research allopathic drugs, including iatrogenic potential, interactions and requirements for withdrawal</w:t>
            </w:r>
          </w:p>
          <w:p w:rsidR="00000000" w:rsidRPr="006C201E" w:rsidP="006C201E">
            <w:pPr>
              <w:pStyle w:val="ListBullet"/>
            </w:pPr>
            <w:r w:rsidRPr="006C201E">
              <w:t>Select a medicine, pl</w:t>
            </w:r>
            <w:r w:rsidRPr="006C201E">
              <w:t>acebo or no medicine, according to what would be homœopathic for the client</w:t>
            </w:r>
          </w:p>
          <w:p w:rsidR="00000000" w:rsidRPr="006C201E" w:rsidP="006C201E">
            <w:pPr>
              <w:pStyle w:val="ListBullet"/>
            </w:pPr>
            <w:r w:rsidRPr="006C201E">
              <w:t>Take into account opportunities to address waste minimisation, environmental responsibility and sustainable practice issues</w:t>
            </w:r>
          </w:p>
          <w:p w:rsidR="00000000" w:rsidRPr="006C201E" w:rsidP="006C201E">
            <w:pPr>
              <w:pStyle w:val="ListBullet"/>
            </w:pPr>
            <w:r w:rsidRPr="006C201E">
              <w:t>Use interpersonal and questioning skills</w:t>
            </w:r>
          </w:p>
        </w:tc>
      </w:tr>
    </w:tbl>
    <w:p w:rsidR="000365EB" w:rsidP="006C201E">
      <w:pPr>
        <w:pStyle w:val="BodyText"/>
      </w:pPr>
    </w:p>
    <w:p w:rsidR="000365EB" w:rsidP="006C201E">
      <w:pPr>
        <w:pStyle w:val="BodyText"/>
      </w:pPr>
    </w:p>
    <w:p w:rsidR="00000000" w:rsidRPr="006C201E" w:rsidP="006C201E">
      <w:pPr>
        <w:pStyle w:val="Heading1"/>
      </w:pPr>
      <w:bookmarkStart w:id="10" w:name="O_243939"/>
      <w:bookmarkEnd w:id="10"/>
      <w:r w:rsidRPr="006C201E">
        <w:t>Evidence Guide</w:t>
      </w:r>
    </w:p>
    <w:tbl>
      <w:tblPr>
        <w:tblW w:w="0" w:type="auto"/>
        <w:tblLayout w:type="fixed"/>
        <w:tblCellMar>
          <w:left w:w="62" w:type="dxa"/>
          <w:right w:w="62" w:type="dxa"/>
        </w:tblCellMar>
        <w:tblLook w:val="0000"/>
      </w:tblPr>
      <w:tblGrid>
        <w:gridCol w:w="3402"/>
        <w:gridCol w:w="5670"/>
      </w:tblGrid>
      <w:tr w:rsidTr="000365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SpecialBold"/>
              </w:rPr>
              <w:t>EVIDENCE GUIDE</w:t>
            </w:r>
          </w:p>
        </w:tc>
      </w:tr>
      <w:tr w:rsidTr="000365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t xml:space="preserve">The evidence guide provides advice on assessment and must be read in conjunction with the Performance Criteria, Required Skills and Knowledge, </w:t>
            </w:r>
            <w:r w:rsidRPr="006C201E">
              <w:t>the Range Statement and the Assessment Guidelines for this Training Package.</w:t>
            </w:r>
          </w:p>
        </w:tc>
      </w:tr>
      <w:tr w:rsidTr="000365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Critical aspects for assessment and evidence required to demonstrate this competency unit</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The individual being assessed must provide evidence of specified essential knowledg</w:t>
            </w:r>
            <w:r w:rsidRPr="006C201E">
              <w:t>e as well as skills</w:t>
            </w:r>
          </w:p>
          <w:p w:rsidR="00000000" w:rsidRPr="006C201E" w:rsidP="006C201E">
            <w:pPr>
              <w:pStyle w:val="ListBullet"/>
            </w:pPr>
            <w:r w:rsidRPr="006C201E">
              <w:t>Observation of performance in the workplace or a simulated workplace (defined as a supervised clinic) is essential for assessment of this unit</w:t>
            </w:r>
          </w:p>
          <w:p w:rsidR="00000000" w:rsidRPr="006C201E" w:rsidP="006C201E">
            <w:pPr>
              <w:pStyle w:val="ListBullet"/>
            </w:pPr>
            <w:r w:rsidRPr="006C201E">
              <w:t>Consistency of performance should be demonstrated over the required range of situations relev</w:t>
            </w:r>
            <w:r w:rsidRPr="006C201E">
              <w:t>ant to the workplace</w:t>
            </w:r>
          </w:p>
          <w:p w:rsidR="00000000" w:rsidRPr="006C201E" w:rsidP="006C201E">
            <w:pPr>
              <w:pStyle w:val="ListBullet"/>
            </w:pPr>
            <w:r w:rsidRPr="006C201E">
              <w:t>Where, for reasons of safety, space, or access to equipment and resources, assessment takes place away from the workplace, the assessment environment should represent workplace conditions as closely as possible</w:t>
            </w:r>
          </w:p>
          <w:p w:rsidR="00000000" w:rsidRPr="006C201E" w:rsidP="006C201E">
            <w:pPr>
              <w:pStyle w:val="ListBullet"/>
            </w:pPr>
            <w:r w:rsidRPr="006C201E">
              <w:t>Assessment of sole pract</w:t>
            </w:r>
            <w:r w:rsidRPr="006C201E">
              <w:t>itioners must include a range of clinical situations and different client groups covering at minimum, age, culture and gender</w:t>
            </w:r>
          </w:p>
          <w:p w:rsidR="00000000" w:rsidRPr="006C201E" w:rsidP="006C201E">
            <w:pPr>
              <w:pStyle w:val="ListBullet"/>
            </w:pPr>
            <w:r w:rsidRPr="006C201E">
              <w:t>Assessment of sole practitioners must consider their unique workplace context, including:</w:t>
            </w:r>
          </w:p>
          <w:p w:rsidR="00000000" w:rsidRPr="006C201E" w:rsidP="006C201E">
            <w:pPr>
              <w:pStyle w:val="ListBullet2"/>
            </w:pPr>
            <w:r w:rsidRPr="006C201E">
              <w:t xml:space="preserve">interaction with others in the broader </w:t>
            </w:r>
            <w:r w:rsidRPr="006C201E">
              <w:t>professional community as part of the sole practitioner's workplace</w:t>
            </w:r>
          </w:p>
          <w:p w:rsidR="00000000" w:rsidRPr="006C201E" w:rsidP="006C201E">
            <w:pPr>
              <w:pStyle w:val="ListBullet2"/>
            </w:pPr>
            <w:r w:rsidRPr="006C201E">
              <w:t>scope of practice as detailed in the qualification and component competency units</w:t>
            </w:r>
          </w:p>
          <w:p w:rsidR="00000000" w:rsidRPr="006C201E" w:rsidP="006C201E">
            <w:pPr>
              <w:pStyle w:val="ListBullet2"/>
            </w:pPr>
            <w:r w:rsidRPr="006C201E">
              <w:t>holistic/integrated assessment including:</w:t>
            </w:r>
          </w:p>
          <w:p w:rsidR="00000000" w:rsidRPr="006C201E" w:rsidP="006C201E">
            <w:pPr>
              <w:pStyle w:val="ListBullet3"/>
            </w:pPr>
            <w:r w:rsidRPr="006C201E">
              <w:t>working within the practice framework</w:t>
            </w:r>
          </w:p>
          <w:p w:rsidR="00000000" w:rsidRPr="006C201E" w:rsidP="006C201E">
            <w:pPr>
              <w:pStyle w:val="ListBullet3"/>
            </w:pPr>
            <w:r w:rsidRPr="006C201E">
              <w:t>performing a health assessment</w:t>
            </w:r>
          </w:p>
          <w:p w:rsidR="00000000" w:rsidRPr="006C201E" w:rsidP="006C201E">
            <w:pPr>
              <w:pStyle w:val="ListBullet3"/>
            </w:pPr>
            <w:r w:rsidRPr="006C201E">
              <w:t>assessing the client</w:t>
            </w:r>
          </w:p>
          <w:p w:rsidR="00000000" w:rsidRPr="006C201E" w:rsidP="006C201E">
            <w:pPr>
              <w:pStyle w:val="ListBullet3"/>
            </w:pPr>
            <w:r w:rsidRPr="006C201E">
              <w:t>planning treatment</w:t>
            </w:r>
          </w:p>
          <w:p w:rsidR="00000000" w:rsidP="006C201E">
            <w:pPr>
              <w:pStyle w:val="ListBullet3"/>
              <w:rPr>
                <w:lang w:val="en-NZ"/>
              </w:rPr>
            </w:pPr>
            <w:r w:rsidRPr="006C201E">
              <w:t>providing treatment</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Context of and specific resources for assessment</w:t>
            </w:r>
            <w:r w:rsidRPr="006C201E">
              <w:t xml:space="preserve">: </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An appropriately stocked and equipped clinic or simulated clinic environment</w:t>
            </w:r>
          </w:p>
          <w:p w:rsidR="00000000" w:rsidRPr="006C201E" w:rsidP="006C201E">
            <w:pPr>
              <w:pStyle w:val="ListBullet"/>
            </w:pPr>
            <w:r w:rsidRPr="006C201E">
              <w:t>Relevant texts or medical manuals</w:t>
            </w:r>
          </w:p>
          <w:p w:rsidR="00000000" w:rsidRPr="006C201E" w:rsidP="006C201E">
            <w:pPr>
              <w:pStyle w:val="ListBullet"/>
            </w:pPr>
            <w:r w:rsidRPr="006C201E">
              <w:t>Relevant paper-based/video assessment instruments</w:t>
            </w:r>
          </w:p>
          <w:p w:rsidR="00000000" w:rsidP="006C201E">
            <w:pPr>
              <w:pStyle w:val="ListBullet"/>
              <w:rPr>
                <w:lang w:val="en-NZ"/>
              </w:rPr>
            </w:pPr>
            <w:r w:rsidRPr="006C201E">
              <w:t>Appropriate assessment environment</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Method of assessment</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Practical demonstration and observation in the work place (if possible)</w:t>
            </w:r>
          </w:p>
          <w:p w:rsidR="00000000" w:rsidRPr="006C201E" w:rsidP="006C201E">
            <w:pPr>
              <w:pStyle w:val="ListBullet"/>
            </w:pPr>
            <w:r w:rsidRPr="006C201E">
              <w:t>Written assignments/projects or questioning should be used to assess kno</w:t>
            </w:r>
            <w:r w:rsidRPr="006C201E">
              <w:t>wledge</w:t>
            </w:r>
          </w:p>
          <w:p w:rsidR="00000000" w:rsidRPr="006C201E" w:rsidP="006C201E">
            <w:pPr>
              <w:pStyle w:val="ListBullet"/>
            </w:pPr>
            <w:r w:rsidRPr="006C201E">
              <w:t>Case study and scenario as a basis for discussion of issues and strategies to contribute to best practice</w:t>
            </w:r>
          </w:p>
          <w:p w:rsidR="00000000" w:rsidRPr="006C201E" w:rsidP="006C201E">
            <w:pPr>
              <w:pStyle w:val="ListBullet"/>
            </w:pPr>
            <w:r w:rsidRPr="006C201E">
              <w:t>Clinical skills involving direct client care are to be assessed initially in a simulated clinical setting (laboratory). If successful, a second</w:t>
            </w:r>
            <w:r w:rsidRPr="006C201E">
              <w:t xml:space="preserve"> assessment is to be conducted during workplace application under direct supervision</w:t>
            </w:r>
          </w:p>
          <w:p w:rsidR="00000000" w:rsidRPr="006C201E" w:rsidP="006C201E">
            <w:pPr>
              <w:pStyle w:val="ListBullet"/>
            </w:pPr>
            <w:r w:rsidRPr="006C201E">
              <w:t>Explanations for plan preparations</w:t>
            </w:r>
          </w:p>
          <w:p w:rsidR="00000000" w:rsidP="006C201E">
            <w:pPr>
              <w:pStyle w:val="ListBullet"/>
              <w:rPr>
                <w:lang w:val="en-NZ"/>
              </w:rPr>
            </w:pPr>
            <w:r w:rsidRPr="006C201E">
              <w:t>Oral questioning and discussion</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Access and equity considerations</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All workers in the health industry should be aware of access and equity issues in relation to their own area of work</w:t>
            </w:r>
          </w:p>
          <w:p w:rsidR="00000000" w:rsidRPr="006C201E" w:rsidP="006C201E">
            <w:pPr>
              <w:pStyle w:val="ListBullet"/>
            </w:pPr>
            <w:r w:rsidRPr="006C201E">
              <w:t xml:space="preserve">All workers should develop their ability to work in a culturally diverse environment </w:t>
            </w:r>
          </w:p>
          <w:p w:rsidR="00000000" w:rsidRPr="006C201E" w:rsidP="006C201E">
            <w:pPr>
              <w:pStyle w:val="ListBullet"/>
            </w:pPr>
            <w:r w:rsidRPr="006C201E">
              <w:t>In recognition of particular health issues facing Abo</w:t>
            </w:r>
            <w:r w:rsidRPr="006C201E">
              <w:t>riginal and Torres Strait Islander communities, workers should be aware of cultural, historical and current issues impacting on health of Aboriginal and Torres Strait Islander people</w:t>
            </w:r>
          </w:p>
          <w:p w:rsidR="00000000" w:rsidP="006C201E">
            <w:pPr>
              <w:pStyle w:val="ListBullet"/>
              <w:rPr>
                <w:lang w:val="en-NZ"/>
              </w:rPr>
            </w:pPr>
            <w:r w:rsidRPr="006C201E">
              <w:t xml:space="preserve">Assessors and trainers must take into account relevant access and equity </w:t>
            </w:r>
            <w:r w:rsidRPr="006C201E">
              <w:t>issues, in particular relating to factors impacting on health of Aboriginal and/or Torres Strait Islander clients and communities</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Related units</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BodyText"/>
            </w:pPr>
            <w:r w:rsidRPr="006C201E">
              <w:t>This unit should be assessed in conjunction with the following related competency units:</w:t>
            </w:r>
          </w:p>
          <w:p w:rsidR="00000000" w:rsidRPr="006C201E" w:rsidP="006C201E">
            <w:pPr>
              <w:pStyle w:val="ListBullet"/>
            </w:pPr>
            <w:r w:rsidRPr="006C201E">
              <w:t>HLTCOM404C Communi</w:t>
            </w:r>
            <w:r w:rsidRPr="006C201E">
              <w:t>cate effectively with clients</w:t>
            </w:r>
          </w:p>
          <w:p w:rsidR="00000000" w:rsidP="006C201E">
            <w:pPr>
              <w:pStyle w:val="ListBullet"/>
              <w:rPr>
                <w:lang w:val="en-NZ"/>
              </w:rPr>
            </w:pPr>
            <w:r w:rsidRPr="006C201E">
              <w:t>HLTHOM608C Provide homoeopathic treatment and manage the case</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BodyText"/>
            </w:pPr>
          </w:p>
        </w:tc>
      </w:tr>
    </w:tbl>
    <w:p w:rsidR="000365EB" w:rsidP="006C201E">
      <w:pPr>
        <w:pStyle w:val="BodyText"/>
      </w:pPr>
    </w:p>
    <w:p w:rsidR="000365EB" w:rsidP="006C201E">
      <w:pPr>
        <w:pStyle w:val="BodyText"/>
      </w:pPr>
    </w:p>
    <w:p w:rsidR="00000000" w:rsidRPr="006C201E" w:rsidP="006C201E">
      <w:pPr>
        <w:pStyle w:val="Heading1"/>
      </w:pPr>
      <w:bookmarkStart w:id="11" w:name="O_251922"/>
      <w:bookmarkEnd w:id="11"/>
      <w:r w:rsidRPr="006C201E">
        <w:t>Range Statement</w:t>
      </w:r>
    </w:p>
    <w:tbl>
      <w:tblPr>
        <w:tblW w:w="0" w:type="auto"/>
        <w:tblLayout w:type="fixed"/>
        <w:tblCellMar>
          <w:left w:w="62" w:type="dxa"/>
          <w:right w:w="62" w:type="dxa"/>
        </w:tblCellMar>
        <w:tblLook w:val="0000"/>
      </w:tblPr>
      <w:tblGrid>
        <w:gridCol w:w="3402"/>
        <w:gridCol w:w="5670"/>
      </w:tblGrid>
      <w:tr w:rsidTr="000365E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SpecialBold"/>
              </w:rPr>
              <w:t>RANGE STATEMENT</w:t>
            </w:r>
          </w:p>
        </w:tc>
      </w:tr>
      <w:tr w:rsidTr="000365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t>The Range Statement rel</w:t>
            </w:r>
            <w:r w:rsidRPr="006C201E">
              <w:t>ates to the unit of competency as a whole.  It allows for different work environments and situations that may affect performance.  Add any essential operating conditions that may be present with training and assessment depending on the work situation, need</w:t>
            </w:r>
            <w:r w:rsidRPr="006C201E">
              <w:t>s of the candidate, accessibility of the item, and local industry and regional contexts.</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Contraindications to treatment may include</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Traumatic injuries or conditions requiring immediate medical attention</w:t>
            </w:r>
          </w:p>
          <w:p w:rsidR="00000000" w:rsidRPr="006C201E" w:rsidP="006C201E">
            <w:pPr>
              <w:pStyle w:val="ListBullet"/>
            </w:pPr>
            <w:r w:rsidRPr="006C201E">
              <w:t>Life threatening situations</w:t>
            </w:r>
          </w:p>
          <w:p w:rsidR="00000000" w:rsidRPr="006C201E" w:rsidP="006C201E">
            <w:pPr>
              <w:pStyle w:val="ListBullet"/>
            </w:pPr>
            <w:r w:rsidRPr="006C201E">
              <w:t>Personal or life ci</w:t>
            </w:r>
            <w:r w:rsidRPr="006C201E">
              <w:t>rcumstances</w:t>
            </w:r>
          </w:p>
          <w:p w:rsidR="00000000" w:rsidP="006C201E">
            <w:pPr>
              <w:pStyle w:val="ListBullet"/>
              <w:rPr>
                <w:lang w:val="en-NZ"/>
              </w:rPr>
            </w:pPr>
            <w:r w:rsidRPr="006C201E">
              <w:t>Ability or willingness to comply with treatment</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Phase or stage of the disease must include one of the following</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 xml:space="preserve">Uppermost layer </w:t>
            </w:r>
          </w:p>
          <w:p w:rsidR="00000000" w:rsidRPr="006C201E" w:rsidP="006C201E">
            <w:pPr>
              <w:pStyle w:val="ListBullet"/>
            </w:pPr>
            <w:r w:rsidRPr="006C201E">
              <w:t>Acute presentation/phase totality</w:t>
            </w:r>
          </w:p>
          <w:p w:rsidR="00000000" w:rsidRPr="006C201E" w:rsidP="006C201E">
            <w:pPr>
              <w:pStyle w:val="ListBullet"/>
            </w:pPr>
            <w:r w:rsidRPr="006C201E">
              <w:t>Chronic presentation/phase totality</w:t>
            </w:r>
          </w:p>
          <w:p w:rsidR="00000000" w:rsidRPr="006C201E" w:rsidP="006C201E">
            <w:pPr>
              <w:pStyle w:val="ListBullet"/>
            </w:pPr>
            <w:r w:rsidRPr="006C201E">
              <w:t>Miasmatic presentation/phase totality</w:t>
            </w:r>
          </w:p>
          <w:p w:rsidR="00000000" w:rsidRPr="006C201E" w:rsidP="006C201E">
            <w:pPr>
              <w:pStyle w:val="ListBullet"/>
            </w:pPr>
            <w:r w:rsidRPr="006C201E">
              <w:t>Mixed miasmatic presentation/phase totality</w:t>
            </w:r>
          </w:p>
          <w:p w:rsidR="00000000" w:rsidRPr="006C201E" w:rsidP="006C201E">
            <w:pPr>
              <w:pStyle w:val="ListBullet"/>
            </w:pPr>
            <w:r w:rsidRPr="006C201E">
              <w:t>Pathological phase totality</w:t>
            </w:r>
          </w:p>
          <w:p w:rsidR="00000000" w:rsidP="006C201E">
            <w:pPr>
              <w:pStyle w:val="ListBullet"/>
              <w:rPr>
                <w:lang w:val="en-NZ"/>
              </w:rPr>
            </w:pPr>
            <w:r w:rsidRPr="006C201E">
              <w:t>Incurable/untreatable state totality</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Homœopathic medicines include</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Those described in homœopathic materia medica</w:t>
            </w:r>
          </w:p>
          <w:p w:rsidR="00000000" w:rsidRPr="006C201E" w:rsidP="006C201E">
            <w:pPr>
              <w:pStyle w:val="ListBullet"/>
            </w:pPr>
            <w:r w:rsidRPr="006C201E">
              <w:t>Sarcodes, nosodes, imponderables, tautopathics and autonosodes</w:t>
            </w:r>
          </w:p>
          <w:p w:rsidR="00000000" w:rsidP="006C201E">
            <w:pPr>
              <w:pStyle w:val="ListBullet"/>
              <w:rPr>
                <w:lang w:val="en-NZ"/>
              </w:rPr>
            </w:pPr>
            <w:r w:rsidRPr="006C201E">
              <w:t>Any</w:t>
            </w:r>
            <w:r w:rsidRPr="006C201E">
              <w:t xml:space="preserve"> substance proven and prepared according to homœopathic guidelines</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Medicines selected according to the law of similars must include consideration of</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Relevant aphorisms in the Organon of Medicine  5th/6th edition</w:t>
            </w:r>
          </w:p>
          <w:p w:rsidR="00000000" w:rsidP="006C201E">
            <w:pPr>
              <w:pStyle w:val="ListBullet"/>
              <w:rPr>
                <w:lang w:val="en-NZ"/>
              </w:rPr>
            </w:pPr>
            <w:r w:rsidRPr="006C201E">
              <w:t>Homœ</w:t>
            </w:r>
            <w:r w:rsidRPr="006C201E">
              <w:t>opathic principles of the single medicine and minimum dose</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Posology must include</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Selection of potency - decimal (x), centesimal (c) or fifty millesimal (LM/Q) scales, or mother tincture</w:t>
            </w:r>
          </w:p>
          <w:p w:rsidR="00000000" w:rsidP="006C201E">
            <w:pPr>
              <w:pStyle w:val="ListBullet"/>
              <w:rPr>
                <w:lang w:val="en-NZ"/>
              </w:rPr>
            </w:pPr>
            <w:r w:rsidRPr="006C201E">
              <w:t>Frequency of repetition - single dose, infrequent doses or freque</w:t>
            </w:r>
            <w:r w:rsidRPr="006C201E">
              <w:t>nt doses</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Appropriate administration method may include</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Olfactory</w:t>
            </w:r>
          </w:p>
          <w:p w:rsidR="00000000" w:rsidRPr="006C201E" w:rsidP="006C201E">
            <w:pPr>
              <w:pStyle w:val="ListBullet"/>
            </w:pPr>
            <w:r w:rsidRPr="006C201E">
              <w:t>Sublingual</w:t>
            </w:r>
          </w:p>
          <w:p w:rsidR="00000000" w:rsidRPr="006C201E" w:rsidP="006C201E">
            <w:pPr>
              <w:pStyle w:val="ListBullet"/>
            </w:pPr>
            <w:r w:rsidRPr="006C201E">
              <w:t>Cutaneous</w:t>
            </w:r>
          </w:p>
          <w:p w:rsidR="00000000" w:rsidRPr="006C201E" w:rsidP="006C201E">
            <w:pPr>
              <w:pStyle w:val="ListBullet"/>
            </w:pPr>
            <w:r w:rsidRPr="006C201E">
              <w:t>Via fluid medium, alcohol, or water</w:t>
            </w:r>
          </w:p>
          <w:p w:rsidR="00000000" w:rsidRPr="006C201E" w:rsidP="006C201E">
            <w:pPr>
              <w:pStyle w:val="ListBullet"/>
            </w:pPr>
            <w:r w:rsidRPr="006C201E">
              <w:t>Via pilules</w:t>
            </w:r>
          </w:p>
          <w:p w:rsidR="00000000" w:rsidRPr="006C201E" w:rsidP="006C201E">
            <w:pPr>
              <w:pStyle w:val="ListBullet"/>
            </w:pPr>
            <w:r w:rsidRPr="006C201E">
              <w:t>Via powder</w:t>
            </w:r>
          </w:p>
          <w:p w:rsidR="00000000" w:rsidP="006C201E">
            <w:pPr>
              <w:pStyle w:val="ListBullet"/>
              <w:rPr>
                <w:lang w:val="en-NZ"/>
              </w:rPr>
            </w:pPr>
            <w:r w:rsidRPr="006C201E">
              <w:t>Plussing method</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Obstacles to cure may include those factors referred to in the organon</w:t>
            </w:r>
            <w:r w:rsidRPr="006C201E">
              <w:t xml:space="preserve">, </w:t>
            </w:r>
            <w:r w:rsidRPr="006C201E">
              <w:rPr>
                <w:rStyle w:val="Emphasis"/>
              </w:rPr>
              <w:t>6th edition</w:t>
            </w:r>
            <w:r w:rsidRPr="006C201E">
              <w:t xml:space="preserve">, </w:t>
            </w:r>
            <w:r w:rsidRPr="006C201E">
              <w:rPr>
                <w:rStyle w:val="Emphasis"/>
              </w:rPr>
              <w:t>aphorisms</w:t>
            </w:r>
            <w:r w:rsidRPr="006C201E">
              <w:t xml:space="preserve"> §</w:t>
            </w:r>
            <w:r w:rsidRPr="006C201E">
              <w:rPr>
                <w:rStyle w:val="Emphasis"/>
              </w:rPr>
              <w:t>259</w:t>
            </w:r>
            <w:r w:rsidRPr="006C201E">
              <w:t>-</w:t>
            </w:r>
            <w:r w:rsidRPr="006C201E">
              <w:rPr>
                <w:rStyle w:val="Emphasis"/>
              </w:rPr>
              <w:t>263 including</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Diet and eating patterns/habits</w:t>
            </w:r>
          </w:p>
          <w:p w:rsidR="00000000" w:rsidRPr="006C201E" w:rsidP="006C201E">
            <w:pPr>
              <w:pStyle w:val="ListBullet"/>
            </w:pPr>
            <w:r w:rsidRPr="006C201E">
              <w:t>Exercise</w:t>
            </w:r>
          </w:p>
          <w:p w:rsidR="00000000" w:rsidRPr="006C201E" w:rsidP="006C201E">
            <w:pPr>
              <w:pStyle w:val="ListBullet"/>
            </w:pPr>
            <w:r w:rsidRPr="006C201E">
              <w:t>Recreation</w:t>
            </w:r>
          </w:p>
          <w:p w:rsidR="00000000" w:rsidRPr="006C201E" w:rsidP="006C201E">
            <w:pPr>
              <w:pStyle w:val="ListBullet"/>
            </w:pPr>
            <w:r w:rsidRPr="006C201E">
              <w:t>Relaxation</w:t>
            </w:r>
          </w:p>
          <w:p w:rsidR="00000000" w:rsidRPr="006C201E" w:rsidP="006C201E">
            <w:pPr>
              <w:pStyle w:val="ListBullet"/>
            </w:pPr>
            <w:r w:rsidRPr="006C201E">
              <w:t>Hygiene</w:t>
            </w:r>
          </w:p>
          <w:p w:rsidR="00000000" w:rsidRPr="006C201E" w:rsidP="006C201E">
            <w:pPr>
              <w:pStyle w:val="ListBullet"/>
            </w:pPr>
            <w:r w:rsidRPr="006C201E">
              <w:t>Drugs and other substances of addiction</w:t>
            </w:r>
          </w:p>
          <w:p w:rsidR="00000000" w:rsidRPr="006C201E" w:rsidP="006C201E">
            <w:pPr>
              <w:pStyle w:val="ListBullet"/>
            </w:pPr>
            <w:r w:rsidRPr="006C201E">
              <w:t>Emotional health</w:t>
            </w:r>
          </w:p>
          <w:p w:rsidR="00000000" w:rsidRPr="006C201E" w:rsidP="006C201E">
            <w:pPr>
              <w:pStyle w:val="ListBullet"/>
            </w:pPr>
            <w:r w:rsidRPr="006C201E">
              <w:t>Living conditions</w:t>
            </w:r>
          </w:p>
          <w:p w:rsidR="00000000" w:rsidRPr="006C201E" w:rsidP="006C201E">
            <w:pPr>
              <w:pStyle w:val="ListBullet"/>
            </w:pPr>
            <w:r w:rsidRPr="006C201E">
              <w:t>Socio-economic factors</w:t>
            </w:r>
          </w:p>
          <w:p w:rsidR="00000000" w:rsidRPr="006C201E" w:rsidP="006C201E">
            <w:pPr>
              <w:pStyle w:val="ListBullet"/>
            </w:pPr>
            <w:r w:rsidRPr="006C201E">
              <w:t>Occupational factors</w:t>
            </w:r>
          </w:p>
          <w:p w:rsidR="00000000" w:rsidP="006C201E">
            <w:pPr>
              <w:pStyle w:val="ListBullet"/>
              <w:rPr>
                <w:lang w:val="en-NZ"/>
              </w:rPr>
            </w:pPr>
            <w:r w:rsidRPr="006C201E">
              <w:t>Other aggravating and/or maintaining factors</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Negotiate dietary modifications may include advising on the following</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Foods, beverages and nutritional supplements</w:t>
            </w:r>
          </w:p>
          <w:p w:rsidR="00000000" w:rsidRPr="006C201E" w:rsidP="006C201E">
            <w:pPr>
              <w:pStyle w:val="ListBullet"/>
            </w:pPr>
            <w:r w:rsidRPr="006C201E">
              <w:t>Eating patterns/habits</w:t>
            </w:r>
          </w:p>
          <w:p w:rsidR="00000000" w:rsidRPr="006C201E" w:rsidP="006C201E">
            <w:pPr>
              <w:pStyle w:val="ListBullet"/>
            </w:pPr>
            <w:r w:rsidRPr="006C201E">
              <w:t>Diets for particular disorders and disease states such as:</w:t>
            </w:r>
          </w:p>
          <w:p w:rsidR="00000000" w:rsidRPr="006C201E" w:rsidP="006C201E">
            <w:pPr>
              <w:pStyle w:val="ListBullet2"/>
            </w:pPr>
            <w:r w:rsidRPr="006C201E">
              <w:t>cœliac d</w:t>
            </w:r>
            <w:r w:rsidRPr="006C201E">
              <w:t>isease</w:t>
            </w:r>
          </w:p>
          <w:p w:rsidR="00000000" w:rsidRPr="006C201E" w:rsidP="006C201E">
            <w:pPr>
              <w:pStyle w:val="ListBullet2"/>
            </w:pPr>
            <w:r w:rsidRPr="006C201E">
              <w:t>diabetes mellitus</w:t>
            </w:r>
          </w:p>
          <w:p w:rsidR="00000000" w:rsidRPr="006C201E" w:rsidP="006C201E">
            <w:pPr>
              <w:pStyle w:val="ListBullet2"/>
            </w:pPr>
            <w:r w:rsidRPr="006C201E">
              <w:t>diarrhœa</w:t>
            </w:r>
          </w:p>
          <w:p w:rsidR="00000000" w:rsidRPr="006C201E" w:rsidP="006C201E">
            <w:pPr>
              <w:pStyle w:val="ListBullet2"/>
            </w:pPr>
            <w:r w:rsidRPr="006C201E">
              <w:t>constipation</w:t>
            </w:r>
          </w:p>
          <w:p w:rsidR="00000000" w:rsidP="006C201E">
            <w:pPr>
              <w:pStyle w:val="ListBullet2"/>
              <w:rPr>
                <w:lang w:val="en-NZ"/>
              </w:rPr>
            </w:pPr>
            <w:r w:rsidRPr="006C201E">
              <w:t>gastric ulcer</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Negotiate lifestyle modifications may include providing advice or referral on the following</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Exercise programs</w:t>
            </w:r>
          </w:p>
          <w:p w:rsidR="00000000" w:rsidRPr="006C201E" w:rsidP="006C201E">
            <w:pPr>
              <w:pStyle w:val="ListBullet"/>
            </w:pPr>
            <w:r w:rsidRPr="006C201E">
              <w:t>Relaxation techniques</w:t>
            </w:r>
          </w:p>
          <w:p w:rsidR="00000000" w:rsidRPr="006C201E" w:rsidP="006C201E">
            <w:pPr>
              <w:pStyle w:val="ListBullet"/>
            </w:pPr>
            <w:r w:rsidRPr="006C201E">
              <w:t>Hygiene</w:t>
            </w:r>
          </w:p>
          <w:p w:rsidR="00000000" w:rsidRPr="006C201E" w:rsidP="006C201E">
            <w:pPr>
              <w:pStyle w:val="ListBullet"/>
            </w:pPr>
            <w:r w:rsidRPr="006C201E">
              <w:t>Recreational drugs and other substances of addiction</w:t>
            </w:r>
          </w:p>
          <w:p w:rsidR="00000000" w:rsidRPr="006C201E" w:rsidP="006C201E">
            <w:pPr>
              <w:pStyle w:val="ListBullet"/>
            </w:pPr>
            <w:r w:rsidRPr="006C201E">
              <w:t>Concurrent medications</w:t>
            </w:r>
          </w:p>
          <w:p w:rsidR="00000000" w:rsidRPr="006C201E" w:rsidP="006C201E">
            <w:pPr>
              <w:pStyle w:val="ListBullet"/>
            </w:pPr>
            <w:r w:rsidRPr="006C201E">
              <w:t>Occupational risks</w:t>
            </w:r>
          </w:p>
          <w:p w:rsidR="00000000" w:rsidRPr="006C201E" w:rsidP="006C201E">
            <w:pPr>
              <w:pStyle w:val="ListBullet"/>
            </w:pPr>
            <w:r w:rsidRPr="006C201E">
              <w:t>Personal or relationship counselling</w:t>
            </w:r>
          </w:p>
          <w:p w:rsidR="00000000" w:rsidP="006C201E">
            <w:pPr>
              <w:pStyle w:val="ListBullet"/>
              <w:rPr>
                <w:lang w:val="en-NZ"/>
              </w:rPr>
            </w:pPr>
            <w:r w:rsidRPr="006C201E">
              <w:t>Community resources and/or support services</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Client compliance refers to</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Ability to follow instructions or suggestions</w:t>
            </w:r>
          </w:p>
          <w:p w:rsidR="00000000" w:rsidRPr="006C201E" w:rsidP="006C201E">
            <w:pPr>
              <w:pStyle w:val="ListBullet"/>
            </w:pPr>
            <w:r w:rsidRPr="006C201E">
              <w:t>W</w:t>
            </w:r>
            <w:r w:rsidRPr="006C201E">
              <w:t>illingness to follow instructions or suggestions</w:t>
            </w:r>
          </w:p>
          <w:p w:rsidR="00000000" w:rsidP="006C201E">
            <w:pPr>
              <w:pStyle w:val="ListBullet"/>
              <w:rPr>
                <w:lang w:val="en-NZ"/>
              </w:rPr>
            </w:pPr>
            <w:r w:rsidRPr="006C201E">
              <w:t>Visual impairment</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Discrepancies may include</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Client is unaware of the immediate danger of their condition</w:t>
            </w:r>
          </w:p>
          <w:p w:rsidR="00000000" w:rsidRPr="006C201E" w:rsidP="006C201E">
            <w:pPr>
              <w:pStyle w:val="ListBullet"/>
            </w:pPr>
            <w:r w:rsidRPr="006C201E">
              <w:t>Client is over anxious about their condition</w:t>
            </w:r>
          </w:p>
          <w:p w:rsidR="00000000" w:rsidRPr="006C201E" w:rsidP="006C201E">
            <w:pPr>
              <w:pStyle w:val="ListBullet"/>
            </w:pPr>
            <w:r w:rsidRPr="006C201E">
              <w:t>Client is unaware of maintaining causes acting on their condition</w:t>
            </w:r>
          </w:p>
          <w:p w:rsidR="00000000" w:rsidRPr="006C201E" w:rsidP="006C201E">
            <w:pPr>
              <w:pStyle w:val="ListBullet"/>
            </w:pPr>
            <w:r w:rsidRPr="006C201E">
              <w:t>Practitioner is unaware of some implications of the client's condition</w:t>
            </w:r>
          </w:p>
          <w:p w:rsidR="00000000" w:rsidP="006C201E">
            <w:pPr>
              <w:pStyle w:val="ListBullet"/>
              <w:rPr>
                <w:lang w:val="en-NZ"/>
              </w:rPr>
            </w:pPr>
            <w:r w:rsidRPr="006C201E">
              <w:t>Practitioner and client have other views about what the main problem is</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Responsibilities of the practitioner may in</w:t>
            </w:r>
            <w:r w:rsidRPr="006C201E">
              <w:rPr>
                <w:rStyle w:val="Emphasis"/>
              </w:rPr>
              <w:t>clude</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Isolating the sick person</w:t>
            </w:r>
          </w:p>
          <w:p w:rsidR="00000000" w:rsidRPr="006C201E" w:rsidP="006C201E">
            <w:pPr>
              <w:pStyle w:val="ListBullet"/>
            </w:pPr>
            <w:r w:rsidRPr="006C201E">
              <w:t>Notifying doctor about their condition</w:t>
            </w:r>
          </w:p>
          <w:p w:rsidR="00000000" w:rsidRPr="006C201E" w:rsidP="006C201E">
            <w:pPr>
              <w:pStyle w:val="ListBullet"/>
            </w:pPr>
            <w:r w:rsidRPr="006C201E">
              <w:t>Appropriate hygienic behaviour</w:t>
            </w:r>
          </w:p>
          <w:p w:rsidR="00000000" w:rsidRPr="006C201E" w:rsidP="006C201E">
            <w:pPr>
              <w:pStyle w:val="ListBullet"/>
            </w:pPr>
            <w:r w:rsidRPr="006C201E">
              <w:t>Appropriate sexual behaviour</w:t>
            </w:r>
          </w:p>
          <w:p w:rsidR="00000000" w:rsidRPr="006C201E" w:rsidP="006C201E">
            <w:pPr>
              <w:pStyle w:val="ListBullet"/>
            </w:pPr>
            <w:r w:rsidRPr="006C201E">
              <w:t>Notifying state health authorities of notifiable / communicable disease</w:t>
            </w:r>
          </w:p>
          <w:p w:rsidR="00000000" w:rsidRPr="006C201E" w:rsidP="006C201E">
            <w:pPr>
              <w:pStyle w:val="ListBullet"/>
            </w:pPr>
            <w:r w:rsidRPr="006C201E">
              <w:t>Commitment to the treatment plan</w:t>
            </w:r>
          </w:p>
          <w:p w:rsidR="00000000" w:rsidRPr="006C201E" w:rsidP="006C201E">
            <w:pPr>
              <w:pStyle w:val="ListBullet"/>
            </w:pPr>
            <w:r w:rsidRPr="006C201E">
              <w:t>Providing the treat</w:t>
            </w:r>
            <w:r w:rsidRPr="006C201E">
              <w:t>ment and follow-up</w:t>
            </w:r>
          </w:p>
          <w:p w:rsidR="00000000" w:rsidRPr="006C201E" w:rsidP="006C201E">
            <w:pPr>
              <w:pStyle w:val="ListBullet"/>
            </w:pPr>
            <w:r w:rsidRPr="006C201E">
              <w:t>Discussing relevant contraindications or potential complications to treatment</w:t>
            </w:r>
          </w:p>
          <w:p w:rsidR="00000000" w:rsidRPr="006C201E" w:rsidP="006C201E">
            <w:pPr>
              <w:pStyle w:val="ListBullet"/>
            </w:pPr>
            <w:r w:rsidRPr="006C201E">
              <w:t>Reviewing the treatment plan</w:t>
            </w:r>
          </w:p>
          <w:p w:rsidR="00000000" w:rsidP="006C201E">
            <w:pPr>
              <w:pStyle w:val="ListBullet"/>
              <w:rPr>
                <w:lang w:val="en-NZ"/>
              </w:rPr>
            </w:pPr>
            <w:r w:rsidRPr="006C201E">
              <w:t>Adjusting the treatment plan</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Responsibilities of the client may include</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Following instruction/advice during and post treatment</w:t>
            </w:r>
          </w:p>
          <w:p w:rsidR="00000000" w:rsidRPr="006C201E" w:rsidP="006C201E">
            <w:pPr>
              <w:pStyle w:val="ListBullet"/>
            </w:pPr>
            <w:r w:rsidRPr="006C201E">
              <w:t>Advising practitioner of any relevant contraindications or potential complications to treatment</w:t>
            </w:r>
          </w:p>
          <w:p w:rsidR="00000000" w:rsidRPr="006C201E" w:rsidP="006C201E">
            <w:pPr>
              <w:pStyle w:val="ListBullet"/>
            </w:pPr>
            <w:r w:rsidRPr="006C201E">
              <w:t>Advising practitioner of compliance issues</w:t>
            </w:r>
          </w:p>
          <w:p w:rsidR="00000000" w:rsidP="006C201E">
            <w:pPr>
              <w:pStyle w:val="ListBullet"/>
              <w:rPr>
                <w:lang w:val="en-NZ"/>
              </w:rPr>
            </w:pPr>
            <w:r w:rsidRPr="006C201E">
              <w:t>Commitment to the treatment plan</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201E">
            <w:pPr>
              <w:pStyle w:val="BodyText"/>
              <w:rPr>
                <w:lang w:val="en-NZ"/>
              </w:rPr>
            </w:pPr>
            <w:r w:rsidRPr="006C201E">
              <w:rPr>
                <w:rStyle w:val="Emphasis"/>
              </w:rPr>
              <w:t>Treatment evaluation stra</w:t>
            </w:r>
            <w:r w:rsidRPr="006C201E">
              <w:rPr>
                <w:rStyle w:val="Emphasis"/>
              </w:rPr>
              <w:t>tegies may include</w:t>
            </w:r>
            <w:r w:rsidRPr="006C201E">
              <w:t>:</w:t>
            </w: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ListBullet"/>
            </w:pPr>
            <w:r w:rsidRPr="006C201E">
              <w:t>Discussing and reviewing response to treatment</w:t>
            </w:r>
          </w:p>
          <w:p w:rsidR="00000000" w:rsidRPr="006C201E" w:rsidP="006C201E">
            <w:pPr>
              <w:pStyle w:val="ListBullet"/>
            </w:pPr>
            <w:r w:rsidRPr="006C201E">
              <w:t>Reviewing achievement of treatment goals</w:t>
            </w:r>
          </w:p>
          <w:p w:rsidR="00000000" w:rsidP="006C201E">
            <w:pPr>
              <w:pStyle w:val="ListBullet"/>
              <w:rPr>
                <w:lang w:val="en-NZ"/>
              </w:rPr>
            </w:pPr>
            <w:r w:rsidRPr="006C201E">
              <w:t>Monitoring time frame for achieving treatment goals</w:t>
            </w:r>
          </w:p>
        </w:tc>
      </w:tr>
      <w:tr w:rsidTr="000365E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201E" w:rsidP="006C201E">
            <w:pPr>
              <w:pStyle w:val="BodyText"/>
            </w:pPr>
          </w:p>
        </w:tc>
      </w:tr>
    </w:tbl>
    <w:p w:rsidR="000365EB" w:rsidP="006C201E">
      <w:pPr>
        <w:pStyle w:val="BodyText"/>
      </w:pPr>
    </w:p>
    <w:p w:rsidR="000365EB" w:rsidP="006C201E">
      <w:pPr>
        <w:pStyle w:val="BodyText"/>
      </w:pPr>
    </w:p>
    <w:p w:rsidR="00000000" w:rsidRPr="006C201E" w:rsidP="006C201E">
      <w:pPr>
        <w:pStyle w:val="Heading1"/>
      </w:pPr>
      <w:bookmarkStart w:id="12" w:name="O_295148"/>
      <w:bookmarkEnd w:id="12"/>
      <w:r w:rsidRPr="006C201E">
        <w:t>Unit Sector(s)</w:t>
      </w:r>
    </w:p>
    <w:p w:rsidR="00000000" w:rsidRPr="006C201E" w:rsidP="006C201E">
      <w:pPr>
        <w:pStyle w:val="BodyText"/>
      </w:pPr>
      <w:r w:rsidRPr="006C201E">
        <w:t>Not Applicable</w:t>
      </w:r>
    </w:p>
    <w:p w:rsidR="00000000" w:rsidRPr="006C201E" w:rsidP="006C201E"/>
    <w:sectPr w:rsidSect="006C20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5EB" w:rsidP="000365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EB" w:rsidP="006C20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65EB" w:rsidP="006C20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365EB" w:rsidP="006C20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1E" w:rsidRPr="000365EB" w:rsidP="000365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0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EB" w:rsidRPr="002D2AF8" w:rsidP="006C201E">
    <w:pPr>
      <w:pStyle w:val="Header"/>
      <w:framePr w:wrap="around"/>
    </w:pPr>
    <w:r>
      <w:fldChar w:fldCharType="begin"/>
    </w:r>
    <w:r>
      <w:instrText xml:space="preserve"> TITLE   \* MERGEFORMAT </w:instrText>
    </w:r>
    <w:r>
      <w:fldChar w:fldCharType="separate"/>
    </w:r>
    <w:r>
      <w:t>HLTHOM605C Plan homeopathic treatment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365EB" w:rsidP="006C20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724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CC1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CCF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0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01E"/>
    <w:pPr>
      <w:spacing w:before="360" w:after="60"/>
      <w:outlineLvl w:val="0"/>
    </w:pPr>
    <w:rPr>
      <w:sz w:val="32"/>
    </w:rPr>
  </w:style>
  <w:style w:type="paragraph" w:styleId="Heading2">
    <w:name w:val="heading 2"/>
    <w:basedOn w:val="HeadingBase"/>
    <w:next w:val="BodyText"/>
    <w:link w:val="Heading2Char"/>
    <w:qFormat/>
    <w:rsid w:val="006C201E"/>
    <w:pPr>
      <w:keepLines/>
      <w:spacing w:before="240" w:after="120"/>
      <w:outlineLvl w:val="1"/>
    </w:pPr>
    <w:rPr>
      <w:sz w:val="28"/>
      <w:szCs w:val="40"/>
    </w:rPr>
  </w:style>
  <w:style w:type="paragraph" w:styleId="Heading3">
    <w:name w:val="heading 3"/>
    <w:basedOn w:val="HeadingBase"/>
    <w:next w:val="BodyText"/>
    <w:link w:val="Heading3Char"/>
    <w:qFormat/>
    <w:rsid w:val="006C201E"/>
    <w:pPr>
      <w:spacing w:before="180" w:after="120"/>
      <w:outlineLvl w:val="2"/>
    </w:pPr>
    <w:rPr>
      <w:spacing w:val="-10"/>
      <w:kern w:val="32"/>
    </w:rPr>
  </w:style>
  <w:style w:type="paragraph" w:styleId="Heading4">
    <w:name w:val="heading 4"/>
    <w:basedOn w:val="HeadingBase"/>
    <w:next w:val="BodyText"/>
    <w:link w:val="Heading4Char"/>
    <w:qFormat/>
    <w:rsid w:val="006C201E"/>
    <w:pPr>
      <w:spacing w:before="160" w:after="120"/>
      <w:outlineLvl w:val="3"/>
    </w:pPr>
    <w:rPr>
      <w:sz w:val="22"/>
    </w:rPr>
  </w:style>
  <w:style w:type="paragraph" w:styleId="Heading5">
    <w:name w:val="heading 5"/>
    <w:basedOn w:val="HeadingBase"/>
    <w:next w:val="Normal"/>
    <w:link w:val="Heading5Char"/>
    <w:qFormat/>
    <w:rsid w:val="006C201E"/>
    <w:pPr>
      <w:spacing w:before="80"/>
      <w:outlineLvl w:val="4"/>
    </w:pPr>
    <w:rPr>
      <w:color w:val="918585"/>
      <w:sz w:val="20"/>
    </w:rPr>
  </w:style>
  <w:style w:type="paragraph" w:styleId="Heading6">
    <w:name w:val="heading 6"/>
    <w:basedOn w:val="HeadingBase"/>
    <w:next w:val="Normal"/>
    <w:link w:val="Heading6Char"/>
    <w:qFormat/>
    <w:rsid w:val="006C201E"/>
    <w:pPr>
      <w:spacing w:before="60"/>
      <w:outlineLvl w:val="5"/>
    </w:pPr>
    <w:rPr>
      <w:color w:val="918585"/>
      <w:sz w:val="20"/>
    </w:rPr>
  </w:style>
  <w:style w:type="paragraph" w:styleId="Heading7">
    <w:name w:val="heading 7"/>
    <w:basedOn w:val="Normal"/>
    <w:next w:val="Normal"/>
    <w:link w:val="Heading7Char"/>
    <w:qFormat/>
    <w:rsid w:val="006C201E"/>
    <w:pPr>
      <w:ind w:left="720"/>
      <w:outlineLvl w:val="6"/>
    </w:pPr>
    <w:rPr>
      <w:i/>
    </w:rPr>
  </w:style>
  <w:style w:type="paragraph" w:styleId="Heading8">
    <w:name w:val="heading 8"/>
    <w:basedOn w:val="Normal"/>
    <w:next w:val="Normal"/>
    <w:link w:val="Heading8Char"/>
    <w:qFormat/>
    <w:rsid w:val="006C201E"/>
    <w:pPr>
      <w:ind w:left="720"/>
      <w:outlineLvl w:val="7"/>
    </w:pPr>
    <w:rPr>
      <w:i/>
    </w:rPr>
  </w:style>
  <w:style w:type="paragraph" w:styleId="Heading9">
    <w:name w:val="heading 9"/>
    <w:basedOn w:val="Normal"/>
    <w:next w:val="Normal"/>
    <w:link w:val="Heading9Char"/>
    <w:qFormat/>
    <w:rsid w:val="006C201E"/>
    <w:pPr>
      <w:ind w:left="720"/>
      <w:outlineLvl w:val="8"/>
    </w:pPr>
    <w:rPr>
      <w:i/>
    </w:rPr>
  </w:style>
  <w:style w:type="character" w:default="1" w:styleId="DefaultParagraphFont">
    <w:name w:val="Default Paragraph Font"/>
    <w:uiPriority w:val="1"/>
    <w:unhideWhenUsed/>
    <w:rsid w:val="006C20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01E"/>
  </w:style>
  <w:style w:type="character" w:customStyle="1" w:styleId="Heading1Char">
    <w:name w:val="Heading 1 Char"/>
    <w:basedOn w:val="DefaultParagraphFont"/>
    <w:link w:val="Heading1"/>
    <w:rsid w:val="006C201E"/>
    <w:rPr>
      <w:rFonts w:ascii="Times New Roman" w:eastAsia="Times New Roman" w:hAnsi="Times New Roman" w:cs="Times New Roman"/>
      <w:b/>
      <w:sz w:val="32"/>
      <w:szCs w:val="20"/>
      <w:lang w:eastAsia="en-US"/>
    </w:rPr>
  </w:style>
  <w:style w:type="paragraph" w:styleId="BodyText">
    <w:name w:val="Body Text"/>
    <w:basedOn w:val="Normal"/>
    <w:link w:val="BodyTextChar"/>
    <w:rsid w:val="006C20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01E"/>
    <w:rPr>
      <w:rFonts w:ascii="Times New Roman" w:eastAsia="Times New Roman" w:hAnsi="Times New Roman" w:cs="Times New Roman"/>
      <w:sz w:val="24"/>
      <w:lang w:eastAsia="en-US"/>
    </w:rPr>
  </w:style>
  <w:style w:type="paragraph" w:styleId="Footer">
    <w:name w:val="footer"/>
    <w:basedOn w:val="Normal"/>
    <w:link w:val="FooterChar"/>
    <w:rsid w:val="006C20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01E"/>
    <w:rPr>
      <w:rFonts w:ascii="Times New Roman" w:eastAsia="Times New Roman" w:hAnsi="Times New Roman" w:cs="Times New Roman"/>
      <w:sz w:val="16"/>
      <w:lang w:eastAsia="en-US"/>
    </w:rPr>
  </w:style>
  <w:style w:type="paragraph" w:styleId="List">
    <w:name w:val="List"/>
    <w:basedOn w:val="BodyText"/>
    <w:next w:val="BodyText"/>
    <w:rsid w:val="006C201E"/>
    <w:pPr>
      <w:tabs>
        <w:tab w:val="left" w:pos="340"/>
      </w:tabs>
      <w:spacing w:before="60" w:after="60"/>
      <w:ind w:left="340" w:hanging="340"/>
    </w:pPr>
  </w:style>
  <w:style w:type="paragraph" w:styleId="ListBullet">
    <w:name w:val="List Bullet"/>
    <w:basedOn w:val="List"/>
    <w:rsid w:val="006C201E"/>
    <w:pPr>
      <w:numPr>
        <w:numId w:val="14"/>
      </w:numPr>
      <w:tabs>
        <w:tab w:val="clear" w:pos="340"/>
      </w:tabs>
      <w:spacing w:before="40" w:after="40"/>
    </w:pPr>
  </w:style>
  <w:style w:type="character" w:customStyle="1" w:styleId="SpecialBold">
    <w:name w:val="Special Bold"/>
    <w:basedOn w:val="DefaultParagraphFont"/>
    <w:rsid w:val="006C201E"/>
    <w:rPr>
      <w:b/>
      <w:spacing w:val="0"/>
    </w:rPr>
  </w:style>
  <w:style w:type="paragraph" w:styleId="ListBullet2">
    <w:name w:val="List Bullet 2"/>
    <w:basedOn w:val="List2"/>
    <w:rsid w:val="006C201E"/>
    <w:pPr>
      <w:numPr>
        <w:numId w:val="15"/>
      </w:numPr>
      <w:tabs>
        <w:tab w:val="clear" w:pos="680"/>
      </w:tabs>
    </w:pPr>
  </w:style>
  <w:style w:type="character" w:styleId="Emphasis">
    <w:name w:val="Emphasis"/>
    <w:basedOn w:val="DefaultParagraphFont"/>
    <w:qFormat/>
    <w:rsid w:val="006C201E"/>
    <w:rPr>
      <w:i/>
    </w:rPr>
  </w:style>
  <w:style w:type="paragraph" w:customStyle="1" w:styleId="SuperHeading">
    <w:name w:val="SuperHeading"/>
    <w:basedOn w:val="Normal"/>
    <w:rsid w:val="006C201E"/>
    <w:pPr>
      <w:spacing w:before="240" w:after="120"/>
      <w:outlineLvl w:val="0"/>
    </w:pPr>
    <w:rPr>
      <w:rFonts w:ascii="Times New Roman" w:hAnsi="Times New Roman"/>
      <w:b/>
      <w:sz w:val="28"/>
    </w:rPr>
  </w:style>
  <w:style w:type="paragraph" w:customStyle="1" w:styleId="AllowPageBreak">
    <w:name w:val="AllowPageBreak"/>
    <w:rsid w:val="006C20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201E"/>
    <w:pPr>
      <w:numPr>
        <w:numId w:val="3"/>
      </w:numPr>
      <w:tabs>
        <w:tab w:val="clear" w:pos="1021"/>
      </w:tabs>
      <w:ind w:left="1037" w:hanging="357"/>
    </w:pPr>
  </w:style>
  <w:style w:type="character" w:customStyle="1" w:styleId="Heading2Char">
    <w:name w:val="Heading 2 Char"/>
    <w:basedOn w:val="DefaultParagraphFont"/>
    <w:link w:val="Heading2"/>
    <w:rsid w:val="006C20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0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0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0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0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0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0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01E"/>
    <w:rPr>
      <w:rFonts w:ascii="Courier New" w:eastAsia="Times New Roman" w:hAnsi="Courier New" w:cs="Times New Roman"/>
      <w:i/>
      <w:szCs w:val="20"/>
      <w:lang w:eastAsia="en-US"/>
    </w:rPr>
  </w:style>
  <w:style w:type="paragraph" w:customStyle="1" w:styleId="HeadingBase">
    <w:name w:val="Heading Base"/>
    <w:rsid w:val="006C20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01E"/>
    <w:pPr>
      <w:tabs>
        <w:tab w:val="right" w:leader="dot" w:pos="9072"/>
      </w:tabs>
      <w:ind w:left="567"/>
    </w:pPr>
    <w:rPr>
      <w:szCs w:val="22"/>
    </w:rPr>
  </w:style>
  <w:style w:type="paragraph" w:customStyle="1" w:styleId="TOCBase">
    <w:name w:val="TOC Base"/>
    <w:rsid w:val="006C20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01E"/>
    <w:pPr>
      <w:tabs>
        <w:tab w:val="right" w:leader="dot" w:pos="9072"/>
      </w:tabs>
      <w:spacing w:before="40" w:after="40"/>
      <w:ind w:left="284"/>
    </w:pPr>
    <w:rPr>
      <w:rFonts w:ascii="Times New Roman" w:hAnsi="Times New Roman"/>
    </w:rPr>
  </w:style>
  <w:style w:type="paragraph" w:styleId="TOC1">
    <w:name w:val="toc 1"/>
    <w:basedOn w:val="TOCBase"/>
    <w:next w:val="Normal"/>
    <w:rsid w:val="006C20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01E"/>
    <w:pPr>
      <w:spacing w:before="5040"/>
      <w:jc w:val="center"/>
    </w:pPr>
    <w:rPr>
      <w:sz w:val="48"/>
      <w:szCs w:val="72"/>
      <w:lang w:val="en-US"/>
    </w:rPr>
  </w:style>
  <w:style w:type="character" w:customStyle="1" w:styleId="TitleChar">
    <w:name w:val="Title Char"/>
    <w:basedOn w:val="DefaultParagraphFont"/>
    <w:link w:val="Title"/>
    <w:rsid w:val="006C20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01E"/>
    <w:pPr>
      <w:tabs>
        <w:tab w:val="left" w:pos="3600"/>
        <w:tab w:val="left" w:pos="3958"/>
      </w:tabs>
    </w:pPr>
  </w:style>
  <w:style w:type="paragraph" w:customStyle="1" w:styleId="Note">
    <w:name w:val="Note"/>
    <w:basedOn w:val="BodyText"/>
    <w:rsid w:val="006C20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01E"/>
    <w:pPr>
      <w:framePr w:wrap="auto" w:hAnchor="text" w:y="6049"/>
    </w:pPr>
    <w:rPr>
      <w:color w:val="000000"/>
      <w:sz w:val="40"/>
    </w:rPr>
  </w:style>
  <w:style w:type="paragraph" w:customStyle="1" w:styleId="TOCTitle">
    <w:name w:val="TOCTitle"/>
    <w:basedOn w:val="Heading1"/>
    <w:rsid w:val="006C201E"/>
    <w:pPr>
      <w:spacing w:after="240"/>
      <w:jc w:val="center"/>
      <w:outlineLvl w:val="9"/>
    </w:pPr>
    <w:rPr>
      <w:caps/>
    </w:rPr>
  </w:style>
  <w:style w:type="paragraph" w:customStyle="1" w:styleId="Version">
    <w:name w:val="Version"/>
    <w:rsid w:val="006C20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01E"/>
    <w:pPr>
      <w:keepNext w:val="0"/>
      <w:tabs>
        <w:tab w:val="right" w:pos="4176"/>
      </w:tabs>
      <w:ind w:left="198" w:hanging="198"/>
    </w:pPr>
    <w:rPr>
      <w:rFonts w:ascii="Garamond" w:hAnsi="Garamond"/>
    </w:rPr>
  </w:style>
  <w:style w:type="paragraph" w:styleId="IndexHeading">
    <w:name w:val="index heading"/>
    <w:basedOn w:val="Normal"/>
    <w:next w:val="Index1"/>
    <w:semiHidden/>
    <w:rsid w:val="006C201E"/>
    <w:pPr>
      <w:spacing w:before="120" w:after="120"/>
    </w:pPr>
    <w:rPr>
      <w:rFonts w:ascii="Arial" w:hAnsi="Arial"/>
      <w:b/>
      <w:color w:val="918585"/>
      <w:sz w:val="24"/>
    </w:rPr>
  </w:style>
  <w:style w:type="paragraph" w:styleId="Header">
    <w:name w:val="header"/>
    <w:basedOn w:val="Normal"/>
    <w:link w:val="HeaderChar"/>
    <w:rsid w:val="006C20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01E"/>
    <w:rPr>
      <w:rFonts w:ascii="Times New Roman" w:eastAsia="Times New Roman" w:hAnsi="Times New Roman" w:cs="Times New Roman"/>
      <w:sz w:val="16"/>
      <w:szCs w:val="20"/>
      <w:lang w:val="en-GB" w:eastAsia="en-US"/>
    </w:rPr>
  </w:style>
  <w:style w:type="paragraph" w:customStyle="1" w:styleId="Chapter">
    <w:name w:val="Chapter"/>
    <w:basedOn w:val="Normal"/>
    <w:rsid w:val="006C201E"/>
    <w:pPr>
      <w:spacing w:before="240"/>
    </w:pPr>
    <w:rPr>
      <w:rFonts w:ascii="Times New Roman" w:hAnsi="Times New Roman"/>
      <w:smallCaps/>
      <w:spacing w:val="80"/>
      <w:sz w:val="28"/>
    </w:rPr>
  </w:style>
  <w:style w:type="paragraph" w:customStyle="1" w:styleId="InChapter">
    <w:name w:val="InChapter"/>
    <w:basedOn w:val="Heading3"/>
    <w:rsid w:val="006C201E"/>
    <w:pPr>
      <w:spacing w:after="240"/>
      <w:outlineLvl w:val="9"/>
    </w:pPr>
    <w:rPr>
      <w:noProof/>
    </w:rPr>
  </w:style>
  <w:style w:type="paragraph" w:styleId="Index2">
    <w:name w:val="index 2"/>
    <w:basedOn w:val="Normal"/>
    <w:next w:val="Normal"/>
    <w:semiHidden/>
    <w:rsid w:val="006C201E"/>
    <w:pPr>
      <w:tabs>
        <w:tab w:val="right" w:pos="4176"/>
      </w:tabs>
      <w:ind w:left="568" w:hanging="284"/>
    </w:pPr>
    <w:rPr>
      <w:rFonts w:ascii="Garamond" w:hAnsi="Garamond"/>
    </w:rPr>
  </w:style>
  <w:style w:type="paragraph" w:customStyle="1" w:styleId="Byline">
    <w:name w:val="Byline"/>
    <w:rsid w:val="006C20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01E"/>
    <w:pPr>
      <w:tabs>
        <w:tab w:val="clear" w:pos="3600"/>
        <w:tab w:val="clear" w:pos="3958"/>
      </w:tabs>
      <w:jc w:val="right"/>
    </w:pPr>
  </w:style>
  <w:style w:type="paragraph" w:styleId="Caption">
    <w:name w:val="caption"/>
    <w:basedOn w:val="BodyText"/>
    <w:next w:val="Normal"/>
    <w:qFormat/>
    <w:rsid w:val="006C201E"/>
    <w:pPr>
      <w:framePr w:w="2268" w:hSpace="181" w:vSpace="181" w:wrap="around" w:vAnchor="text" w:hAnchor="page" w:x="1135" w:y="285" w:anchorLock="1"/>
    </w:pPr>
    <w:rPr>
      <w:i/>
    </w:rPr>
  </w:style>
  <w:style w:type="paragraph" w:customStyle="1" w:styleId="MiniTOCTitle">
    <w:name w:val="MiniTOCTitle"/>
    <w:basedOn w:val="Heading4"/>
    <w:rsid w:val="006C201E"/>
    <w:pPr>
      <w:spacing w:before="240"/>
      <w:outlineLvl w:val="9"/>
    </w:pPr>
    <w:rPr>
      <w:noProof/>
      <w:sz w:val="24"/>
    </w:rPr>
  </w:style>
  <w:style w:type="paragraph" w:customStyle="1" w:styleId="MiniTOCItem">
    <w:name w:val="MiniTOCItem"/>
    <w:basedOn w:val="ListBullet"/>
    <w:rsid w:val="006C201E"/>
    <w:pPr>
      <w:numPr>
        <w:numId w:val="0"/>
      </w:numPr>
      <w:tabs>
        <w:tab w:val="right" w:leader="dot" w:pos="6521"/>
      </w:tabs>
      <w:spacing w:before="0" w:after="0"/>
    </w:pPr>
  </w:style>
  <w:style w:type="paragraph" w:customStyle="1" w:styleId="TOFTitle">
    <w:name w:val="TOFTitle"/>
    <w:basedOn w:val="TOCTitle"/>
    <w:rsid w:val="006C201E"/>
  </w:style>
  <w:style w:type="paragraph" w:styleId="TableofFigures">
    <w:name w:val="table of figures"/>
    <w:basedOn w:val="Normal"/>
    <w:next w:val="Normal"/>
    <w:semiHidden/>
    <w:rsid w:val="006C201E"/>
    <w:pPr>
      <w:tabs>
        <w:tab w:val="right" w:leader="dot" w:pos="9072"/>
      </w:tabs>
      <w:ind w:left="970" w:hanging="403"/>
    </w:pPr>
    <w:rPr>
      <w:rFonts w:ascii="Times New Roman" w:hAnsi="Times New Roman"/>
      <w:b/>
    </w:rPr>
  </w:style>
  <w:style w:type="paragraph" w:styleId="ListNumber">
    <w:name w:val="List Number"/>
    <w:basedOn w:val="List"/>
    <w:rsid w:val="006C201E"/>
    <w:pPr>
      <w:numPr>
        <w:numId w:val="12"/>
      </w:numPr>
    </w:pPr>
  </w:style>
  <w:style w:type="character" w:customStyle="1" w:styleId="WingdingSymbols">
    <w:name w:val="Wingding Symbols"/>
    <w:rsid w:val="006C201E"/>
    <w:rPr>
      <w:rFonts w:ascii="Wingdings" w:hAnsi="Wingdings"/>
    </w:rPr>
  </w:style>
  <w:style w:type="paragraph" w:customStyle="1" w:styleId="TableHeading">
    <w:name w:val="Table Heading"/>
    <w:basedOn w:val="HeadingBase"/>
    <w:rsid w:val="006C201E"/>
    <w:pPr>
      <w:keepLines/>
      <w:pBdr>
        <w:bottom w:val="single" w:sz="6" w:space="1" w:color="918585"/>
      </w:pBdr>
      <w:spacing w:before="240"/>
    </w:pPr>
  </w:style>
  <w:style w:type="character" w:customStyle="1" w:styleId="HotSpot">
    <w:name w:val="HotSpot"/>
    <w:rsid w:val="006C201E"/>
    <w:rPr>
      <w:color w:val="0033CC"/>
      <w:u w:val="none"/>
    </w:rPr>
  </w:style>
  <w:style w:type="paragraph" w:customStyle="1" w:styleId="BodyTextRight">
    <w:name w:val="Body Text Right"/>
    <w:basedOn w:val="BodyText"/>
    <w:rsid w:val="006C201E"/>
    <w:pPr>
      <w:spacing w:before="0" w:after="0"/>
      <w:jc w:val="right"/>
    </w:pPr>
  </w:style>
  <w:style w:type="paragraph" w:styleId="Index3">
    <w:name w:val="index 3"/>
    <w:basedOn w:val="ListNumber2"/>
    <w:next w:val="Normal"/>
    <w:semiHidden/>
    <w:rsid w:val="006C201E"/>
    <w:pPr>
      <w:numPr>
        <w:numId w:val="0"/>
      </w:numPr>
      <w:tabs>
        <w:tab w:val="right" w:leader="dot" w:pos="4176"/>
      </w:tabs>
    </w:pPr>
  </w:style>
  <w:style w:type="paragraph" w:styleId="ListNumber2">
    <w:name w:val="List Number 2"/>
    <w:basedOn w:val="List2"/>
    <w:rsid w:val="006C201E"/>
    <w:pPr>
      <w:numPr>
        <w:numId w:val="11"/>
      </w:numPr>
      <w:tabs>
        <w:tab w:val="clear" w:pos="1060"/>
      </w:tabs>
    </w:pPr>
  </w:style>
  <w:style w:type="paragraph" w:customStyle="1" w:styleId="MarginNote">
    <w:name w:val="Margin Note"/>
    <w:basedOn w:val="BodyText"/>
    <w:rsid w:val="006C20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0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0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01E"/>
    <w:rPr>
      <w:sz w:val="32"/>
    </w:rPr>
  </w:style>
  <w:style w:type="paragraph" w:customStyle="1" w:styleId="HeadingProcedure">
    <w:name w:val="Heading Procedure"/>
    <w:basedOn w:val="HeadingBase"/>
    <w:next w:val="Normal"/>
    <w:rsid w:val="006C201E"/>
    <w:pPr>
      <w:tabs>
        <w:tab w:val="left" w:pos="0"/>
      </w:tabs>
      <w:spacing w:before="120" w:after="60"/>
    </w:pPr>
    <w:rPr>
      <w:i/>
      <w:color w:val="918585"/>
      <w:sz w:val="22"/>
    </w:rPr>
  </w:style>
  <w:style w:type="paragraph" w:customStyle="1" w:styleId="TableBodyText">
    <w:name w:val="Table Body Text"/>
    <w:basedOn w:val="BodyText"/>
    <w:rsid w:val="006C201E"/>
    <w:pPr>
      <w:spacing w:before="60" w:after="60"/>
    </w:pPr>
  </w:style>
  <w:style w:type="paragraph" w:styleId="ListContinue">
    <w:name w:val="List Continue"/>
    <w:basedOn w:val="List"/>
    <w:rsid w:val="006C201E"/>
    <w:pPr>
      <w:ind w:firstLine="0"/>
    </w:pPr>
  </w:style>
  <w:style w:type="paragraph" w:customStyle="1" w:styleId="ListNote">
    <w:name w:val="List Note"/>
    <w:basedOn w:val="List"/>
    <w:rsid w:val="006C201E"/>
    <w:pPr>
      <w:pBdr>
        <w:top w:val="single" w:sz="6" w:space="2" w:color="918585"/>
        <w:bottom w:val="single" w:sz="6" w:space="2" w:color="918585"/>
      </w:pBdr>
      <w:tabs>
        <w:tab w:val="left" w:pos="1021"/>
      </w:tabs>
      <w:ind w:firstLine="0"/>
    </w:pPr>
  </w:style>
  <w:style w:type="paragraph" w:customStyle="1" w:styleId="Warning">
    <w:name w:val="Warning"/>
    <w:basedOn w:val="BodyText"/>
    <w:rsid w:val="006C201E"/>
    <w:pPr>
      <w:shd w:val="clear" w:color="auto" w:fill="D9D9D9"/>
      <w:tabs>
        <w:tab w:val="left" w:pos="992"/>
      </w:tabs>
      <w:ind w:left="119" w:right="119"/>
    </w:pPr>
    <w:rPr>
      <w:sz w:val="20"/>
    </w:rPr>
  </w:style>
  <w:style w:type="paragraph" w:customStyle="1" w:styleId="MarginIcons">
    <w:name w:val="Margin Icons"/>
    <w:basedOn w:val="BodyText"/>
    <w:rsid w:val="006C20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01E"/>
    <w:rPr>
      <w:rFonts w:ascii="Courier New" w:hAnsi="Courier New"/>
    </w:rPr>
  </w:style>
  <w:style w:type="paragraph" w:customStyle="1" w:styleId="NoteBullet">
    <w:name w:val="Note Bullet"/>
    <w:basedOn w:val="Note"/>
    <w:rsid w:val="006C201E"/>
    <w:pPr>
      <w:tabs>
        <w:tab w:val="clear" w:pos="680"/>
      </w:tabs>
      <w:spacing w:before="60" w:after="60"/>
    </w:pPr>
  </w:style>
  <w:style w:type="paragraph" w:customStyle="1" w:styleId="SubHeading2">
    <w:name w:val="SubHeading2"/>
    <w:basedOn w:val="HeadingBase"/>
    <w:rsid w:val="006C201E"/>
    <w:pPr>
      <w:spacing w:before="240" w:after="60"/>
    </w:pPr>
    <w:rPr>
      <w:sz w:val="20"/>
    </w:rPr>
  </w:style>
  <w:style w:type="paragraph" w:customStyle="1" w:styleId="SubHeading1">
    <w:name w:val="SubHeading1"/>
    <w:basedOn w:val="HeadingBase"/>
    <w:rsid w:val="006C201E"/>
    <w:pPr>
      <w:spacing w:before="240" w:after="60"/>
    </w:pPr>
    <w:rPr>
      <w:color w:val="918585"/>
      <w:sz w:val="22"/>
    </w:rPr>
  </w:style>
  <w:style w:type="paragraph" w:customStyle="1" w:styleId="SideHeading">
    <w:name w:val="Side Heading"/>
    <w:basedOn w:val="HeadingBase"/>
    <w:rsid w:val="006C20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01E"/>
    <w:pPr>
      <w:numPr>
        <w:numId w:val="13"/>
      </w:numPr>
    </w:pPr>
  </w:style>
  <w:style w:type="paragraph" w:styleId="PlainText">
    <w:name w:val="Plain Text"/>
    <w:basedOn w:val="Normal"/>
    <w:link w:val="PlainTextChar"/>
    <w:rsid w:val="006C201E"/>
    <w:rPr>
      <w:sz w:val="20"/>
    </w:rPr>
  </w:style>
  <w:style w:type="character" w:customStyle="1" w:styleId="PlainTextChar">
    <w:name w:val="Plain Text Char"/>
    <w:basedOn w:val="DefaultParagraphFont"/>
    <w:link w:val="PlainText"/>
    <w:rsid w:val="006C201E"/>
    <w:rPr>
      <w:rFonts w:ascii="Courier New" w:eastAsia="Times New Roman" w:hAnsi="Courier New" w:cs="Times New Roman"/>
      <w:sz w:val="20"/>
      <w:szCs w:val="20"/>
      <w:lang w:eastAsia="en-US"/>
    </w:rPr>
  </w:style>
  <w:style w:type="character" w:customStyle="1" w:styleId="MenuOption">
    <w:name w:val="Menu Option"/>
    <w:basedOn w:val="DefaultParagraphFont"/>
    <w:rsid w:val="006C201E"/>
    <w:rPr>
      <w:b/>
      <w:smallCaps/>
    </w:rPr>
  </w:style>
  <w:style w:type="paragraph" w:customStyle="1" w:styleId="TableListNumber">
    <w:name w:val="Table List Number"/>
    <w:basedOn w:val="ListNumber"/>
    <w:rsid w:val="006C201E"/>
    <w:pPr>
      <w:numPr>
        <w:numId w:val="0"/>
      </w:numPr>
    </w:pPr>
  </w:style>
  <w:style w:type="paragraph" w:styleId="TOC4">
    <w:name w:val="toc 4"/>
    <w:basedOn w:val="TOCBase"/>
    <w:next w:val="Normal"/>
    <w:semiHidden/>
    <w:rsid w:val="006C201E"/>
    <w:pPr>
      <w:tabs>
        <w:tab w:val="right" w:leader="dot" w:pos="9071"/>
      </w:tabs>
      <w:ind w:left="1701"/>
    </w:pPr>
  </w:style>
  <w:style w:type="paragraph" w:customStyle="1" w:styleId="ListAlpha">
    <w:name w:val="List Alpha"/>
    <w:basedOn w:val="List"/>
    <w:rsid w:val="006C201E"/>
    <w:pPr>
      <w:numPr>
        <w:numId w:val="10"/>
      </w:numPr>
    </w:pPr>
  </w:style>
  <w:style w:type="paragraph" w:customStyle="1" w:styleId="ListAlpha2">
    <w:name w:val="List Alpha 2"/>
    <w:basedOn w:val="List2"/>
    <w:rsid w:val="006C201E"/>
    <w:pPr>
      <w:numPr>
        <w:numId w:val="9"/>
      </w:numPr>
    </w:pPr>
  </w:style>
  <w:style w:type="paragraph" w:styleId="List2">
    <w:name w:val="List 2"/>
    <w:basedOn w:val="BodyText"/>
    <w:rsid w:val="006C201E"/>
    <w:pPr>
      <w:tabs>
        <w:tab w:val="left" w:pos="680"/>
      </w:tabs>
      <w:spacing w:before="60" w:after="60"/>
      <w:ind w:left="680" w:hanging="340"/>
    </w:pPr>
  </w:style>
  <w:style w:type="paragraph" w:styleId="List3">
    <w:name w:val="List 3"/>
    <w:basedOn w:val="BodyText"/>
    <w:rsid w:val="006C201E"/>
    <w:pPr>
      <w:tabs>
        <w:tab w:val="left" w:pos="1021"/>
      </w:tabs>
      <w:spacing w:before="60" w:after="60"/>
      <w:ind w:left="1020" w:hanging="340"/>
    </w:pPr>
  </w:style>
  <w:style w:type="paragraph" w:styleId="List4">
    <w:name w:val="List 4"/>
    <w:basedOn w:val="BodyText"/>
    <w:rsid w:val="006C201E"/>
    <w:pPr>
      <w:tabs>
        <w:tab w:val="left" w:pos="1361"/>
      </w:tabs>
      <w:spacing w:before="60" w:after="60"/>
      <w:ind w:left="1361" w:hanging="340"/>
    </w:pPr>
  </w:style>
  <w:style w:type="paragraph" w:styleId="List5">
    <w:name w:val="List 5"/>
    <w:basedOn w:val="BodyText"/>
    <w:rsid w:val="006C201E"/>
    <w:pPr>
      <w:tabs>
        <w:tab w:val="left" w:pos="1701"/>
      </w:tabs>
      <w:spacing w:before="60" w:after="60"/>
      <w:ind w:left="1701" w:hanging="340"/>
    </w:pPr>
  </w:style>
  <w:style w:type="paragraph" w:styleId="ListBullet4">
    <w:name w:val="List Bullet 4"/>
    <w:basedOn w:val="List4"/>
    <w:rsid w:val="006C201E"/>
    <w:pPr>
      <w:numPr>
        <w:numId w:val="4"/>
      </w:numPr>
    </w:pPr>
  </w:style>
  <w:style w:type="paragraph" w:styleId="ListBullet5">
    <w:name w:val="List Bullet 5"/>
    <w:basedOn w:val="List5"/>
    <w:rsid w:val="006C201E"/>
    <w:pPr>
      <w:numPr>
        <w:numId w:val="5"/>
      </w:numPr>
    </w:pPr>
  </w:style>
  <w:style w:type="paragraph" w:styleId="ListContinue2">
    <w:name w:val="List Continue 2"/>
    <w:basedOn w:val="List2"/>
    <w:rsid w:val="006C201E"/>
    <w:pPr>
      <w:ind w:firstLine="0"/>
    </w:pPr>
  </w:style>
  <w:style w:type="paragraph" w:styleId="ListContinue3">
    <w:name w:val="List Continue 3"/>
    <w:basedOn w:val="List3"/>
    <w:rsid w:val="006C201E"/>
    <w:pPr>
      <w:ind w:left="1021" w:firstLine="0"/>
    </w:pPr>
  </w:style>
  <w:style w:type="paragraph" w:styleId="ListContinue4">
    <w:name w:val="List Continue 4"/>
    <w:basedOn w:val="List4"/>
    <w:rsid w:val="006C201E"/>
    <w:pPr>
      <w:ind w:firstLine="0"/>
    </w:pPr>
  </w:style>
  <w:style w:type="paragraph" w:styleId="ListContinue5">
    <w:name w:val="List Continue 5"/>
    <w:basedOn w:val="List5"/>
    <w:rsid w:val="006C201E"/>
    <w:pPr>
      <w:ind w:firstLine="0"/>
    </w:pPr>
  </w:style>
  <w:style w:type="paragraph" w:styleId="ListNumber3">
    <w:name w:val="List Number 3"/>
    <w:basedOn w:val="List3"/>
    <w:rsid w:val="006C201E"/>
    <w:pPr>
      <w:numPr>
        <w:numId w:val="6"/>
      </w:numPr>
    </w:pPr>
  </w:style>
  <w:style w:type="paragraph" w:styleId="ListNumber4">
    <w:name w:val="List Number 4"/>
    <w:basedOn w:val="List4"/>
    <w:rsid w:val="006C201E"/>
    <w:pPr>
      <w:numPr>
        <w:numId w:val="7"/>
      </w:numPr>
    </w:pPr>
  </w:style>
  <w:style w:type="paragraph" w:styleId="ListNumber5">
    <w:name w:val="List Number 5"/>
    <w:basedOn w:val="List5"/>
    <w:rsid w:val="006C201E"/>
    <w:pPr>
      <w:numPr>
        <w:numId w:val="8"/>
      </w:numPr>
    </w:pPr>
  </w:style>
  <w:style w:type="paragraph" w:styleId="BlockText">
    <w:name w:val="Block Text"/>
    <w:basedOn w:val="Normal"/>
    <w:rsid w:val="006C201E"/>
    <w:pPr>
      <w:spacing w:after="120"/>
      <w:ind w:left="1440" w:right="1440"/>
    </w:pPr>
  </w:style>
  <w:style w:type="character" w:customStyle="1" w:styleId="Subscript">
    <w:name w:val="Subscript"/>
    <w:basedOn w:val="DefaultParagraphFont"/>
    <w:rsid w:val="006C201E"/>
    <w:rPr>
      <w:sz w:val="16"/>
      <w:vertAlign w:val="subscript"/>
    </w:rPr>
  </w:style>
  <w:style w:type="character" w:customStyle="1" w:styleId="Superscript">
    <w:name w:val="Superscript"/>
    <w:basedOn w:val="DefaultParagraphFont"/>
    <w:rsid w:val="006C201E"/>
    <w:rPr>
      <w:sz w:val="16"/>
      <w:vertAlign w:val="superscript"/>
    </w:rPr>
  </w:style>
  <w:style w:type="character" w:customStyle="1" w:styleId="Symbols">
    <w:name w:val="Symbols"/>
    <w:basedOn w:val="DefaultParagraphFont"/>
    <w:rsid w:val="006C201E"/>
    <w:rPr>
      <w:rFonts w:ascii="Symbol" w:hAnsi="Symbol"/>
    </w:rPr>
  </w:style>
  <w:style w:type="character" w:customStyle="1" w:styleId="MenuOptions">
    <w:name w:val="Menu Options"/>
    <w:basedOn w:val="DefaultParagraphFont"/>
    <w:rsid w:val="006C201E"/>
    <w:rPr>
      <w:rFonts w:ascii="Arial Narrow" w:hAnsi="Arial Narrow"/>
      <w:smallCaps/>
    </w:rPr>
  </w:style>
  <w:style w:type="character" w:customStyle="1" w:styleId="Buttons">
    <w:name w:val="Buttons"/>
    <w:basedOn w:val="DefaultParagraphFont"/>
    <w:rsid w:val="006C201E"/>
    <w:rPr>
      <w:b/>
    </w:rPr>
  </w:style>
  <w:style w:type="character" w:customStyle="1" w:styleId="Underlined">
    <w:name w:val="Underlined"/>
    <w:basedOn w:val="DefaultParagraphFont"/>
    <w:rsid w:val="006C201E"/>
    <w:rPr>
      <w:u w:val="single"/>
    </w:rPr>
  </w:style>
  <w:style w:type="paragraph" w:customStyle="1" w:styleId="TableBodyTextRight">
    <w:name w:val="Table Body Text Right"/>
    <w:basedOn w:val="TableBodyText"/>
    <w:rsid w:val="006C201E"/>
    <w:pPr>
      <w:widowControl w:val="0"/>
      <w:autoSpaceDE w:val="0"/>
      <w:autoSpaceDN w:val="0"/>
      <w:adjustRightInd w:val="0"/>
      <w:jc w:val="right"/>
    </w:pPr>
    <w:rPr>
      <w:rFonts w:cs="Arial"/>
      <w:szCs w:val="18"/>
    </w:rPr>
  </w:style>
  <w:style w:type="paragraph" w:customStyle="1" w:styleId="CopyrightText">
    <w:name w:val="Copyright Text"/>
    <w:basedOn w:val="BodyText"/>
    <w:rsid w:val="006C201E"/>
    <w:rPr>
      <w:sz w:val="18"/>
    </w:rPr>
  </w:style>
  <w:style w:type="paragraph" w:customStyle="1" w:styleId="BodySmallRight">
    <w:name w:val="Body Small Right"/>
    <w:basedOn w:val="BodyTextRight"/>
    <w:rsid w:val="006C201E"/>
    <w:rPr>
      <w:sz w:val="18"/>
      <w:szCs w:val="18"/>
    </w:rPr>
  </w:style>
  <w:style w:type="paragraph" w:customStyle="1" w:styleId="MarginEdition">
    <w:name w:val="Margin Edition"/>
    <w:basedOn w:val="MarginNote"/>
    <w:rsid w:val="006C201E"/>
    <w:pPr>
      <w:spacing w:before="0" w:after="0"/>
    </w:pPr>
    <w:rPr>
      <w:rFonts w:ascii="Times New Roman" w:hAnsi="Times New Roman"/>
      <w:color w:val="999999"/>
    </w:rPr>
  </w:style>
  <w:style w:type="paragraph" w:customStyle="1" w:styleId="Spacer">
    <w:name w:val="Spacer"/>
    <w:basedOn w:val="Normal"/>
    <w:rsid w:val="006C201E"/>
    <w:rPr>
      <w:sz w:val="2"/>
      <w:szCs w:val="2"/>
    </w:rPr>
  </w:style>
  <w:style w:type="character" w:customStyle="1" w:styleId="Small">
    <w:name w:val="Small"/>
    <w:basedOn w:val="DefaultParagraphFont"/>
    <w:rsid w:val="006C201E"/>
    <w:rPr>
      <w:sz w:val="16"/>
    </w:rPr>
  </w:style>
  <w:style w:type="paragraph" w:customStyle="1" w:styleId="WideTable">
    <w:name w:val="Wide Table"/>
    <w:basedOn w:val="Normal"/>
    <w:rsid w:val="006C201E"/>
    <w:pPr>
      <w:ind w:left="-1418"/>
    </w:pPr>
    <w:rPr>
      <w:sz w:val="2"/>
      <w:szCs w:val="2"/>
    </w:rPr>
  </w:style>
  <w:style w:type="character" w:styleId="PageNumber">
    <w:name w:val="page number"/>
    <w:basedOn w:val="DefaultParagraphFont"/>
    <w:rsid w:val="006C201E"/>
  </w:style>
  <w:style w:type="paragraph" w:styleId="Quote">
    <w:name w:val="Quote"/>
    <w:basedOn w:val="Heading1"/>
    <w:link w:val="QuoteChar"/>
    <w:qFormat/>
    <w:rsid w:val="006C201E"/>
    <w:rPr>
      <w:b w:val="0"/>
      <w:sz w:val="72"/>
      <w:szCs w:val="72"/>
      <w:lang w:val="en-NZ"/>
    </w:rPr>
  </w:style>
  <w:style w:type="character" w:customStyle="1" w:styleId="QuoteChar">
    <w:name w:val="Quote Char"/>
    <w:basedOn w:val="DefaultParagraphFont"/>
    <w:link w:val="Quote"/>
    <w:rsid w:val="006C20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01E"/>
    <w:pPr>
      <w:pageBreakBefore/>
    </w:pPr>
  </w:style>
  <w:style w:type="paragraph" w:customStyle="1" w:styleId="Border">
    <w:name w:val="Border"/>
    <w:basedOn w:val="Normal"/>
    <w:qFormat/>
    <w:rsid w:val="006C20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01E"/>
    <w:rPr>
      <w:b/>
      <w:bCs/>
      <w:i/>
      <w:iCs/>
      <w:color w:val="auto"/>
    </w:rPr>
  </w:style>
  <w:style w:type="paragraph" w:styleId="IntenseQuote">
    <w:name w:val="Intense Quote"/>
    <w:basedOn w:val="Normal"/>
    <w:next w:val="Normal"/>
    <w:link w:val="IntenseQuoteChar"/>
    <w:uiPriority w:val="30"/>
    <w:qFormat/>
    <w:rsid w:val="006C20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0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01E"/>
    <w:rPr>
      <w:smallCaps/>
      <w:color w:val="auto"/>
      <w:u w:val="single"/>
    </w:rPr>
  </w:style>
  <w:style w:type="character" w:styleId="IntenseReference">
    <w:name w:val="Intense Reference"/>
    <w:basedOn w:val="DefaultParagraphFont"/>
    <w:uiPriority w:val="32"/>
    <w:qFormat/>
    <w:rsid w:val="006C201E"/>
    <w:rPr>
      <w:b/>
      <w:bCs/>
      <w:smallCaps/>
      <w:color w:val="auto"/>
      <w:spacing w:val="5"/>
      <w:u w:val="single"/>
    </w:rPr>
  </w:style>
  <w:style w:type="paragraph" w:customStyle="1" w:styleId="2ColumnHeading">
    <w:name w:val="2Column Heading"/>
    <w:basedOn w:val="BodyText"/>
    <w:qFormat/>
    <w:rsid w:val="006C201E"/>
    <w:pPr>
      <w:spacing w:after="60"/>
      <w:ind w:left="-2268"/>
    </w:pPr>
    <w:rPr>
      <w:b/>
    </w:rPr>
  </w:style>
  <w:style w:type="paragraph" w:customStyle="1" w:styleId="Heading1TOC">
    <w:name w:val="Heading1 TOC"/>
    <w:basedOn w:val="Normal"/>
    <w:qFormat/>
    <w:rsid w:val="006C201E"/>
    <w:pPr>
      <w:spacing w:before="240" w:after="120"/>
    </w:pPr>
    <w:rPr>
      <w:rFonts w:ascii="Times New Roman" w:hAnsi="Times New Roman"/>
      <w:b/>
      <w:sz w:val="32"/>
    </w:rPr>
  </w:style>
  <w:style w:type="paragraph" w:customStyle="1" w:styleId="Heading2TOC">
    <w:name w:val="Heading2 TOC"/>
    <w:basedOn w:val="Normal"/>
    <w:qFormat/>
    <w:rsid w:val="006C201E"/>
    <w:pPr>
      <w:spacing w:before="240" w:after="60"/>
    </w:pPr>
    <w:rPr>
      <w:rFonts w:ascii="Times New Roman" w:hAnsi="Times New Roman"/>
      <w:b/>
      <w:sz w:val="28"/>
    </w:rPr>
  </w:style>
  <w:style w:type="character" w:customStyle="1" w:styleId="Underline">
    <w:name w:val="Underline"/>
    <w:basedOn w:val="DefaultParagraphFont"/>
    <w:qFormat/>
    <w:rsid w:val="006C201E"/>
    <w:rPr>
      <w:u w:val="single"/>
    </w:rPr>
  </w:style>
  <w:style w:type="character" w:customStyle="1" w:styleId="BoldandItalics">
    <w:name w:val="Bold and Italics"/>
    <w:qFormat/>
    <w:rsid w:val="006C201E"/>
    <w:rPr>
      <w:b/>
      <w:i/>
      <w:u w:val="none"/>
    </w:rPr>
  </w:style>
  <w:style w:type="paragraph" w:styleId="BalloonText">
    <w:name w:val="Balloon Text"/>
    <w:basedOn w:val="Normal"/>
    <w:link w:val="BalloonTextChar"/>
    <w:rsid w:val="006C201E"/>
    <w:rPr>
      <w:rFonts w:ascii="Tahoma" w:hAnsi="Tahoma" w:cs="Tahoma"/>
      <w:sz w:val="16"/>
      <w:szCs w:val="16"/>
    </w:rPr>
  </w:style>
  <w:style w:type="character" w:customStyle="1" w:styleId="BalloonTextChar">
    <w:name w:val="Balloon Text Char"/>
    <w:basedOn w:val="DefaultParagraphFont"/>
    <w:link w:val="BalloonText"/>
    <w:rsid w:val="006C20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0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0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01E"/>
    <w:rPr>
      <w:b/>
      <w:color w:val="660033"/>
      <w:spacing w:val="0"/>
    </w:rPr>
  </w:style>
  <w:style w:type="paragraph" w:customStyle="1" w:styleId="Nameditemlist">
    <w:name w:val="Named item list"/>
    <w:basedOn w:val="BodyText"/>
    <w:qFormat/>
    <w:rsid w:val="006C20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1854</Words>
  <Characters>12051</Characters>
  <Application>Microsoft Office Word</Application>
  <DocSecurity>0</DocSecurity>
  <Lines>428</Lines>
  <Paragraphs>237</Paragraphs>
  <ScaleCrop>false</ScaleCrop>
  <Company>Author-it Software Corporation Ltd.</Company>
  <LinksUpToDate>false</LinksUpToDate>
  <CharactersWithSpaces>13850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HLTHOM605C Plan homeopathic treatment strategy</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2012-10-05T12:04:00Z</dcterms:created>
  <dcterms:modified xsi:type="dcterms:W3CDTF">2012-10-05T12:04:00Z</dcterms:modified>
</cp:coreProperties>
</file>