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6952" w:rsidP="00696952">
      <w:pPr>
        <w:pStyle w:val="Title"/>
      </w:pPr>
      <w:bookmarkStart w:id="0" w:name="_GoBack"/>
      <w:bookmarkEnd w:id="0"/>
      <w:r>
        <w:fldChar w:fldCharType="begin"/>
      </w:r>
      <w:r>
        <w:instrText xml:space="preserve"> TITLE   \* MERGEFORMAT </w:instrText>
      </w:r>
      <w:r>
        <w:fldChar w:fldCharType="separate"/>
      </w:r>
      <w:r>
        <w:t>HLTHOM603C Manage work within the homeopathic framework</w:t>
      </w:r>
      <w:r>
        <w:fldChar w:fldCharType="end"/>
      </w:r>
    </w:p>
    <w:p w:rsidR="00696952" w:rsidP="00696952">
      <w:pPr>
        <w:pStyle w:val="Version"/>
        <w:sectPr w:rsidSect="00E153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53FB" w:rsidP="00E153FB">
      <w:pPr>
        <w:pStyle w:val="SuperHeading"/>
      </w:pPr>
      <w:r w:rsidRPr="00E153FB">
        <w:t>HLTHOM603C Manage work within the homœopathic framework</w:t>
      </w:r>
    </w:p>
    <w:p w:rsidR="00000000" w:rsidRPr="00E153FB" w:rsidP="00E153FB">
      <w:pPr>
        <w:pStyle w:val="Heading1"/>
      </w:pPr>
      <w:bookmarkStart w:id="1" w:name="O_271240"/>
      <w:bookmarkEnd w:id="1"/>
      <w:r w:rsidRPr="00E153FB">
        <w:t>Modification History</w:t>
      </w:r>
    </w:p>
    <w:p w:rsidR="00000000" w:rsidRPr="00E153FB" w:rsidP="00E153FB">
      <w:pPr>
        <w:pStyle w:val="BodyText"/>
      </w:pPr>
      <w:r w:rsidRPr="00E153FB">
        <w:t>Not Applicable</w:t>
      </w:r>
    </w:p>
    <w:p w:rsidR="00000000" w:rsidRPr="00E153FB" w:rsidP="00E153FB">
      <w:pPr>
        <w:pStyle w:val="AllowPageBreak"/>
      </w:pPr>
    </w:p>
    <w:p w:rsidR="00000000" w:rsidRPr="00E153FB" w:rsidP="00E153FB">
      <w:pPr>
        <w:pStyle w:val="Heading1"/>
      </w:pPr>
      <w:bookmarkStart w:id="2" w:name="O_206077"/>
      <w:bookmarkEnd w:id="2"/>
      <w:r w:rsidRPr="00E153FB">
        <w:t>Unit Descriptor</w:t>
      </w:r>
    </w:p>
    <w:tbl>
      <w:tblPr>
        <w:tblW w:w="0" w:type="auto"/>
        <w:tblLayout w:type="fixed"/>
        <w:tblCellMar>
          <w:left w:w="62" w:type="dxa"/>
          <w:right w:w="62" w:type="dxa"/>
        </w:tblCellMar>
        <w:tblLook w:val="0000"/>
      </w:tblPr>
      <w:tblGrid>
        <w:gridCol w:w="3338"/>
        <w:gridCol w:w="5218"/>
      </w:tblGrid>
      <w:tr w:rsidTr="00696952">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E153FB">
            <w:pPr>
              <w:pStyle w:val="BodyText"/>
              <w:rPr>
                <w:lang w:val="en-NZ"/>
              </w:rPr>
            </w:pPr>
            <w:r w:rsidRPr="00E153FB">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E153FB" w:rsidP="00E153FB">
            <w:pPr>
              <w:pStyle w:val="BodyText"/>
            </w:pPr>
            <w:r w:rsidRPr="00E153FB">
              <w:t>This unit of c</w:t>
            </w:r>
            <w:r w:rsidRPr="00E153FB">
              <w:t>ompetency describes the skills and knowledge required manage the effective work practices of self and others within a homœopathic framework</w:t>
            </w:r>
          </w:p>
        </w:tc>
      </w:tr>
    </w:tbl>
    <w:p w:rsidR="00696952" w:rsidP="00E153FB">
      <w:pPr>
        <w:pStyle w:val="BodyText"/>
      </w:pPr>
    </w:p>
    <w:p w:rsidR="00696952" w:rsidP="00E153FB">
      <w:pPr>
        <w:pStyle w:val="BodyText"/>
      </w:pPr>
    </w:p>
    <w:p w:rsidR="00000000" w:rsidRPr="00E153FB" w:rsidP="00E153FB">
      <w:pPr>
        <w:pStyle w:val="Heading1"/>
      </w:pPr>
      <w:bookmarkStart w:id="3" w:name="O_206079"/>
      <w:bookmarkEnd w:id="3"/>
      <w:r w:rsidRPr="00E153FB">
        <w:t>Application of the Unit</w:t>
      </w:r>
    </w:p>
    <w:tbl>
      <w:tblPr>
        <w:tblW w:w="0" w:type="auto"/>
        <w:tblLayout w:type="fixed"/>
        <w:tblCellMar>
          <w:left w:w="62" w:type="dxa"/>
          <w:right w:w="62" w:type="dxa"/>
        </w:tblCellMar>
        <w:tblLook w:val="0000"/>
      </w:tblPr>
      <w:tblGrid>
        <w:gridCol w:w="3349"/>
        <w:gridCol w:w="5207"/>
      </w:tblGrid>
      <w:tr w:rsidTr="00696952">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E153FB">
            <w:pPr>
              <w:pStyle w:val="BodyText"/>
              <w:rPr>
                <w:lang w:val="en-NZ"/>
              </w:rPr>
            </w:pPr>
            <w:r w:rsidRPr="00E153FB">
              <w:rPr>
                <w:rStyle w:val="SpecialBold"/>
              </w:rPr>
              <w:t>Application</w:t>
            </w:r>
            <w:r w:rsidRPr="00E153FB">
              <w:t xml:space="preserve"> </w:t>
            </w:r>
          </w:p>
        </w:tc>
        <w:tc>
          <w:tcPr>
            <w:tcW w:w="5207" w:type="dxa"/>
            <w:tcBorders>
              <w:top w:val="nil"/>
              <w:left w:val="nil"/>
              <w:bottom w:val="nil"/>
              <w:right w:val="nil"/>
            </w:tcBorders>
            <w:tcMar>
              <w:top w:w="0" w:type="dxa"/>
              <w:left w:w="62" w:type="dxa"/>
              <w:bottom w:w="0" w:type="dxa"/>
              <w:right w:w="62" w:type="dxa"/>
            </w:tcMar>
          </w:tcPr>
          <w:p w:rsidR="00000000" w:rsidRPr="00E153FB" w:rsidP="00E153FB">
            <w:pPr>
              <w:pStyle w:val="BodyText"/>
            </w:pPr>
            <w:r w:rsidRPr="00E153FB">
              <w:t>This unit applies to work in homœopathy</w:t>
            </w:r>
          </w:p>
        </w:tc>
      </w:tr>
    </w:tbl>
    <w:p w:rsidR="00696952" w:rsidP="00E153FB">
      <w:pPr>
        <w:pStyle w:val="BodyText"/>
      </w:pPr>
    </w:p>
    <w:p w:rsidR="00696952" w:rsidP="00E153FB">
      <w:pPr>
        <w:pStyle w:val="BodyText"/>
      </w:pPr>
    </w:p>
    <w:p w:rsidR="00000000" w:rsidRPr="00E153FB" w:rsidP="00E153FB">
      <w:pPr>
        <w:pStyle w:val="Heading1"/>
      </w:pPr>
      <w:bookmarkStart w:id="4" w:name="O_279500"/>
      <w:bookmarkEnd w:id="4"/>
      <w:r w:rsidRPr="00E153FB">
        <w:t>Licensing/Regulatory Information</w:t>
      </w:r>
    </w:p>
    <w:p w:rsidR="00000000" w:rsidRPr="00E153FB" w:rsidP="00E153FB">
      <w:pPr>
        <w:pStyle w:val="BodyText"/>
      </w:pPr>
      <w:r w:rsidRPr="00E153FB">
        <w:t>Not Applicable</w:t>
      </w:r>
    </w:p>
    <w:p w:rsidR="00000000" w:rsidRPr="00E153FB" w:rsidP="00E153FB">
      <w:pPr>
        <w:pStyle w:val="AllowPageBreak"/>
      </w:pPr>
    </w:p>
    <w:p w:rsidR="00000000" w:rsidRPr="00E153FB" w:rsidP="00E153FB">
      <w:pPr>
        <w:pStyle w:val="Heading1"/>
      </w:pPr>
      <w:bookmarkStart w:id="5" w:name="O_284190"/>
      <w:bookmarkEnd w:id="5"/>
      <w:r w:rsidRPr="00E153FB">
        <w:t>Pre-Requisites</w:t>
      </w:r>
    </w:p>
    <w:p w:rsidR="00000000" w:rsidRPr="00E153FB" w:rsidP="00E153FB">
      <w:pPr>
        <w:pStyle w:val="BodyText"/>
      </w:pPr>
      <w:r w:rsidRPr="00E153FB">
        <w:t>Not Applicable</w:t>
      </w:r>
    </w:p>
    <w:p w:rsidR="00000000" w:rsidRPr="00E153FB" w:rsidP="00E153FB">
      <w:pPr>
        <w:pStyle w:val="AllowPageBreak"/>
      </w:pPr>
    </w:p>
    <w:p w:rsidR="00000000" w:rsidRPr="00E153FB" w:rsidP="00E153FB">
      <w:pPr>
        <w:pStyle w:val="Heading1"/>
      </w:pPr>
      <w:bookmarkStart w:id="6" w:name="O_206078"/>
      <w:bookmarkEnd w:id="6"/>
      <w:r w:rsidRPr="00E153FB">
        <w:t>Employability Skills Information</w:t>
      </w:r>
    </w:p>
    <w:tbl>
      <w:tblPr>
        <w:tblW w:w="0" w:type="auto"/>
        <w:tblLayout w:type="fixed"/>
        <w:tblCellMar>
          <w:left w:w="62" w:type="dxa"/>
          <w:right w:w="62" w:type="dxa"/>
        </w:tblCellMar>
        <w:tblLook w:val="0000"/>
      </w:tblPr>
      <w:tblGrid>
        <w:gridCol w:w="3320"/>
        <w:gridCol w:w="5236"/>
      </w:tblGrid>
      <w:tr w:rsidTr="0069695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153FB">
            <w:pPr>
              <w:pStyle w:val="BodyText"/>
              <w:rPr>
                <w:lang w:val="en-NZ"/>
              </w:rPr>
            </w:pPr>
            <w:r w:rsidRPr="00E153F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153FB" w:rsidP="00E153FB">
            <w:pPr>
              <w:pStyle w:val="BodyText"/>
            </w:pPr>
            <w:r w:rsidRPr="00E153FB">
              <w:t>This unit contains Employability Skills</w:t>
            </w:r>
          </w:p>
        </w:tc>
      </w:tr>
    </w:tbl>
    <w:p w:rsidR="00696952" w:rsidP="00E153FB">
      <w:pPr>
        <w:pStyle w:val="BodyText"/>
      </w:pPr>
    </w:p>
    <w:p w:rsidR="00696952" w:rsidP="00E153FB">
      <w:pPr>
        <w:pStyle w:val="BodyText"/>
      </w:pPr>
    </w:p>
    <w:p w:rsidR="00000000" w:rsidRPr="00E153FB" w:rsidP="00E153FB">
      <w:pPr>
        <w:pStyle w:val="Heading1"/>
      </w:pPr>
      <w:bookmarkStart w:id="7" w:name="O_289286"/>
      <w:bookmarkEnd w:id="7"/>
      <w:r w:rsidRPr="00E153FB">
        <w:t>Elements and Performance Criteria Pre-Content</w:t>
      </w:r>
    </w:p>
    <w:tbl>
      <w:tblPr>
        <w:tblW w:w="0" w:type="auto"/>
        <w:tblLayout w:type="fixed"/>
        <w:tblCellMar>
          <w:left w:w="62" w:type="dxa"/>
          <w:right w:w="62" w:type="dxa"/>
        </w:tblCellMar>
        <w:tblLook w:val="0000"/>
      </w:tblPr>
      <w:tblGrid>
        <w:gridCol w:w="3369"/>
        <w:gridCol w:w="5702"/>
      </w:tblGrid>
      <w:tr w:rsidTr="006969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153FB">
            <w:pPr>
              <w:pStyle w:val="BodyText"/>
              <w:rPr>
                <w:lang w:val="en-NZ"/>
              </w:rPr>
            </w:pPr>
            <w:r w:rsidRPr="00E153F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153FB" w:rsidP="00E153FB">
            <w:pPr>
              <w:pStyle w:val="BodyText"/>
            </w:pPr>
            <w:r w:rsidRPr="00E153FB">
              <w:t>The Performance Criteria specify the level of performance required to demonstrate achievement of the Element. Terms in italics are elaborated in t</w:t>
            </w:r>
            <w:r w:rsidRPr="00E153FB">
              <w:t xml:space="preserve">he Range Statement. </w:t>
            </w:r>
          </w:p>
        </w:tc>
      </w:tr>
    </w:tbl>
    <w:p w:rsidR="00000000" w:rsidRPr="00E153FB" w:rsidP="00E153FB">
      <w:pPr>
        <w:pStyle w:val="BodyText"/>
      </w:pPr>
    </w:p>
    <w:p w:rsidR="00000000" w:rsidRPr="00E153FB" w:rsidP="00E153FB">
      <w:pPr>
        <w:pStyle w:val="AllowPageBreak"/>
      </w:pPr>
    </w:p>
    <w:p w:rsidR="00000000" w:rsidRPr="00E153FB" w:rsidP="00E153FB">
      <w:pPr>
        <w:pStyle w:val="Heading1"/>
      </w:pPr>
      <w:bookmarkStart w:id="8" w:name="O_235953"/>
      <w:bookmarkEnd w:id="8"/>
      <w:r w:rsidRPr="00E153FB">
        <w:t>Elements and Performance Criteria</w:t>
      </w:r>
    </w:p>
    <w:tbl>
      <w:tblPr>
        <w:tblW w:w="0" w:type="auto"/>
        <w:tblLayout w:type="fixed"/>
        <w:tblCellMar>
          <w:left w:w="62" w:type="dxa"/>
          <w:right w:w="62" w:type="dxa"/>
        </w:tblCellMar>
        <w:tblLook w:val="0000"/>
      </w:tblPr>
      <w:tblGrid>
        <w:gridCol w:w="3369"/>
        <w:gridCol w:w="5702"/>
      </w:tblGrid>
      <w:tr w:rsidTr="0069695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153FB" w:rsidP="00E153FB">
            <w:pPr>
              <w:pStyle w:val="BodyText"/>
            </w:pPr>
            <w:r w:rsidRPr="00E153F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153FB">
            <w:pPr>
              <w:pStyle w:val="BodyText"/>
              <w:rPr>
                <w:lang w:val="en-NZ"/>
              </w:rPr>
            </w:pPr>
            <w:r w:rsidRPr="00E153FB">
              <w:rPr>
                <w:rStyle w:val="SpecialBold"/>
              </w:rPr>
              <w:t>PERFORMANCE CRITERIA</w:t>
            </w:r>
          </w:p>
        </w:tc>
      </w:tr>
      <w:tr w:rsidTr="006969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153FB">
            <w:pPr>
              <w:pStyle w:val="List"/>
              <w:rPr>
                <w:lang w:val="en-NZ"/>
              </w:rPr>
            </w:pPr>
            <w:r w:rsidRPr="00E153FB">
              <w:t>1.</w:t>
            </w:r>
            <w:r w:rsidRPr="00E153FB">
              <w:tab/>
              <w:t xml:space="preserve">Communicate knowledge of a homœopathic philosophy, principles and practices </w:t>
            </w:r>
          </w:p>
        </w:tc>
        <w:tc>
          <w:tcPr>
            <w:tcW w:w="5702" w:type="dxa"/>
            <w:tcBorders>
              <w:top w:val="nil"/>
              <w:left w:val="nil"/>
              <w:bottom w:val="nil"/>
              <w:right w:val="nil"/>
            </w:tcBorders>
            <w:tcMar>
              <w:top w:w="0" w:type="dxa"/>
              <w:left w:w="62" w:type="dxa"/>
              <w:bottom w:w="0" w:type="dxa"/>
              <w:right w:w="62" w:type="dxa"/>
            </w:tcMar>
          </w:tcPr>
          <w:p w:rsidR="00000000" w:rsidRPr="00E153FB" w:rsidP="00E153FB">
            <w:pPr>
              <w:pStyle w:val="BodyText"/>
            </w:pPr>
            <w:r w:rsidRPr="00E153FB">
              <w:t>1.1</w:t>
            </w:r>
            <w:r w:rsidRPr="00E153FB">
              <w:tab/>
              <w:t xml:space="preserve">Define and explain </w:t>
            </w:r>
            <w:r w:rsidRPr="00E153FB">
              <w:rPr>
                <w:rStyle w:val="Emphasis"/>
              </w:rPr>
              <w:t>central philosophies</w:t>
            </w:r>
            <w:r w:rsidRPr="00E153FB">
              <w:t xml:space="preserve">, </w:t>
            </w:r>
            <w:r w:rsidRPr="00E153FB">
              <w:rPr>
                <w:rStyle w:val="Emphasis"/>
              </w:rPr>
              <w:t>treatment practices</w:t>
            </w:r>
            <w:r w:rsidRPr="00E153FB">
              <w:t xml:space="preserve"> and historical developments </w:t>
            </w:r>
          </w:p>
          <w:p w:rsidR="00000000" w:rsidRPr="00E153FB" w:rsidP="00E153FB">
            <w:pPr>
              <w:pStyle w:val="BodyText"/>
            </w:pPr>
            <w:r w:rsidRPr="00E153FB">
              <w:t>1.2</w:t>
            </w:r>
            <w:r w:rsidRPr="00E153FB">
              <w:tab/>
              <w:t xml:space="preserve">Communicate effectively on a one-to-one or group basis the </w:t>
            </w:r>
            <w:r w:rsidRPr="00E153FB">
              <w:rPr>
                <w:rStyle w:val="Emphasis"/>
              </w:rPr>
              <w:t>forms of diagnosis</w:t>
            </w:r>
            <w:r w:rsidRPr="00E153FB">
              <w:t xml:space="preserve">, </w:t>
            </w:r>
            <w:r w:rsidRPr="00E153FB">
              <w:rPr>
                <w:rStyle w:val="Emphasis"/>
              </w:rPr>
              <w:t>diagnostic practices</w:t>
            </w:r>
            <w:r w:rsidRPr="00E153FB">
              <w:t xml:space="preserve">, </w:t>
            </w:r>
            <w:r w:rsidRPr="00E153FB">
              <w:rPr>
                <w:rStyle w:val="Emphasis"/>
              </w:rPr>
              <w:t>and diagnostic tools</w:t>
            </w:r>
            <w:r w:rsidRPr="00E153FB">
              <w:t xml:space="preserve"> used by homeopaths </w:t>
            </w:r>
          </w:p>
          <w:p w:rsidR="00000000" w:rsidP="00E153FB">
            <w:pPr>
              <w:pStyle w:val="BodyText"/>
              <w:rPr>
                <w:lang w:val="en-NZ"/>
              </w:rPr>
            </w:pPr>
            <w:r w:rsidRPr="00E153FB">
              <w:t>1.3</w:t>
            </w:r>
            <w:r w:rsidRPr="00E153FB">
              <w:tab/>
              <w:t>Integrate recent developments and new practices into client services</w:t>
            </w:r>
          </w:p>
        </w:tc>
      </w:tr>
      <w:tr w:rsidTr="006969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153FB">
            <w:pPr>
              <w:pStyle w:val="BodyText"/>
              <w:rPr>
                <w:lang w:val="en-NZ"/>
              </w:rPr>
            </w:pPr>
          </w:p>
        </w:tc>
      </w:tr>
      <w:tr w:rsidTr="006969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153FB">
            <w:pPr>
              <w:pStyle w:val="List"/>
              <w:rPr>
                <w:lang w:val="en-NZ"/>
              </w:rPr>
            </w:pPr>
            <w:r w:rsidRPr="00E153FB">
              <w:t>2.</w:t>
            </w:r>
            <w:r w:rsidRPr="00E153FB">
              <w:tab/>
            </w:r>
            <w:r w:rsidRPr="00E153FB">
              <w:t>Demonstrate commitment to ethical work practices</w:t>
            </w:r>
          </w:p>
        </w:tc>
        <w:tc>
          <w:tcPr>
            <w:tcW w:w="5702" w:type="dxa"/>
            <w:tcBorders>
              <w:top w:val="nil"/>
              <w:left w:val="nil"/>
              <w:bottom w:val="nil"/>
              <w:right w:val="nil"/>
            </w:tcBorders>
            <w:tcMar>
              <w:top w:w="0" w:type="dxa"/>
              <w:left w:w="62" w:type="dxa"/>
              <w:bottom w:w="0" w:type="dxa"/>
              <w:right w:w="62" w:type="dxa"/>
            </w:tcMar>
          </w:tcPr>
          <w:p w:rsidR="00000000" w:rsidRPr="00E153FB" w:rsidP="00E153FB">
            <w:pPr>
              <w:pStyle w:val="BodyText"/>
            </w:pPr>
            <w:r w:rsidRPr="00E153FB">
              <w:t>2.1</w:t>
            </w:r>
            <w:r w:rsidRPr="00E153FB">
              <w:tab/>
              <w:t>Maintain confidentiality of client information by storing and disposing of records according to clinic guidelines</w:t>
            </w:r>
          </w:p>
          <w:p w:rsidR="00000000" w:rsidRPr="00E153FB" w:rsidP="00E153FB">
            <w:pPr>
              <w:pStyle w:val="BodyText"/>
            </w:pPr>
            <w:r w:rsidRPr="00E153FB">
              <w:t>2.2</w:t>
            </w:r>
            <w:r w:rsidRPr="00E153FB">
              <w:tab/>
              <w:t>Review work practices periodically to ensure skills and practices are kept current</w:t>
            </w:r>
          </w:p>
          <w:p w:rsidR="00000000" w:rsidRPr="00E153FB" w:rsidP="00E153FB">
            <w:pPr>
              <w:pStyle w:val="BodyText"/>
            </w:pPr>
            <w:r w:rsidRPr="00E153FB">
              <w:t>2.</w:t>
            </w:r>
            <w:r w:rsidRPr="00E153FB">
              <w:t>3</w:t>
            </w:r>
            <w:r w:rsidRPr="00E153FB">
              <w:tab/>
              <w:t xml:space="preserve">Ensure work practices show respect for staff and client rights </w:t>
            </w:r>
          </w:p>
          <w:p w:rsidR="00000000" w:rsidRPr="00E153FB" w:rsidP="00E153FB">
            <w:pPr>
              <w:pStyle w:val="BodyText"/>
            </w:pPr>
            <w:r w:rsidRPr="00E153FB">
              <w:t>2.4</w:t>
            </w:r>
            <w:r w:rsidRPr="00E153FB">
              <w:tab/>
              <w:t>Ensure work practices adhere to legal, regulatory and clinic guidelines</w:t>
            </w:r>
          </w:p>
          <w:p w:rsidR="00000000" w:rsidP="00E153FB">
            <w:pPr>
              <w:pStyle w:val="BodyText"/>
              <w:rPr>
                <w:lang w:val="en-NZ"/>
              </w:rPr>
            </w:pPr>
            <w:r w:rsidRPr="00E153FB">
              <w:t>2.5</w:t>
            </w:r>
            <w:r w:rsidRPr="00E153FB">
              <w:tab/>
            </w:r>
            <w:r w:rsidRPr="00E153FB">
              <w:rPr>
                <w:rStyle w:val="Emphasis"/>
              </w:rPr>
              <w:t>Implement measures</w:t>
            </w:r>
            <w:r w:rsidRPr="00E153FB">
              <w:t xml:space="preserve"> to ensure accountability for professional practices</w:t>
            </w:r>
          </w:p>
        </w:tc>
      </w:tr>
      <w:tr w:rsidTr="006969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153FB">
            <w:pPr>
              <w:pStyle w:val="BodyText"/>
              <w:rPr>
                <w:lang w:val="en-NZ"/>
              </w:rPr>
            </w:pPr>
          </w:p>
        </w:tc>
      </w:tr>
      <w:tr w:rsidTr="006969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153FB">
            <w:pPr>
              <w:pStyle w:val="List"/>
              <w:rPr>
                <w:lang w:val="en-NZ"/>
              </w:rPr>
            </w:pPr>
            <w:r w:rsidRPr="00E153FB">
              <w:t>3.</w:t>
            </w:r>
            <w:r w:rsidRPr="00E153FB">
              <w:tab/>
              <w:t>Manage workplace relationships</w:t>
            </w:r>
          </w:p>
        </w:tc>
        <w:tc>
          <w:tcPr>
            <w:tcW w:w="5702" w:type="dxa"/>
            <w:tcBorders>
              <w:top w:val="nil"/>
              <w:left w:val="nil"/>
              <w:bottom w:val="nil"/>
              <w:right w:val="nil"/>
            </w:tcBorders>
            <w:tcMar>
              <w:top w:w="0" w:type="dxa"/>
              <w:left w:w="62" w:type="dxa"/>
              <w:bottom w:w="0" w:type="dxa"/>
              <w:right w:w="62" w:type="dxa"/>
            </w:tcMar>
          </w:tcPr>
          <w:p w:rsidR="00000000" w:rsidRPr="00E153FB" w:rsidP="00E153FB">
            <w:pPr>
              <w:pStyle w:val="BodyText"/>
            </w:pPr>
            <w:r w:rsidRPr="00E153FB">
              <w:t>3</w:t>
            </w:r>
            <w:r w:rsidRPr="00E153FB">
              <w:t>.1</w:t>
            </w:r>
            <w:r w:rsidRPr="00E153FB">
              <w:tab/>
              <w:t xml:space="preserve">Use </w:t>
            </w:r>
            <w:r w:rsidRPr="00E153FB">
              <w:rPr>
                <w:rStyle w:val="Emphasis"/>
              </w:rPr>
              <w:t>effective communication and interpersonal skills</w:t>
            </w:r>
            <w:r w:rsidRPr="00E153FB">
              <w:t xml:space="preserve"> to ensure all workplace interactions contribute to achievement of clinic objectives and promotion of the practice</w:t>
            </w:r>
          </w:p>
          <w:p w:rsidR="00000000" w:rsidRPr="00E153FB" w:rsidP="00E153FB">
            <w:pPr>
              <w:pStyle w:val="BodyText"/>
            </w:pPr>
            <w:r w:rsidRPr="00E153FB">
              <w:t>3.2</w:t>
            </w:r>
            <w:r w:rsidRPr="00E153FB">
              <w:tab/>
              <w:t>Ensure workplace relations reflect consideration of the full range of individual a</w:t>
            </w:r>
            <w:r w:rsidRPr="00E153FB">
              <w:t>nd cultural differences</w:t>
            </w:r>
          </w:p>
          <w:p w:rsidR="00000000" w:rsidRPr="00E153FB" w:rsidP="00E153FB">
            <w:pPr>
              <w:pStyle w:val="BodyText"/>
            </w:pPr>
            <w:r w:rsidRPr="00E153FB">
              <w:t>3.3</w:t>
            </w:r>
            <w:r w:rsidRPr="00E153FB">
              <w:tab/>
              <w:t>Deal with any issues related to the well being of work colleagues promptly and in accordance with clinic procedures</w:t>
            </w:r>
          </w:p>
          <w:p w:rsidR="00000000" w:rsidP="00E153FB">
            <w:pPr>
              <w:pStyle w:val="BodyText"/>
              <w:rPr>
                <w:lang w:val="en-NZ"/>
              </w:rPr>
            </w:pPr>
            <w:r w:rsidRPr="00E153FB">
              <w:t>3.4</w:t>
            </w:r>
            <w:r w:rsidRPr="00E153FB">
              <w:tab/>
              <w:t>Handle potential and actual workplace conflicts to minimise disruption</w:t>
            </w:r>
          </w:p>
        </w:tc>
      </w:tr>
      <w:tr w:rsidTr="006969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153FB">
            <w:pPr>
              <w:pStyle w:val="BodyText"/>
              <w:rPr>
                <w:lang w:val="en-NZ"/>
              </w:rPr>
            </w:pPr>
          </w:p>
        </w:tc>
      </w:tr>
      <w:tr w:rsidTr="006969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153FB">
            <w:pPr>
              <w:pStyle w:val="List"/>
              <w:rPr>
                <w:lang w:val="en-NZ"/>
              </w:rPr>
            </w:pPr>
            <w:r w:rsidRPr="00E153FB">
              <w:t>4.</w:t>
            </w:r>
            <w:r w:rsidRPr="00E153FB">
              <w:tab/>
              <w:t>Manage the achievement of qual</w:t>
            </w:r>
            <w:r w:rsidRPr="00E153FB">
              <w:t xml:space="preserve">ity standards </w:t>
            </w:r>
          </w:p>
        </w:tc>
        <w:tc>
          <w:tcPr>
            <w:tcW w:w="5702" w:type="dxa"/>
            <w:tcBorders>
              <w:top w:val="nil"/>
              <w:left w:val="nil"/>
              <w:bottom w:val="nil"/>
              <w:right w:val="nil"/>
            </w:tcBorders>
            <w:tcMar>
              <w:top w:w="0" w:type="dxa"/>
              <w:left w:w="62" w:type="dxa"/>
              <w:bottom w:w="0" w:type="dxa"/>
              <w:right w:w="62" w:type="dxa"/>
            </w:tcMar>
          </w:tcPr>
          <w:p w:rsidR="00000000" w:rsidRPr="00E153FB" w:rsidP="00E153FB">
            <w:pPr>
              <w:pStyle w:val="BodyText"/>
            </w:pPr>
            <w:r w:rsidRPr="00E153FB">
              <w:t>4.1</w:t>
            </w:r>
            <w:r w:rsidRPr="00E153FB">
              <w:tab/>
              <w:t>Establish and practice personal hygiene and infection control guidelines throughout the clinic</w:t>
            </w:r>
          </w:p>
          <w:p w:rsidR="00000000" w:rsidRPr="00E153FB" w:rsidP="00E153FB">
            <w:pPr>
              <w:pStyle w:val="BodyText"/>
            </w:pPr>
            <w:r w:rsidRPr="00E153FB">
              <w:t>4.2</w:t>
            </w:r>
            <w:r w:rsidRPr="00E153FB">
              <w:tab/>
              <w:t>Ensure hazard control measures and reporting procedures are undertaken according to clinic guidelines</w:t>
            </w:r>
          </w:p>
          <w:p w:rsidR="00000000" w:rsidP="00E153FB">
            <w:pPr>
              <w:pStyle w:val="BodyText"/>
              <w:rPr>
                <w:lang w:val="en-NZ"/>
              </w:rPr>
            </w:pPr>
            <w:r w:rsidRPr="00E153FB">
              <w:t>4.3</w:t>
            </w:r>
            <w:r w:rsidRPr="00E153FB">
              <w:tab/>
            </w:r>
            <w:r w:rsidRPr="00E153FB">
              <w:t>Review individual and clinic performance against established standards</w:t>
            </w:r>
          </w:p>
        </w:tc>
      </w:tr>
      <w:tr w:rsidTr="006969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153FB">
            <w:pPr>
              <w:pStyle w:val="BodyText"/>
              <w:rPr>
                <w:lang w:val="en-NZ"/>
              </w:rPr>
            </w:pPr>
          </w:p>
        </w:tc>
      </w:tr>
      <w:tr w:rsidTr="006969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153FB">
            <w:pPr>
              <w:pStyle w:val="List"/>
              <w:rPr>
                <w:lang w:val="en-NZ"/>
              </w:rPr>
            </w:pPr>
            <w:r w:rsidRPr="00E153FB">
              <w:t>5.</w:t>
            </w:r>
            <w:r w:rsidRPr="00E153FB">
              <w:tab/>
              <w:t>Ensure ongoing development of self and team</w:t>
            </w:r>
          </w:p>
        </w:tc>
        <w:tc>
          <w:tcPr>
            <w:tcW w:w="5702" w:type="dxa"/>
            <w:tcBorders>
              <w:top w:val="nil"/>
              <w:left w:val="nil"/>
              <w:bottom w:val="nil"/>
              <w:right w:val="nil"/>
            </w:tcBorders>
            <w:tcMar>
              <w:top w:w="0" w:type="dxa"/>
              <w:left w:w="62" w:type="dxa"/>
              <w:bottom w:w="0" w:type="dxa"/>
              <w:right w:w="62" w:type="dxa"/>
            </w:tcMar>
          </w:tcPr>
          <w:p w:rsidR="00000000" w:rsidRPr="00E153FB" w:rsidP="00E153FB">
            <w:pPr>
              <w:pStyle w:val="BodyText"/>
            </w:pPr>
            <w:r w:rsidRPr="00E153FB">
              <w:t>5.1</w:t>
            </w:r>
            <w:r w:rsidRPr="00E153FB">
              <w:tab/>
              <w:t>Regularly monitor own performance against workplans, clinic objectives and client needs</w:t>
            </w:r>
          </w:p>
          <w:p w:rsidR="00000000" w:rsidRPr="00E153FB" w:rsidP="00E153FB">
            <w:pPr>
              <w:pStyle w:val="BodyText"/>
            </w:pPr>
            <w:r w:rsidRPr="00E153FB">
              <w:t>5.2</w:t>
            </w:r>
            <w:r w:rsidRPr="00E153FB">
              <w:tab/>
              <w:t xml:space="preserve">Seek out and access </w:t>
            </w:r>
            <w:r w:rsidRPr="00E153FB">
              <w:rPr>
                <w:rStyle w:val="Emphasis"/>
              </w:rPr>
              <w:t xml:space="preserve">opportunities for </w:t>
            </w:r>
            <w:r w:rsidRPr="00E153FB">
              <w:rPr>
                <w:rStyle w:val="Emphasis"/>
              </w:rPr>
              <w:t>formal and informal development of skills and knowledge</w:t>
            </w:r>
            <w:r w:rsidRPr="00E153FB">
              <w:t xml:space="preserve"> to optimise performance</w:t>
            </w:r>
          </w:p>
          <w:p w:rsidR="00000000" w:rsidRPr="00E153FB" w:rsidP="00E153FB">
            <w:pPr>
              <w:pStyle w:val="BodyText"/>
            </w:pPr>
            <w:r w:rsidRPr="00E153FB">
              <w:t>5.3</w:t>
            </w:r>
            <w:r w:rsidRPr="00E153FB">
              <w:tab/>
              <w:t>Ensure individual performances are monitored and developed to enhance team performance (where appropriate)</w:t>
            </w:r>
          </w:p>
          <w:p w:rsidR="00000000" w:rsidRPr="00E153FB" w:rsidP="00E153FB">
            <w:pPr>
              <w:pStyle w:val="BodyText"/>
            </w:pPr>
            <w:r w:rsidRPr="00E153FB">
              <w:t>5.4</w:t>
            </w:r>
            <w:r w:rsidRPr="00E153FB">
              <w:tab/>
              <w:t>Ensure coaching and mentoring contributes effectively to deve</w:t>
            </w:r>
            <w:r w:rsidRPr="00E153FB">
              <w:t>lopment of workplace knowledge, skills and attitudes</w:t>
            </w:r>
          </w:p>
        </w:tc>
      </w:tr>
    </w:tbl>
    <w:p w:rsidR="00696952" w:rsidP="00E153FB">
      <w:pPr>
        <w:pStyle w:val="BodyText"/>
      </w:pPr>
    </w:p>
    <w:p w:rsidR="00696952" w:rsidP="00E153FB">
      <w:pPr>
        <w:pStyle w:val="BodyText"/>
      </w:pPr>
    </w:p>
    <w:p w:rsidR="00000000" w:rsidRPr="00E153FB" w:rsidP="00E153FB">
      <w:pPr>
        <w:pStyle w:val="Heading1"/>
      </w:pPr>
      <w:bookmarkStart w:id="9" w:name="O_259903"/>
      <w:bookmarkEnd w:id="9"/>
      <w:r w:rsidRPr="00E153FB">
        <w:t>Required Skills and Knowledge</w:t>
      </w:r>
    </w:p>
    <w:tbl>
      <w:tblPr>
        <w:tblW w:w="0" w:type="auto"/>
        <w:tblLayout w:type="fixed"/>
        <w:tblCellMar>
          <w:left w:w="62" w:type="dxa"/>
          <w:right w:w="62" w:type="dxa"/>
        </w:tblCellMar>
        <w:tblLook w:val="0000"/>
      </w:tblPr>
      <w:tblGrid>
        <w:gridCol w:w="9072"/>
      </w:tblGrid>
      <w:tr w:rsidTr="0069695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153FB">
            <w:pPr>
              <w:pStyle w:val="BodyText"/>
              <w:rPr>
                <w:lang w:val="en-NZ"/>
              </w:rPr>
            </w:pPr>
            <w:r w:rsidRPr="00E153FB">
              <w:rPr>
                <w:rStyle w:val="SpecialBold"/>
              </w:rPr>
              <w:t>REQUIRED SKILLS AND KNOWLEDGE</w:t>
            </w:r>
          </w:p>
        </w:tc>
      </w:tr>
      <w:tr w:rsidTr="0069695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153FB">
            <w:pPr>
              <w:pStyle w:val="BodyText"/>
              <w:rPr>
                <w:lang w:val="en-NZ"/>
              </w:rPr>
            </w:pPr>
          </w:p>
        </w:tc>
      </w:tr>
      <w:tr w:rsidTr="0069695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153FB">
            <w:pPr>
              <w:pStyle w:val="BodyText"/>
              <w:rPr>
                <w:lang w:val="en-NZ"/>
              </w:rPr>
            </w:pPr>
            <w:r w:rsidRPr="00E153FB">
              <w:t>This describes the essential skills and knowledge and their level required for this unit.</w:t>
            </w:r>
          </w:p>
        </w:tc>
      </w:tr>
      <w:tr w:rsidTr="0069695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153FB">
            <w:pPr>
              <w:pStyle w:val="BodyText"/>
              <w:rPr>
                <w:lang w:val="en-NZ"/>
              </w:rPr>
            </w:pPr>
          </w:p>
        </w:tc>
      </w:tr>
      <w:tr w:rsidTr="0069695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153FB" w:rsidP="00E153FB">
            <w:pPr>
              <w:pStyle w:val="BodyText"/>
            </w:pPr>
            <w:r w:rsidRPr="00E153FB">
              <w:rPr>
                <w:rStyle w:val="Emphasis"/>
              </w:rPr>
              <w:t>Essential knowledge</w:t>
            </w:r>
            <w:r w:rsidRPr="00E153FB">
              <w:t>:</w:t>
            </w:r>
          </w:p>
          <w:p w:rsidR="00000000" w:rsidRPr="00E153FB" w:rsidP="00E153FB">
            <w:pPr>
              <w:pStyle w:val="BodyText"/>
            </w:pPr>
            <w:r w:rsidRPr="00E153FB">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E153FB" w:rsidP="00E153FB">
            <w:pPr>
              <w:pStyle w:val="BodyText"/>
            </w:pPr>
            <w:r w:rsidRPr="00E153FB">
              <w:t xml:space="preserve">This includes </w:t>
            </w:r>
            <w:r w:rsidRPr="00E153FB">
              <w:t>knowledge of:</w:t>
            </w:r>
          </w:p>
          <w:p w:rsidR="00000000" w:rsidRPr="00E153FB" w:rsidP="00E153FB">
            <w:pPr>
              <w:pStyle w:val="ListBullet"/>
            </w:pPr>
            <w:r w:rsidRPr="00E153FB">
              <w:t>Basic knowledge of philosophical tradition of science/allopathic medicine</w:t>
            </w:r>
          </w:p>
          <w:p w:rsidR="00000000" w:rsidRPr="00E153FB" w:rsidP="00E153FB">
            <w:pPr>
              <w:pStyle w:val="ListBullet"/>
            </w:pPr>
            <w:r w:rsidRPr="00E153FB">
              <w:t>Basic knowledge of philosophical tradition of science/allopathic medicine</w:t>
            </w:r>
          </w:p>
          <w:p w:rsidR="00000000" w:rsidRPr="00E153FB" w:rsidP="00E153FB">
            <w:pPr>
              <w:pStyle w:val="ListBullet"/>
            </w:pPr>
            <w:r w:rsidRPr="00E153FB">
              <w:t>Basic knowledge of sociology of health and the health care system</w:t>
            </w:r>
          </w:p>
          <w:p w:rsidR="00000000" w:rsidRPr="00E153FB" w:rsidP="00E153FB">
            <w:pPr>
              <w:pStyle w:val="ListBullet"/>
            </w:pPr>
            <w:r w:rsidRPr="00E153FB">
              <w:t>Basic knowledge of sociology of health and the health care system</w:t>
            </w:r>
          </w:p>
          <w:p w:rsidR="00000000" w:rsidRPr="00E153FB" w:rsidP="00E153FB">
            <w:pPr>
              <w:pStyle w:val="ListBullet"/>
            </w:pPr>
            <w:r w:rsidRPr="00E153FB">
              <w:t>Basic knowledge of the current political context of health care</w:t>
            </w:r>
          </w:p>
          <w:p w:rsidR="00000000" w:rsidRPr="00E153FB" w:rsidP="00E153FB">
            <w:pPr>
              <w:pStyle w:val="ListBullet"/>
            </w:pPr>
            <w:r w:rsidRPr="00E153FB">
              <w:t xml:space="preserve">Basic knowledge of the practices of other therapies </w:t>
            </w:r>
          </w:p>
          <w:p w:rsidR="00000000" w:rsidRPr="00E153FB" w:rsidP="00E153FB">
            <w:pPr>
              <w:pStyle w:val="ListBullet"/>
            </w:pPr>
            <w:r w:rsidRPr="00E153FB">
              <w:t>Basic nutritional requirements for the various ages and stages of life</w:t>
            </w:r>
          </w:p>
          <w:p w:rsidR="00000000" w:rsidRPr="00E153FB" w:rsidP="00E153FB">
            <w:pPr>
              <w:pStyle w:val="ListBullet"/>
            </w:pPr>
            <w:r w:rsidRPr="00E153FB">
              <w:t>Ba</w:t>
            </w:r>
            <w:r w:rsidRPr="00E153FB">
              <w:t>sic nutritional requirements for the various ages and stages of life</w:t>
            </w:r>
          </w:p>
          <w:p w:rsidR="00000000" w:rsidRPr="00E153FB" w:rsidP="00E153FB">
            <w:pPr>
              <w:pStyle w:val="ListBullet"/>
            </w:pPr>
            <w:r w:rsidRPr="00E153FB">
              <w:t xml:space="preserve">Disease processes and affecting factors for a range of common diseases </w:t>
            </w:r>
          </w:p>
          <w:p w:rsidR="00000000" w:rsidRPr="00E153FB" w:rsidP="00E153FB">
            <w:pPr>
              <w:pStyle w:val="ListBullet"/>
            </w:pPr>
            <w:r w:rsidRPr="00E153FB">
              <w:t>Ethical issues in management</w:t>
            </w:r>
          </w:p>
          <w:p w:rsidR="00000000" w:rsidRPr="00E153FB" w:rsidP="00E153FB">
            <w:pPr>
              <w:pStyle w:val="ListBullet"/>
            </w:pPr>
            <w:r w:rsidRPr="00E153FB">
              <w:t>Ethical issues in medicine</w:t>
            </w:r>
          </w:p>
          <w:p w:rsidR="00000000" w:rsidRPr="00E153FB" w:rsidP="00E153FB">
            <w:pPr>
              <w:pStyle w:val="ListBullet"/>
            </w:pPr>
            <w:r w:rsidRPr="00E153FB">
              <w:t>How homœopathy works with the other therapeutic models</w:t>
            </w:r>
          </w:p>
          <w:p w:rsidR="00000000" w:rsidRPr="00E153FB" w:rsidP="00E153FB">
            <w:pPr>
              <w:pStyle w:val="ListBullet"/>
            </w:pPr>
            <w:r w:rsidRPr="00E153FB">
              <w:t>Indu</w:t>
            </w:r>
            <w:r w:rsidRPr="00E153FB">
              <w:t>stry standards</w:t>
            </w:r>
          </w:p>
          <w:p w:rsidR="00000000" w:rsidRPr="00E153FB" w:rsidP="00E153FB">
            <w:pPr>
              <w:pStyle w:val="ListBullet"/>
            </w:pPr>
            <w:r w:rsidRPr="00E153FB">
              <w:t>Knowledge and understanding of the Law of similars</w:t>
            </w:r>
          </w:p>
          <w:p w:rsidR="00000000" w:rsidRPr="00E153FB" w:rsidP="00E153FB">
            <w:pPr>
              <w:pStyle w:val="ListBullet"/>
            </w:pPr>
            <w:r w:rsidRPr="00E153FB">
              <w:t>Management issues and responsibilities</w:t>
            </w:r>
          </w:p>
          <w:p w:rsidR="00000000" w:rsidRPr="00E153FB" w:rsidP="00E153FB">
            <w:pPr>
              <w:pStyle w:val="ListBullet"/>
            </w:pPr>
            <w:r w:rsidRPr="00E153FB">
              <w:t>OHS requirements in the workplace</w:t>
            </w:r>
          </w:p>
          <w:p w:rsidR="00000000" w:rsidRPr="00E153FB" w:rsidP="00E153FB">
            <w:pPr>
              <w:pStyle w:val="ListBullet"/>
            </w:pPr>
            <w:r w:rsidRPr="00E153FB">
              <w:t>Team development issues</w:t>
            </w:r>
          </w:p>
          <w:p w:rsidR="00000000" w:rsidRPr="00E153FB" w:rsidP="00E153FB">
            <w:pPr>
              <w:pStyle w:val="ListBullet"/>
            </w:pPr>
            <w:r w:rsidRPr="00E153FB">
              <w:t>The homœopathic integration of these approaches to health</w:t>
            </w:r>
          </w:p>
          <w:p w:rsidR="00000000" w:rsidRPr="00E153FB" w:rsidP="00E153FB">
            <w:pPr>
              <w:pStyle w:val="ListBullet"/>
            </w:pPr>
            <w:r w:rsidRPr="00E153FB">
              <w:t>The qualitative, quantitative, cult</w:t>
            </w:r>
            <w:r w:rsidRPr="00E153FB">
              <w:t>ural and traditional lines of evidence used in homœopathy</w:t>
            </w:r>
          </w:p>
          <w:p w:rsidR="00000000" w:rsidRPr="00E153FB" w:rsidP="00E153FB">
            <w:pPr>
              <w:pStyle w:val="ListBullet"/>
            </w:pPr>
            <w:r w:rsidRPr="00E153FB">
              <w:t>The rationalistic, analytical approach to an understanding of disease</w:t>
            </w:r>
          </w:p>
          <w:p w:rsidR="00000000" w:rsidRPr="00E153FB" w:rsidP="00E153FB">
            <w:pPr>
              <w:pStyle w:val="ListBullet"/>
            </w:pPr>
            <w:r w:rsidRPr="00E153FB">
              <w:t xml:space="preserve">The vitalistic, empirical approach to healthThe philosophies, principles and tools of homœopathy </w:t>
            </w:r>
          </w:p>
          <w:p w:rsidR="00000000" w:rsidP="00E153FB">
            <w:pPr>
              <w:pStyle w:val="BodyText"/>
              <w:rPr>
                <w:lang w:val="en-NZ"/>
              </w:rPr>
            </w:pPr>
            <w:r w:rsidRPr="00E153FB">
              <w:rPr>
                <w:rStyle w:val="Emphasis"/>
              </w:rPr>
              <w:t>continued</w:t>
            </w:r>
            <w:r w:rsidRPr="00E153FB">
              <w:t xml:space="preserve"> ...</w:t>
            </w:r>
          </w:p>
        </w:tc>
      </w:tr>
      <w:tr w:rsidTr="0069695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153FB" w:rsidP="00E153FB">
            <w:pPr>
              <w:pStyle w:val="BodyText"/>
            </w:pPr>
            <w:r w:rsidRPr="00E153FB">
              <w:rPr>
                <w:rStyle w:val="Emphasis"/>
              </w:rPr>
              <w:t>Essential knowledge</w:t>
            </w:r>
            <w:r w:rsidRPr="00E153FB">
              <w:t xml:space="preserve"> (</w:t>
            </w:r>
            <w:r w:rsidRPr="00E153FB">
              <w:rPr>
                <w:rStyle w:val="Emphasis"/>
              </w:rPr>
              <w:t>contd</w:t>
            </w:r>
            <w:r w:rsidRPr="00E153FB">
              <w:t>):</w:t>
            </w:r>
          </w:p>
          <w:p w:rsidR="00000000" w:rsidRPr="00E153FB" w:rsidP="00E153FB">
            <w:pPr>
              <w:pStyle w:val="ListBullet"/>
            </w:pPr>
            <w:r w:rsidRPr="00E153FB">
              <w:t>The principles of:</w:t>
            </w:r>
          </w:p>
          <w:p w:rsidR="00000000" w:rsidRPr="00E153FB" w:rsidP="00E153FB">
            <w:pPr>
              <w:pStyle w:val="ListBullet2"/>
            </w:pPr>
            <w:r w:rsidRPr="00E153FB">
              <w:t>action of homœopathic medicines according to Hahnemann</w:t>
            </w:r>
          </w:p>
          <w:p w:rsidR="00000000" w:rsidRPr="00E153FB" w:rsidP="00E153FB">
            <w:pPr>
              <w:pStyle w:val="ListBullet2"/>
            </w:pPr>
            <w:r w:rsidRPr="00E153FB">
              <w:t>aggravation</w:t>
            </w:r>
          </w:p>
          <w:p w:rsidR="00000000" w:rsidRPr="00E153FB" w:rsidP="00E153FB">
            <w:pPr>
              <w:pStyle w:val="ListBullet2"/>
            </w:pPr>
            <w:r w:rsidRPr="00E153FB">
              <w:t>dynamism or 'the vital force'</w:t>
            </w:r>
          </w:p>
          <w:p w:rsidR="00000000" w:rsidRPr="00E153FB" w:rsidP="00E153FB">
            <w:pPr>
              <w:pStyle w:val="ListBullet2"/>
            </w:pPr>
            <w:r w:rsidRPr="00E153FB">
              <w:t>exciting cause of a disease</w:t>
            </w:r>
          </w:p>
          <w:p w:rsidR="00000000" w:rsidRPr="00E153FB" w:rsidP="00E153FB">
            <w:pPr>
              <w:pStyle w:val="ListBullet2"/>
            </w:pPr>
            <w:r w:rsidRPr="00E153FB">
              <w:t>fundamental cause of a disease</w:t>
            </w:r>
          </w:p>
          <w:p w:rsidR="00000000" w:rsidRPr="00E153FB" w:rsidP="00E153FB">
            <w:pPr>
              <w:pStyle w:val="ListBullet2"/>
            </w:pPr>
            <w:r w:rsidRPr="00E153FB">
              <w:t>individualisation of the case</w:t>
            </w:r>
          </w:p>
          <w:p w:rsidR="00000000" w:rsidRPr="00E153FB" w:rsidP="00E153FB">
            <w:pPr>
              <w:pStyle w:val="ListBullet2"/>
            </w:pPr>
            <w:r w:rsidRPr="00E153FB">
              <w:t>minimum dose</w:t>
            </w:r>
          </w:p>
          <w:p w:rsidR="00000000" w:rsidRPr="00E153FB" w:rsidP="00E153FB">
            <w:pPr>
              <w:pStyle w:val="ListBullet2"/>
            </w:pPr>
            <w:r w:rsidRPr="00E153FB">
              <w:t>modern h</w:t>
            </w:r>
            <w:r w:rsidRPr="00E153FB">
              <w:t>ypotheses concerning the action of the homoeopathic medicines</w:t>
            </w:r>
          </w:p>
          <w:p w:rsidR="00000000" w:rsidRPr="00E153FB" w:rsidP="00E153FB">
            <w:pPr>
              <w:pStyle w:val="ListBullet2"/>
            </w:pPr>
            <w:r w:rsidRPr="00E153FB">
              <w:t>nature of disease according to Hahnemann</w:t>
            </w:r>
          </w:p>
          <w:p w:rsidR="00000000" w:rsidRPr="00E153FB" w:rsidP="00E153FB">
            <w:pPr>
              <w:pStyle w:val="ListBullet2"/>
            </w:pPr>
            <w:r w:rsidRPr="00E153FB">
              <w:t>primary and secondary actions of medicines</w:t>
            </w:r>
          </w:p>
          <w:p w:rsidR="00000000" w:rsidRPr="00E153FB" w:rsidP="00E153FB">
            <w:pPr>
              <w:pStyle w:val="ListBullet2"/>
            </w:pPr>
            <w:r w:rsidRPr="00E153FB">
              <w:t>similarity</w:t>
            </w:r>
          </w:p>
          <w:p w:rsidR="00000000" w:rsidRPr="00E153FB" w:rsidP="00E153FB">
            <w:pPr>
              <w:pStyle w:val="ListBullet2"/>
            </w:pPr>
            <w:r w:rsidRPr="00E153FB">
              <w:t>single dose</w:t>
            </w:r>
          </w:p>
          <w:p w:rsidR="00000000" w:rsidRPr="00E153FB" w:rsidP="00E153FB">
            <w:pPr>
              <w:pStyle w:val="ListBullet2"/>
            </w:pPr>
            <w:r w:rsidRPr="00E153FB">
              <w:t xml:space="preserve">single medicine </w:t>
            </w:r>
          </w:p>
          <w:p w:rsidR="00000000" w:rsidRPr="00E153FB" w:rsidP="00E153FB">
            <w:pPr>
              <w:pStyle w:val="ListBullet2"/>
            </w:pPr>
            <w:r w:rsidRPr="00E153FB">
              <w:t>suppression - the consequences of suppression of symptoms or discharges on the future development of disease</w:t>
            </w:r>
          </w:p>
          <w:p w:rsidR="00000000" w:rsidRPr="00E153FB" w:rsidP="00E153FB">
            <w:pPr>
              <w:pStyle w:val="ListBullet2"/>
            </w:pPr>
            <w:r w:rsidRPr="00E153FB">
              <w:t>susceptibility and sensitivity</w:t>
            </w:r>
          </w:p>
          <w:p w:rsidR="00000000" w:rsidRPr="00E153FB" w:rsidP="00E153FB">
            <w:pPr>
              <w:pStyle w:val="ListBullet2"/>
            </w:pPr>
            <w:r w:rsidRPr="00E153FB">
              <w:t>the systemic nature of disease, including the so-called local or one-sided diseases, in aphorisms (§), (§186-205) Or</w:t>
            </w:r>
            <w:r w:rsidRPr="00E153FB">
              <w:t>ganon of Medicine</w:t>
            </w:r>
          </w:p>
          <w:p w:rsidR="00000000" w:rsidRPr="00E153FB" w:rsidP="00E153FB">
            <w:pPr>
              <w:pStyle w:val="ListBullet2"/>
            </w:pPr>
            <w:r w:rsidRPr="00E153FB">
              <w:t xml:space="preserve">totality of symptoms </w:t>
            </w:r>
          </w:p>
          <w:p w:rsidR="00000000" w:rsidRPr="00E153FB" w:rsidP="00E153FB">
            <w:pPr>
              <w:pStyle w:val="ListBullet"/>
            </w:pPr>
            <w:r w:rsidRPr="00E153FB">
              <w:t>The principles of:</w:t>
            </w:r>
          </w:p>
          <w:p w:rsidR="00000000" w:rsidRPr="00E153FB" w:rsidP="00E153FB">
            <w:pPr>
              <w:pStyle w:val="ListBullet2"/>
            </w:pPr>
            <w:r w:rsidRPr="00E153FB">
              <w:t>different phases of miasms</w:t>
            </w:r>
          </w:p>
          <w:p w:rsidR="00000000" w:rsidRPr="00E153FB" w:rsidP="00E153FB">
            <w:pPr>
              <w:pStyle w:val="ListBullet2"/>
            </w:pPr>
            <w:r w:rsidRPr="00E153FB">
              <w:t>primary and secondary symptoms of miasms</w:t>
            </w:r>
          </w:p>
          <w:p w:rsidR="00000000" w:rsidRPr="00E153FB" w:rsidP="00E153FB">
            <w:pPr>
              <w:pStyle w:val="ListBullet2"/>
            </w:pPr>
            <w:r w:rsidRPr="00E153FB">
              <w:t>the theory of acute and chronic miasms</w:t>
            </w:r>
          </w:p>
          <w:p w:rsidR="00000000" w:rsidRPr="00E153FB" w:rsidP="00E153FB">
            <w:pPr>
              <w:pStyle w:val="ListBullet2"/>
            </w:pPr>
            <w:r w:rsidRPr="00E153FB">
              <w:t>the nature and characteristics of miasms:</w:t>
            </w:r>
          </w:p>
          <w:p w:rsidR="00000000" w:rsidRPr="00E153FB" w:rsidP="00E153FB">
            <w:pPr>
              <w:pStyle w:val="ListBullet3"/>
            </w:pPr>
            <w:r w:rsidRPr="00E153FB">
              <w:t>psoric miasm</w:t>
            </w:r>
          </w:p>
          <w:p w:rsidR="00000000" w:rsidRPr="00E153FB" w:rsidP="00E153FB">
            <w:pPr>
              <w:pStyle w:val="ListBullet3"/>
            </w:pPr>
            <w:r w:rsidRPr="00E153FB">
              <w:t>sycotic miasm</w:t>
            </w:r>
          </w:p>
          <w:p w:rsidR="00000000" w:rsidRPr="00E153FB" w:rsidP="00E153FB">
            <w:pPr>
              <w:pStyle w:val="ListBullet3"/>
            </w:pPr>
            <w:r w:rsidRPr="00E153FB">
              <w:t>syphilitic miasm</w:t>
            </w:r>
          </w:p>
          <w:p w:rsidR="00000000" w:rsidRPr="00E153FB" w:rsidP="00E153FB">
            <w:pPr>
              <w:pStyle w:val="ListBullet3"/>
            </w:pPr>
            <w:r w:rsidRPr="00E153FB">
              <w:t>tubercular miasm</w:t>
            </w:r>
          </w:p>
          <w:p w:rsidR="00000000" w:rsidRPr="00E153FB" w:rsidP="00E153FB">
            <w:pPr>
              <w:pStyle w:val="ListBullet3"/>
            </w:pPr>
            <w:r w:rsidRPr="00E153FB">
              <w:t>cancer miasm</w:t>
            </w:r>
          </w:p>
          <w:p w:rsidR="00000000" w:rsidRPr="00E153FB" w:rsidP="00E153FB">
            <w:pPr>
              <w:pStyle w:val="ListBullet2"/>
            </w:pPr>
            <w:r w:rsidRPr="00E153FB">
              <w:t>treatment of miasms according to phase:</w:t>
            </w:r>
          </w:p>
          <w:p w:rsidR="00000000" w:rsidRPr="00E153FB" w:rsidP="00E153FB">
            <w:pPr>
              <w:pStyle w:val="ListBullet3"/>
            </w:pPr>
            <w:r w:rsidRPr="00E153FB">
              <w:t>the nature of idiosyncrasies</w:t>
            </w:r>
          </w:p>
          <w:p w:rsidR="00000000" w:rsidRPr="00E153FB" w:rsidP="00E153FB">
            <w:pPr>
              <w:pStyle w:val="ListBullet3"/>
            </w:pPr>
            <w:r w:rsidRPr="00E153FB">
              <w:t xml:space="preserve">the direction of cure ('Hering's Law") </w:t>
            </w:r>
          </w:p>
          <w:p w:rsidR="00000000" w:rsidP="00E153FB">
            <w:pPr>
              <w:pStyle w:val="ListBullet3"/>
              <w:rPr>
                <w:lang w:val="en-NZ"/>
              </w:rPr>
            </w:pPr>
            <w:r w:rsidRPr="00E153FB">
              <w:t>the organism's drive to externalise disease (§201) Organon of Medicine</w:t>
            </w:r>
          </w:p>
        </w:tc>
      </w:tr>
      <w:tr w:rsidTr="0069695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153FB">
            <w:pPr>
              <w:pStyle w:val="BodyText"/>
              <w:rPr>
                <w:lang w:val="en-NZ"/>
              </w:rPr>
            </w:pPr>
          </w:p>
        </w:tc>
      </w:tr>
      <w:tr w:rsidTr="0069695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153FB" w:rsidP="00E153FB">
            <w:pPr>
              <w:pStyle w:val="BodyText"/>
            </w:pPr>
            <w:r w:rsidRPr="00E153FB">
              <w:rPr>
                <w:rStyle w:val="Emphasis"/>
              </w:rPr>
              <w:t>Essential skills</w:t>
            </w:r>
            <w:r w:rsidRPr="00E153FB">
              <w:t>:</w:t>
            </w:r>
          </w:p>
          <w:p w:rsidR="00000000" w:rsidRPr="00E153FB" w:rsidP="00E153FB">
            <w:pPr>
              <w:pStyle w:val="BodyText"/>
            </w:pPr>
            <w:r w:rsidRPr="00E153FB">
              <w:t>It is critical that the candidate demonstrate the ability to effectively do the task outlined in elements and performance criteria of this unit, manage the task and manage contingencies in the context of the identified work role</w:t>
            </w:r>
          </w:p>
          <w:p w:rsidR="00000000" w:rsidRPr="00E153FB" w:rsidP="00E153FB">
            <w:pPr>
              <w:pStyle w:val="BodyText"/>
            </w:pPr>
            <w:r w:rsidRPr="00E153FB">
              <w:t>This includes the ability t</w:t>
            </w:r>
            <w:r w:rsidRPr="00E153FB">
              <w:t>o:</w:t>
            </w:r>
          </w:p>
          <w:p w:rsidR="00000000" w:rsidRPr="00E153FB" w:rsidP="00E153FB">
            <w:pPr>
              <w:pStyle w:val="ListBullet"/>
            </w:pPr>
            <w:r w:rsidRPr="00E153FB">
              <w:t>Communicate essentials of homœopathic practice in one-to-one and group settings</w:t>
            </w:r>
          </w:p>
          <w:p w:rsidR="00000000" w:rsidRPr="00E153FB" w:rsidP="00E153FB">
            <w:pPr>
              <w:pStyle w:val="ListBullet"/>
            </w:pPr>
            <w:r w:rsidRPr="00E153FB">
              <w:t>Demonstrate communication skills in one-to-one and group settings</w:t>
            </w:r>
          </w:p>
          <w:p w:rsidR="00000000" w:rsidRPr="00E153FB" w:rsidP="00E153FB">
            <w:pPr>
              <w:pStyle w:val="ListBullet"/>
            </w:pPr>
            <w:r w:rsidRPr="00E153FB">
              <w:t xml:space="preserve">Demonstrate documentation skills </w:t>
            </w:r>
          </w:p>
          <w:p w:rsidR="00000000" w:rsidRPr="00E153FB" w:rsidP="00E153FB">
            <w:pPr>
              <w:pStyle w:val="ListBullet"/>
            </w:pPr>
            <w:r w:rsidRPr="00E153FB">
              <w:t>Demonstrate management skills</w:t>
            </w:r>
          </w:p>
          <w:p w:rsidR="00000000" w:rsidRPr="00E153FB" w:rsidP="00E153FB">
            <w:pPr>
              <w:pStyle w:val="ListBullet"/>
            </w:pPr>
            <w:r w:rsidRPr="00E153FB">
              <w:t>Demonstrate team development skills</w:t>
            </w:r>
          </w:p>
          <w:p w:rsidR="00000000" w:rsidRPr="00E153FB" w:rsidP="00E153FB">
            <w:pPr>
              <w:pStyle w:val="ListBullet"/>
            </w:pPr>
            <w:r w:rsidRPr="00E153FB">
              <w:t>Explain</w:t>
            </w:r>
            <w:r w:rsidRPr="00E153FB">
              <w:t xml:space="preserve"> clinic guidelines and legislation</w:t>
            </w:r>
          </w:p>
          <w:p w:rsidR="00000000" w:rsidRPr="00E153FB" w:rsidP="00E153FB">
            <w:pPr>
              <w:pStyle w:val="ListBullet"/>
            </w:pPr>
            <w:r w:rsidRPr="00E153FB">
              <w:t xml:space="preserve">Explain relevant products and services </w:t>
            </w:r>
          </w:p>
          <w:p w:rsidR="00000000" w:rsidRPr="00E153FB" w:rsidP="00E153FB">
            <w:pPr>
              <w:pStyle w:val="ListBullet"/>
            </w:pPr>
            <w:r w:rsidRPr="00E153FB">
              <w:t>Identify ethical issues</w:t>
            </w:r>
          </w:p>
          <w:p w:rsidR="00000000" w:rsidRPr="00E153FB" w:rsidP="00E153FB">
            <w:pPr>
              <w:pStyle w:val="ListBullet"/>
            </w:pPr>
            <w:r w:rsidRPr="00E153FB">
              <w:t>Model work which demonstrates an understanding of underpinning values and philosophies in the homœopathic framework</w:t>
            </w:r>
          </w:p>
          <w:p w:rsidR="00000000" w:rsidRPr="00E153FB" w:rsidP="00E153FB">
            <w:pPr>
              <w:pStyle w:val="ListBullet"/>
            </w:pPr>
            <w:r w:rsidRPr="00E153FB">
              <w:t>Promote, implement and manage work attitu</w:t>
            </w:r>
            <w:r w:rsidRPr="00E153FB">
              <w:t>des and practices that reflect awareness of the importance of a range of aspects of sustainability</w:t>
            </w:r>
          </w:p>
          <w:p w:rsidR="00000000" w:rsidRPr="00E153FB" w:rsidP="00E153FB">
            <w:pPr>
              <w:pStyle w:val="ListBullet"/>
            </w:pPr>
            <w:r w:rsidRPr="00E153FB">
              <w:t>Provide leadership, coaching and/or mentorship</w:t>
            </w:r>
          </w:p>
          <w:p w:rsidR="00000000" w:rsidRPr="00E153FB" w:rsidP="00E153FB">
            <w:pPr>
              <w:pStyle w:val="ListBullet"/>
            </w:pPr>
            <w:r w:rsidRPr="00E153FB">
              <w:t>Seek out and implement new industry findings and practices</w:t>
            </w:r>
          </w:p>
          <w:p w:rsidR="00000000" w:rsidRPr="00E153FB" w:rsidP="00E153FB">
            <w:pPr>
              <w:pStyle w:val="ListBullet"/>
            </w:pPr>
            <w:r w:rsidRPr="00E153FB">
              <w:t>Treat others with respect</w:t>
            </w:r>
          </w:p>
          <w:p w:rsidR="00000000" w:rsidRPr="00E153FB" w:rsidP="00E153FB">
            <w:pPr>
              <w:pStyle w:val="ListBullet"/>
            </w:pPr>
            <w:r w:rsidRPr="00E153FB">
              <w:t>Undertake performance rev</w:t>
            </w:r>
            <w:r w:rsidRPr="00E153FB">
              <w:t>iews</w:t>
            </w:r>
          </w:p>
        </w:tc>
      </w:tr>
    </w:tbl>
    <w:p w:rsidR="00696952" w:rsidP="00E153FB">
      <w:pPr>
        <w:pStyle w:val="BodyText"/>
      </w:pPr>
    </w:p>
    <w:p w:rsidR="00696952" w:rsidP="00E153FB">
      <w:pPr>
        <w:pStyle w:val="BodyText"/>
      </w:pPr>
    </w:p>
    <w:p w:rsidR="00000000" w:rsidRPr="00E153FB" w:rsidP="00E153FB">
      <w:pPr>
        <w:pStyle w:val="Heading1"/>
      </w:pPr>
      <w:bookmarkStart w:id="10" w:name="O_243937"/>
      <w:bookmarkEnd w:id="10"/>
      <w:r w:rsidRPr="00E153FB">
        <w:t>Evidence Guide</w:t>
      </w:r>
    </w:p>
    <w:tbl>
      <w:tblPr>
        <w:tblW w:w="0" w:type="auto"/>
        <w:tblLayout w:type="fixed"/>
        <w:tblCellMar>
          <w:left w:w="62" w:type="dxa"/>
          <w:right w:w="62" w:type="dxa"/>
        </w:tblCellMar>
        <w:tblLook w:val="0000"/>
      </w:tblPr>
      <w:tblGrid>
        <w:gridCol w:w="3402"/>
        <w:gridCol w:w="5670"/>
      </w:tblGrid>
      <w:tr w:rsidTr="0069695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153FB">
            <w:pPr>
              <w:pStyle w:val="BodyText"/>
              <w:rPr>
                <w:lang w:val="en-NZ"/>
              </w:rPr>
            </w:pPr>
            <w:r w:rsidRPr="00E153FB">
              <w:rPr>
                <w:rStyle w:val="SpecialBold"/>
              </w:rPr>
              <w:t>EVIDENCE GUIDE</w:t>
            </w:r>
          </w:p>
        </w:tc>
      </w:tr>
      <w:tr w:rsidTr="0069695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53FB">
            <w:pPr>
              <w:pStyle w:val="BodyText"/>
              <w:rPr>
                <w:lang w:val="en-NZ"/>
              </w:rPr>
            </w:pPr>
          </w:p>
        </w:tc>
      </w:tr>
      <w:tr w:rsidTr="0069695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53FB">
            <w:pPr>
              <w:pStyle w:val="BodyText"/>
              <w:rPr>
                <w:lang w:val="en-NZ"/>
              </w:rPr>
            </w:pPr>
            <w:r w:rsidRPr="00E153FB">
              <w:t>The evidence guide provides advice on assessment and must be read in conjunction with the Performance Criteria, Required Skills and Knowledge, the Range Statement and the Assessment Gu</w:t>
            </w:r>
            <w:r w:rsidRPr="00E153FB">
              <w:t>idelines for this Training Package.</w:t>
            </w:r>
          </w:p>
        </w:tc>
      </w:tr>
      <w:tr w:rsidTr="0069695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53FB">
            <w:pPr>
              <w:pStyle w:val="BodyText"/>
              <w:rPr>
                <w:lang w:val="en-NZ"/>
              </w:rPr>
            </w:pPr>
          </w:p>
        </w:tc>
      </w:tr>
      <w:tr w:rsidTr="006969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53FB">
            <w:pPr>
              <w:pStyle w:val="BodyText"/>
              <w:rPr>
                <w:lang w:val="en-NZ"/>
              </w:rPr>
            </w:pPr>
            <w:r w:rsidRPr="00E153FB">
              <w:rPr>
                <w:rStyle w:val="Emphasis"/>
              </w:rPr>
              <w:t>Critical aspects for assessment and evidence required to demonstrate this competency unit</w:t>
            </w:r>
            <w:r w:rsidRPr="00E153FB">
              <w:t xml:space="preserve">: </w:t>
            </w:r>
          </w:p>
        </w:tc>
        <w:tc>
          <w:tcPr>
            <w:tcW w:w="5670" w:type="dxa"/>
            <w:tcBorders>
              <w:top w:val="nil"/>
              <w:left w:val="nil"/>
              <w:bottom w:val="nil"/>
              <w:right w:val="nil"/>
            </w:tcBorders>
            <w:tcMar>
              <w:top w:w="0" w:type="dxa"/>
              <w:left w:w="62" w:type="dxa"/>
              <w:bottom w:w="0" w:type="dxa"/>
              <w:right w:w="62" w:type="dxa"/>
            </w:tcMar>
          </w:tcPr>
          <w:p w:rsidR="00000000" w:rsidRPr="00E153FB" w:rsidP="00E153FB">
            <w:pPr>
              <w:pStyle w:val="ListBullet"/>
            </w:pPr>
            <w:r w:rsidRPr="00E153FB">
              <w:t>The individual being assessed must provide evidence of specified essential knowledge as well as skills</w:t>
            </w:r>
          </w:p>
          <w:p w:rsidR="00000000" w:rsidRPr="00E153FB" w:rsidP="00E153FB">
            <w:pPr>
              <w:pStyle w:val="ListBullet"/>
            </w:pPr>
            <w:r w:rsidRPr="00E153FB">
              <w:t>Observation of perfo</w:t>
            </w:r>
            <w:r w:rsidRPr="00E153FB">
              <w:t>rmance in the workplace or a simulated workplace (defined as a supervised clinic) is essential for assessment of this unit</w:t>
            </w:r>
          </w:p>
          <w:p w:rsidR="00000000" w:rsidRPr="00E153FB" w:rsidP="00E153FB">
            <w:pPr>
              <w:pStyle w:val="ListBullet"/>
            </w:pPr>
            <w:r w:rsidRPr="00E153FB">
              <w:t>Consistency of performance should be demonstrated over the required range of situations relevant to the workplace</w:t>
            </w:r>
          </w:p>
          <w:p w:rsidR="00000000" w:rsidRPr="00E153FB" w:rsidP="00E153FB">
            <w:pPr>
              <w:pStyle w:val="ListBullet"/>
            </w:pPr>
            <w:r w:rsidRPr="00E153FB">
              <w:t xml:space="preserve">Where, for reasons </w:t>
            </w:r>
            <w:r w:rsidRPr="00E153FB">
              <w:t>of safety, space, or access to equipment and resources, assessment takes place away from the workplace, the assessment environment should represent workplace conditions as closely as possible</w:t>
            </w:r>
          </w:p>
          <w:p w:rsidR="00000000" w:rsidRPr="00E153FB" w:rsidP="00E153FB">
            <w:pPr>
              <w:pStyle w:val="ListBullet"/>
            </w:pPr>
            <w:r w:rsidRPr="00E153FB">
              <w:t>Assessment of sole practitioners must include a range of clinica</w:t>
            </w:r>
            <w:r w:rsidRPr="00E153FB">
              <w:t>l situations and different client groups covering at minimum, age, culture and gender</w:t>
            </w:r>
          </w:p>
          <w:p w:rsidR="00000000" w:rsidRPr="00E153FB" w:rsidP="00E153FB">
            <w:pPr>
              <w:pStyle w:val="ListBullet"/>
            </w:pPr>
            <w:r w:rsidRPr="00E153FB">
              <w:t>Assessment of sole practitioners must consider their unique workplace context, including:</w:t>
            </w:r>
          </w:p>
          <w:p w:rsidR="00000000" w:rsidRPr="00E153FB" w:rsidP="00E153FB">
            <w:pPr>
              <w:pStyle w:val="ListBullet2"/>
            </w:pPr>
            <w:r w:rsidRPr="00E153FB">
              <w:t>interaction with others in the broader professional community as part of the so</w:t>
            </w:r>
            <w:r w:rsidRPr="00E153FB">
              <w:t>le practitioner's workplace</w:t>
            </w:r>
          </w:p>
          <w:p w:rsidR="00000000" w:rsidRPr="00E153FB" w:rsidP="00E153FB">
            <w:pPr>
              <w:pStyle w:val="ListBullet2"/>
            </w:pPr>
            <w:r w:rsidRPr="00E153FB">
              <w:t>scope of practice as detailed in the qualification and component competency units</w:t>
            </w:r>
          </w:p>
          <w:p w:rsidR="00000000" w:rsidRPr="00E153FB" w:rsidP="00E153FB">
            <w:pPr>
              <w:pStyle w:val="ListBullet2"/>
            </w:pPr>
            <w:r w:rsidRPr="00E153FB">
              <w:t>holistic/integrated assessment including:</w:t>
            </w:r>
          </w:p>
          <w:p w:rsidR="00000000" w:rsidRPr="00E153FB" w:rsidP="00E153FB">
            <w:pPr>
              <w:pStyle w:val="ListBullet3"/>
            </w:pPr>
            <w:r w:rsidRPr="00E153FB">
              <w:t>working within the practice framework</w:t>
            </w:r>
          </w:p>
          <w:p w:rsidR="00000000" w:rsidRPr="00E153FB" w:rsidP="00E153FB">
            <w:pPr>
              <w:pStyle w:val="ListBullet3"/>
            </w:pPr>
            <w:r w:rsidRPr="00E153FB">
              <w:t>performing a health assessment</w:t>
            </w:r>
          </w:p>
          <w:p w:rsidR="00000000" w:rsidRPr="00E153FB" w:rsidP="00E153FB">
            <w:pPr>
              <w:pStyle w:val="ListBullet3"/>
            </w:pPr>
            <w:r w:rsidRPr="00E153FB">
              <w:t>assessing the client</w:t>
            </w:r>
          </w:p>
          <w:p w:rsidR="00000000" w:rsidRPr="00E153FB" w:rsidP="00E153FB">
            <w:pPr>
              <w:pStyle w:val="ListBullet3"/>
            </w:pPr>
            <w:r w:rsidRPr="00E153FB">
              <w:t>planning treatment</w:t>
            </w:r>
          </w:p>
          <w:p w:rsidR="00000000" w:rsidP="00E153FB">
            <w:pPr>
              <w:pStyle w:val="ListBullet3"/>
              <w:rPr>
                <w:lang w:val="en-NZ"/>
              </w:rPr>
            </w:pPr>
            <w:r w:rsidRPr="00E153FB">
              <w:t>providing treatment</w:t>
            </w:r>
          </w:p>
        </w:tc>
      </w:tr>
      <w:tr w:rsidTr="006969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53FB">
            <w:pPr>
              <w:pStyle w:val="BodyText"/>
              <w:rPr>
                <w:lang w:val="en-NZ"/>
              </w:rPr>
            </w:pPr>
          </w:p>
        </w:tc>
      </w:tr>
      <w:tr w:rsidTr="006969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53FB">
            <w:pPr>
              <w:pStyle w:val="BodyText"/>
              <w:rPr>
                <w:lang w:val="en-NZ"/>
              </w:rPr>
            </w:pPr>
            <w:r w:rsidRPr="00E153FB">
              <w:rPr>
                <w:rStyle w:val="Emphasis"/>
              </w:rPr>
              <w:t>Context of and specific resources for assessment</w:t>
            </w:r>
          </w:p>
        </w:tc>
        <w:tc>
          <w:tcPr>
            <w:tcW w:w="5670" w:type="dxa"/>
            <w:tcBorders>
              <w:top w:val="nil"/>
              <w:left w:val="nil"/>
              <w:bottom w:val="nil"/>
              <w:right w:val="nil"/>
            </w:tcBorders>
            <w:tcMar>
              <w:top w:w="0" w:type="dxa"/>
              <w:left w:w="62" w:type="dxa"/>
              <w:bottom w:w="0" w:type="dxa"/>
              <w:right w:w="62" w:type="dxa"/>
            </w:tcMar>
          </w:tcPr>
          <w:p w:rsidR="00000000" w:rsidRPr="00E153FB" w:rsidP="00E153FB">
            <w:pPr>
              <w:pStyle w:val="ListBullet"/>
            </w:pPr>
            <w:r w:rsidRPr="00E153FB">
              <w:t>Relevant texts or medical manuals</w:t>
            </w:r>
          </w:p>
          <w:p w:rsidR="00000000" w:rsidRPr="00E153FB" w:rsidP="00E153FB">
            <w:pPr>
              <w:pStyle w:val="ListBullet"/>
            </w:pPr>
            <w:r w:rsidRPr="00E153FB">
              <w:t>Relevant paper based/video assessment instruments</w:t>
            </w:r>
          </w:p>
          <w:p w:rsidR="00000000" w:rsidRPr="00E153FB" w:rsidP="00E153FB">
            <w:pPr>
              <w:pStyle w:val="ListBullet"/>
            </w:pPr>
            <w:r w:rsidRPr="00E153FB">
              <w:t>Appropriate assessment environment</w:t>
            </w:r>
          </w:p>
          <w:p w:rsidR="00000000" w:rsidP="00E153FB">
            <w:pPr>
              <w:pStyle w:val="ListBullet"/>
              <w:rPr>
                <w:lang w:val="en-NZ"/>
              </w:rPr>
            </w:pPr>
            <w:r w:rsidRPr="00E153FB">
              <w:t>Skilled assessors</w:t>
            </w:r>
          </w:p>
        </w:tc>
      </w:tr>
      <w:tr w:rsidTr="006969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53FB">
            <w:pPr>
              <w:pStyle w:val="BodyText"/>
              <w:rPr>
                <w:lang w:val="en-NZ"/>
              </w:rPr>
            </w:pPr>
          </w:p>
        </w:tc>
      </w:tr>
      <w:tr w:rsidTr="006969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53FB">
            <w:pPr>
              <w:pStyle w:val="BodyText"/>
              <w:rPr>
                <w:lang w:val="en-NZ"/>
              </w:rPr>
            </w:pPr>
            <w:r w:rsidRPr="00E153FB">
              <w:rPr>
                <w:rStyle w:val="Emphasis"/>
              </w:rPr>
              <w:t>Method of assessment</w:t>
            </w:r>
            <w:r w:rsidRPr="00E153FB">
              <w:t xml:space="preserve"> </w:t>
            </w:r>
          </w:p>
        </w:tc>
        <w:tc>
          <w:tcPr>
            <w:tcW w:w="5670" w:type="dxa"/>
            <w:tcBorders>
              <w:top w:val="nil"/>
              <w:left w:val="nil"/>
              <w:bottom w:val="nil"/>
              <w:right w:val="nil"/>
            </w:tcBorders>
            <w:tcMar>
              <w:top w:w="0" w:type="dxa"/>
              <w:left w:w="62" w:type="dxa"/>
              <w:bottom w:w="0" w:type="dxa"/>
              <w:right w:w="62" w:type="dxa"/>
            </w:tcMar>
          </w:tcPr>
          <w:p w:rsidR="00000000" w:rsidRPr="00E153FB" w:rsidP="00E153FB">
            <w:pPr>
              <w:pStyle w:val="ListBullet"/>
            </w:pPr>
            <w:r w:rsidRPr="00E153FB">
              <w:t>Observation in the work place, practical demonstrations and simulations</w:t>
            </w:r>
          </w:p>
          <w:p w:rsidR="00000000" w:rsidRPr="00E153FB" w:rsidP="00E153FB">
            <w:pPr>
              <w:pStyle w:val="ListBullet"/>
            </w:pPr>
            <w:r w:rsidRPr="00E153FB">
              <w:t>Written assignments/projects or questioning should be used to assess knowledge</w:t>
            </w:r>
          </w:p>
          <w:p w:rsidR="00000000" w:rsidRPr="00E153FB" w:rsidP="00E153FB">
            <w:pPr>
              <w:pStyle w:val="ListBullet"/>
            </w:pPr>
            <w:r w:rsidRPr="00E153FB">
              <w:t>Case study and scenario as a basis for discussion of issues and strategies to contribute to best practice</w:t>
            </w:r>
          </w:p>
          <w:p w:rsidR="00000000" w:rsidRPr="00E153FB" w:rsidP="00E153FB">
            <w:pPr>
              <w:pStyle w:val="ListBullet"/>
            </w:pPr>
            <w:r w:rsidRPr="00E153FB">
              <w:t>Clinical skills involving direct client care are to be assessed initially in a simulated clinical setting (laboratory). If successful, a second assessment is to be conducted during workplace application under direct supervision</w:t>
            </w:r>
          </w:p>
          <w:p w:rsidR="00000000" w:rsidRPr="00E153FB" w:rsidP="00E153FB">
            <w:pPr>
              <w:pStyle w:val="ListBullet"/>
            </w:pPr>
            <w:r w:rsidRPr="00E153FB">
              <w:t>Short tests and essays</w:t>
            </w:r>
          </w:p>
          <w:p w:rsidR="00000000" w:rsidP="00E153FB">
            <w:pPr>
              <w:pStyle w:val="ListBullet"/>
              <w:rPr>
                <w:lang w:val="en-NZ"/>
              </w:rPr>
            </w:pPr>
            <w:r w:rsidRPr="00E153FB">
              <w:t>Oral</w:t>
            </w:r>
            <w:r w:rsidRPr="00E153FB">
              <w:t xml:space="preserve"> questioning and discussion</w:t>
            </w:r>
          </w:p>
        </w:tc>
      </w:tr>
      <w:tr w:rsidTr="006969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53FB">
            <w:pPr>
              <w:pStyle w:val="BodyText"/>
              <w:rPr>
                <w:lang w:val="en-NZ"/>
              </w:rPr>
            </w:pPr>
          </w:p>
        </w:tc>
      </w:tr>
      <w:tr w:rsidTr="006969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53FB">
            <w:pPr>
              <w:pStyle w:val="BodyText"/>
              <w:rPr>
                <w:lang w:val="en-NZ"/>
              </w:rPr>
            </w:pPr>
            <w:r w:rsidRPr="00E153FB">
              <w:rPr>
                <w:rStyle w:val="Emphasis"/>
              </w:rPr>
              <w:t>Access and equity considerations</w:t>
            </w:r>
            <w:r w:rsidRPr="00E153FB">
              <w:t>:</w:t>
            </w:r>
          </w:p>
        </w:tc>
        <w:tc>
          <w:tcPr>
            <w:tcW w:w="5670" w:type="dxa"/>
            <w:tcBorders>
              <w:top w:val="nil"/>
              <w:left w:val="nil"/>
              <w:bottom w:val="nil"/>
              <w:right w:val="nil"/>
            </w:tcBorders>
            <w:tcMar>
              <w:top w:w="0" w:type="dxa"/>
              <w:left w:w="62" w:type="dxa"/>
              <w:bottom w:w="0" w:type="dxa"/>
              <w:right w:w="62" w:type="dxa"/>
            </w:tcMar>
          </w:tcPr>
          <w:p w:rsidR="00000000" w:rsidRPr="00E153FB" w:rsidP="00E153FB">
            <w:pPr>
              <w:pStyle w:val="ListBullet"/>
            </w:pPr>
            <w:r w:rsidRPr="00E153FB">
              <w:t>All workers in the health industry should be aware of access and equity issues in relation to their own area of work</w:t>
            </w:r>
          </w:p>
          <w:p w:rsidR="00000000" w:rsidRPr="00E153FB" w:rsidP="00E153FB">
            <w:pPr>
              <w:pStyle w:val="ListBullet"/>
            </w:pPr>
            <w:r w:rsidRPr="00E153FB">
              <w:t xml:space="preserve">All workers should develop their ability to work in a culturally diverse environment </w:t>
            </w:r>
          </w:p>
          <w:p w:rsidR="00000000" w:rsidRPr="00E153FB" w:rsidP="00E153FB">
            <w:pPr>
              <w:pStyle w:val="ListBullet"/>
            </w:pPr>
            <w:r w:rsidRPr="00E153FB">
              <w:t>In recognition of particular health issues facing Aboriginal and Torres Strait Islander communities, workers should be aware of cultural, historical and current issues im</w:t>
            </w:r>
            <w:r w:rsidRPr="00E153FB">
              <w:t>pacting on health of Aboriginal and Torres Strait Islander people</w:t>
            </w:r>
          </w:p>
          <w:p w:rsidR="00000000" w:rsidP="00E153FB">
            <w:pPr>
              <w:pStyle w:val="ListBullet"/>
              <w:rPr>
                <w:lang w:val="en-NZ"/>
              </w:rPr>
            </w:pPr>
            <w:r w:rsidRPr="00E153FB">
              <w:t>Assessors and trainers must take into account relevant access and equity issues, in particular relating to factors impacting on health of Aboriginal and/or Torres Strait Islander clients and</w:t>
            </w:r>
            <w:r w:rsidRPr="00E153FB">
              <w:t xml:space="preserve"> communities</w:t>
            </w:r>
          </w:p>
        </w:tc>
      </w:tr>
      <w:tr w:rsidTr="006969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153FB" w:rsidP="00E153FB">
            <w:pPr>
              <w:pStyle w:val="BodyText"/>
            </w:pPr>
          </w:p>
        </w:tc>
      </w:tr>
    </w:tbl>
    <w:p w:rsidR="00696952" w:rsidP="00E153FB">
      <w:pPr>
        <w:pStyle w:val="BodyText"/>
      </w:pPr>
    </w:p>
    <w:p w:rsidR="00696952" w:rsidP="00E153FB">
      <w:pPr>
        <w:pStyle w:val="BodyText"/>
      </w:pPr>
    </w:p>
    <w:p w:rsidR="00000000" w:rsidRPr="00E153FB" w:rsidP="00E153FB">
      <w:pPr>
        <w:pStyle w:val="Heading1"/>
      </w:pPr>
      <w:bookmarkStart w:id="11" w:name="O_251920"/>
      <w:bookmarkEnd w:id="11"/>
      <w:r w:rsidRPr="00E153FB">
        <w:t>Range Statement</w:t>
      </w:r>
    </w:p>
    <w:tbl>
      <w:tblPr>
        <w:tblW w:w="0" w:type="auto"/>
        <w:tblLayout w:type="fixed"/>
        <w:tblCellMar>
          <w:left w:w="62" w:type="dxa"/>
          <w:right w:w="62" w:type="dxa"/>
        </w:tblCellMar>
        <w:tblLook w:val="0000"/>
      </w:tblPr>
      <w:tblGrid>
        <w:gridCol w:w="3402"/>
        <w:gridCol w:w="5670"/>
      </w:tblGrid>
      <w:tr w:rsidTr="0069695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153FB">
            <w:pPr>
              <w:pStyle w:val="BodyText"/>
              <w:rPr>
                <w:lang w:val="en-NZ"/>
              </w:rPr>
            </w:pPr>
            <w:r w:rsidRPr="00E153FB">
              <w:rPr>
                <w:rStyle w:val="SpecialBold"/>
              </w:rPr>
              <w:t>RANGE STATEMENT</w:t>
            </w:r>
          </w:p>
        </w:tc>
      </w:tr>
      <w:tr w:rsidTr="0069695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53FB">
            <w:pPr>
              <w:pStyle w:val="BodyText"/>
              <w:rPr>
                <w:lang w:val="en-NZ"/>
              </w:rPr>
            </w:pPr>
          </w:p>
        </w:tc>
      </w:tr>
      <w:tr w:rsidTr="0069695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53FB">
            <w:pPr>
              <w:pStyle w:val="BodyText"/>
              <w:rPr>
                <w:lang w:val="en-NZ"/>
              </w:rPr>
            </w:pPr>
            <w:r w:rsidRPr="00E153FB">
              <w:t xml:space="preserve">The Range Statement relates to the unit of competency as a whole.  It allows for different work environments and situations that may affect </w:t>
            </w:r>
            <w:r w:rsidRPr="00E153FB">
              <w:t>performance.  Add any essential operating conditions that may be present with training and assessment depending on the work situation, needs of the candidate, accessibility of the item, and local industry and regional contexts.</w:t>
            </w:r>
          </w:p>
        </w:tc>
      </w:tr>
      <w:tr w:rsidTr="006969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53FB">
            <w:pPr>
              <w:pStyle w:val="BodyText"/>
              <w:rPr>
                <w:lang w:val="en-NZ"/>
              </w:rPr>
            </w:pPr>
          </w:p>
        </w:tc>
      </w:tr>
      <w:tr w:rsidTr="006969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53FB">
            <w:pPr>
              <w:pStyle w:val="BodyText"/>
              <w:rPr>
                <w:lang w:val="en-NZ"/>
              </w:rPr>
            </w:pPr>
            <w:r w:rsidRPr="00E153FB">
              <w:rPr>
                <w:rStyle w:val="Emphasis"/>
              </w:rPr>
              <w:t>Definition and central philosophies of homœopathy</w:t>
            </w:r>
            <w:r w:rsidRPr="00E153FB">
              <w:t>:</w:t>
            </w:r>
          </w:p>
        </w:tc>
        <w:tc>
          <w:tcPr>
            <w:tcW w:w="5670" w:type="dxa"/>
            <w:tcBorders>
              <w:top w:val="nil"/>
              <w:left w:val="nil"/>
              <w:bottom w:val="nil"/>
              <w:right w:val="nil"/>
            </w:tcBorders>
            <w:tcMar>
              <w:top w:w="0" w:type="dxa"/>
              <w:left w:w="62" w:type="dxa"/>
              <w:bottom w:w="0" w:type="dxa"/>
              <w:right w:w="62" w:type="dxa"/>
            </w:tcMar>
          </w:tcPr>
          <w:p w:rsidR="00000000" w:rsidRPr="00E153FB" w:rsidP="00E153FB">
            <w:pPr>
              <w:pStyle w:val="ListBullet"/>
            </w:pPr>
            <w:r w:rsidRPr="00E153FB">
              <w:t>Homœopathy is a system of therapeutics based on the principle of the law of similars. This requires the selection and prescription of a medicine that, through prior testing on healthy people and from clini</w:t>
            </w:r>
            <w:r w:rsidRPr="00E153FB">
              <w:t>cal experience and observation, is known to be capable of producing a set of symptoms most similar to the symptom picture of the client</w:t>
            </w:r>
          </w:p>
          <w:p w:rsidR="00000000" w:rsidRPr="00E153FB" w:rsidP="00E153FB">
            <w:pPr>
              <w:pStyle w:val="ListBullet"/>
            </w:pPr>
            <w:r w:rsidRPr="00E153FB">
              <w:t>The homoeopathic medicine is prescribed in the minimum dose required to bring about (stimulate) healing</w:t>
            </w:r>
          </w:p>
          <w:p w:rsidR="00000000" w:rsidP="00E153FB">
            <w:pPr>
              <w:pStyle w:val="ListBullet"/>
              <w:rPr>
                <w:lang w:val="en-NZ"/>
              </w:rPr>
            </w:pPr>
            <w:r w:rsidRPr="00E153FB">
              <w:t>This therapeutic</w:t>
            </w:r>
            <w:r w:rsidRPr="00E153FB">
              <w:t xml:space="preserve"> methodology in no way limits the scope of homœopaths in the provision of ancillary or emergency care, where this accords with homœopathic principles and is required for the well-being of the client</w:t>
            </w:r>
          </w:p>
        </w:tc>
      </w:tr>
      <w:tr w:rsidTr="006969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53FB">
            <w:pPr>
              <w:pStyle w:val="BodyText"/>
              <w:rPr>
                <w:lang w:val="en-NZ"/>
              </w:rPr>
            </w:pPr>
          </w:p>
        </w:tc>
      </w:tr>
      <w:tr w:rsidTr="006969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53FB">
            <w:pPr>
              <w:pStyle w:val="BodyText"/>
              <w:rPr>
                <w:lang w:val="en-NZ"/>
              </w:rPr>
            </w:pPr>
            <w:r w:rsidRPr="00E153FB">
              <w:rPr>
                <w:rStyle w:val="Emphasis"/>
              </w:rPr>
              <w:t>Treatment practices used by Homoeopaths may include</w:t>
            </w:r>
            <w:r w:rsidRPr="00E153FB">
              <w:t>:</w:t>
            </w:r>
          </w:p>
        </w:tc>
        <w:tc>
          <w:tcPr>
            <w:tcW w:w="5670" w:type="dxa"/>
            <w:tcBorders>
              <w:top w:val="nil"/>
              <w:left w:val="nil"/>
              <w:bottom w:val="nil"/>
              <w:right w:val="nil"/>
            </w:tcBorders>
            <w:tcMar>
              <w:top w:w="0" w:type="dxa"/>
              <w:left w:w="62" w:type="dxa"/>
              <w:bottom w:w="0" w:type="dxa"/>
              <w:right w:w="62" w:type="dxa"/>
            </w:tcMar>
          </w:tcPr>
          <w:p w:rsidR="00000000" w:rsidRPr="00E153FB" w:rsidP="00E153FB">
            <w:pPr>
              <w:pStyle w:val="ListBullet"/>
            </w:pPr>
            <w:r w:rsidRPr="00E153FB">
              <w:t>The prescription of a homœopathic medicine</w:t>
            </w:r>
          </w:p>
          <w:p w:rsidR="00000000" w:rsidRPr="00E153FB" w:rsidP="00E153FB">
            <w:pPr>
              <w:pStyle w:val="ListBullet"/>
            </w:pPr>
            <w:r w:rsidRPr="00E153FB">
              <w:t>Nutritional guidance</w:t>
            </w:r>
          </w:p>
          <w:p w:rsidR="00000000" w:rsidRPr="00E153FB" w:rsidP="00E153FB">
            <w:pPr>
              <w:pStyle w:val="ListBullet"/>
            </w:pPr>
            <w:r w:rsidRPr="00E153FB">
              <w:t>Personal hygiene advice</w:t>
            </w:r>
          </w:p>
          <w:p w:rsidR="00000000" w:rsidP="00E153FB">
            <w:pPr>
              <w:pStyle w:val="ListBullet"/>
              <w:rPr>
                <w:lang w:val="en-NZ"/>
              </w:rPr>
            </w:pPr>
            <w:r w:rsidRPr="00E153FB">
              <w:t>Counselling</w:t>
            </w:r>
          </w:p>
        </w:tc>
      </w:tr>
      <w:tr w:rsidTr="006969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53FB">
            <w:pPr>
              <w:pStyle w:val="BodyText"/>
              <w:rPr>
                <w:lang w:val="en-NZ"/>
              </w:rPr>
            </w:pPr>
          </w:p>
        </w:tc>
      </w:tr>
      <w:tr w:rsidTr="006969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53FB">
            <w:pPr>
              <w:pStyle w:val="BodyText"/>
              <w:rPr>
                <w:lang w:val="en-NZ"/>
              </w:rPr>
            </w:pPr>
            <w:r w:rsidRPr="00E153FB">
              <w:rPr>
                <w:rStyle w:val="Emphasis"/>
              </w:rPr>
              <w:t>The forms of diagnosis may include</w:t>
            </w:r>
          </w:p>
        </w:tc>
        <w:tc>
          <w:tcPr>
            <w:tcW w:w="5670" w:type="dxa"/>
            <w:tcBorders>
              <w:top w:val="nil"/>
              <w:left w:val="nil"/>
              <w:bottom w:val="nil"/>
              <w:right w:val="nil"/>
            </w:tcBorders>
            <w:tcMar>
              <w:top w:w="0" w:type="dxa"/>
              <w:left w:w="62" w:type="dxa"/>
              <w:bottom w:w="0" w:type="dxa"/>
              <w:right w:w="62" w:type="dxa"/>
            </w:tcMar>
          </w:tcPr>
          <w:p w:rsidR="00000000" w:rsidRPr="00E153FB" w:rsidP="00E153FB">
            <w:pPr>
              <w:pStyle w:val="ListBullet"/>
            </w:pPr>
            <w:r w:rsidRPr="00E153FB">
              <w:t>Homoeopathic diagnosis</w:t>
            </w:r>
          </w:p>
          <w:p w:rsidR="00000000" w:rsidP="00E153FB">
            <w:pPr>
              <w:pStyle w:val="ListBullet"/>
              <w:rPr>
                <w:lang w:val="en-NZ"/>
              </w:rPr>
            </w:pPr>
            <w:r w:rsidRPr="00E153FB">
              <w:t xml:space="preserve">Clinical diagnosis </w:t>
            </w:r>
          </w:p>
        </w:tc>
      </w:tr>
      <w:tr w:rsidTr="006969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53FB">
            <w:pPr>
              <w:pStyle w:val="BodyText"/>
              <w:rPr>
                <w:lang w:val="en-NZ"/>
              </w:rPr>
            </w:pPr>
          </w:p>
        </w:tc>
      </w:tr>
      <w:tr w:rsidTr="006969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53FB">
            <w:pPr>
              <w:pStyle w:val="BodyText"/>
              <w:rPr>
                <w:lang w:val="en-NZ"/>
              </w:rPr>
            </w:pPr>
            <w:r w:rsidRPr="00E153FB">
              <w:rPr>
                <w:rStyle w:val="Emphasis"/>
              </w:rPr>
              <w:t>Diagnostic practices may include</w:t>
            </w:r>
            <w:r w:rsidRPr="00E153FB">
              <w:t>:</w:t>
            </w:r>
          </w:p>
        </w:tc>
        <w:tc>
          <w:tcPr>
            <w:tcW w:w="5670" w:type="dxa"/>
            <w:tcBorders>
              <w:top w:val="nil"/>
              <w:left w:val="nil"/>
              <w:bottom w:val="nil"/>
              <w:right w:val="nil"/>
            </w:tcBorders>
            <w:tcMar>
              <w:top w:w="0" w:type="dxa"/>
              <w:left w:w="62" w:type="dxa"/>
              <w:bottom w:w="0" w:type="dxa"/>
              <w:right w:w="62" w:type="dxa"/>
            </w:tcMar>
          </w:tcPr>
          <w:p w:rsidR="00000000" w:rsidRPr="00E153FB" w:rsidP="00E153FB">
            <w:pPr>
              <w:pStyle w:val="ListBullet"/>
            </w:pPr>
            <w:r w:rsidRPr="00E153FB">
              <w:t>Homœopathic case taking</w:t>
            </w:r>
          </w:p>
          <w:p w:rsidR="00000000" w:rsidRPr="00E153FB" w:rsidP="00E153FB">
            <w:pPr>
              <w:pStyle w:val="ListBullet"/>
            </w:pPr>
            <w:r w:rsidRPr="00E153FB">
              <w:t>Repertorisation</w:t>
            </w:r>
          </w:p>
          <w:p w:rsidR="00000000" w:rsidRPr="00E153FB" w:rsidP="00E153FB">
            <w:pPr>
              <w:pStyle w:val="ListBullet"/>
            </w:pPr>
            <w:r w:rsidRPr="00E153FB">
              <w:t xml:space="preserve">Observation </w:t>
            </w:r>
          </w:p>
          <w:p w:rsidR="00000000" w:rsidRPr="00E153FB" w:rsidP="00E153FB">
            <w:pPr>
              <w:pStyle w:val="ListBullet"/>
            </w:pPr>
            <w:r w:rsidRPr="00E153FB">
              <w:t>Obtaining vital signs</w:t>
            </w:r>
          </w:p>
          <w:p w:rsidR="00000000" w:rsidRPr="00E153FB" w:rsidP="00E153FB">
            <w:pPr>
              <w:pStyle w:val="ListBullet"/>
            </w:pPr>
            <w:r w:rsidRPr="00E153FB">
              <w:t>Clinical screening examination and assessment</w:t>
            </w:r>
          </w:p>
          <w:p w:rsidR="00000000" w:rsidRPr="00E153FB" w:rsidP="00E153FB">
            <w:pPr>
              <w:pStyle w:val="ListBullet"/>
            </w:pPr>
            <w:r w:rsidRPr="00E153FB">
              <w:t>Collecting and testing specimens</w:t>
            </w:r>
          </w:p>
          <w:p w:rsidR="00000000" w:rsidP="00E153FB">
            <w:pPr>
              <w:pStyle w:val="ListBullet"/>
              <w:rPr>
                <w:lang w:val="en-NZ"/>
              </w:rPr>
            </w:pPr>
            <w:r w:rsidRPr="00E153FB">
              <w:t>Any other method in which the practitioner has been trained to a competent standard and which is conducted according to legisl</w:t>
            </w:r>
            <w:r w:rsidRPr="00E153FB">
              <w:t>ative and regulatory requirements</w:t>
            </w:r>
          </w:p>
        </w:tc>
      </w:tr>
      <w:tr w:rsidTr="006969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53FB">
            <w:pPr>
              <w:pStyle w:val="BodyText"/>
              <w:rPr>
                <w:lang w:val="en-NZ"/>
              </w:rPr>
            </w:pPr>
          </w:p>
        </w:tc>
      </w:tr>
      <w:tr w:rsidTr="006969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53FB">
            <w:pPr>
              <w:pStyle w:val="BodyText"/>
              <w:rPr>
                <w:lang w:val="en-NZ"/>
              </w:rPr>
            </w:pPr>
            <w:r w:rsidRPr="00E153FB">
              <w:rPr>
                <w:rStyle w:val="Emphasis"/>
              </w:rPr>
              <w:t>Diagnostic tools may include</w:t>
            </w:r>
            <w:r w:rsidRPr="00E153FB">
              <w:t>:</w:t>
            </w:r>
          </w:p>
        </w:tc>
        <w:tc>
          <w:tcPr>
            <w:tcW w:w="5670" w:type="dxa"/>
            <w:tcBorders>
              <w:top w:val="nil"/>
              <w:left w:val="nil"/>
              <w:bottom w:val="nil"/>
              <w:right w:val="nil"/>
            </w:tcBorders>
            <w:tcMar>
              <w:top w:w="0" w:type="dxa"/>
              <w:left w:w="62" w:type="dxa"/>
              <w:bottom w:w="0" w:type="dxa"/>
              <w:right w:w="62" w:type="dxa"/>
            </w:tcMar>
          </w:tcPr>
          <w:p w:rsidR="00000000" w:rsidRPr="00E153FB" w:rsidP="00E153FB">
            <w:pPr>
              <w:pStyle w:val="ListBullet"/>
            </w:pPr>
            <w:r w:rsidRPr="00E153FB">
              <w:t>Homoeopathic materia medica and/or repertory</w:t>
            </w:r>
          </w:p>
          <w:p w:rsidR="00000000" w:rsidRPr="00E153FB" w:rsidP="00E153FB">
            <w:pPr>
              <w:pStyle w:val="ListBullet"/>
            </w:pPr>
            <w:r w:rsidRPr="00E153FB">
              <w:t>Medical texts</w:t>
            </w:r>
          </w:p>
          <w:p w:rsidR="00000000" w:rsidRPr="00E153FB" w:rsidP="00E153FB">
            <w:pPr>
              <w:pStyle w:val="ListBullet"/>
            </w:pPr>
            <w:r w:rsidRPr="00E153FB">
              <w:t>Stethoscope</w:t>
            </w:r>
          </w:p>
          <w:p w:rsidR="00000000" w:rsidRPr="00E153FB" w:rsidP="00E153FB">
            <w:pPr>
              <w:pStyle w:val="ListBullet"/>
            </w:pPr>
            <w:r w:rsidRPr="00E153FB">
              <w:t>Sphygmomanometer</w:t>
            </w:r>
          </w:p>
          <w:p w:rsidR="00000000" w:rsidRPr="00E153FB" w:rsidP="00E153FB">
            <w:pPr>
              <w:pStyle w:val="ListBullet"/>
            </w:pPr>
            <w:r w:rsidRPr="00E153FB">
              <w:t>Thermometer</w:t>
            </w:r>
          </w:p>
          <w:p w:rsidR="00000000" w:rsidRPr="00E153FB" w:rsidP="00E153FB">
            <w:pPr>
              <w:pStyle w:val="ListBullet"/>
            </w:pPr>
            <w:r w:rsidRPr="00E153FB">
              <w:t>Peak flow meter</w:t>
            </w:r>
          </w:p>
          <w:p w:rsidR="00000000" w:rsidRPr="00E153FB" w:rsidP="00E153FB">
            <w:pPr>
              <w:pStyle w:val="ListBullet"/>
            </w:pPr>
            <w:r w:rsidRPr="00E153FB">
              <w:t>Otoscope</w:t>
            </w:r>
          </w:p>
          <w:p w:rsidR="00000000" w:rsidRPr="00E153FB" w:rsidP="00E153FB">
            <w:pPr>
              <w:pStyle w:val="ListBullet"/>
            </w:pPr>
            <w:r w:rsidRPr="00E153FB">
              <w:t>Spirometers</w:t>
            </w:r>
          </w:p>
          <w:p w:rsidR="00000000" w:rsidRPr="00E153FB" w:rsidP="00E153FB">
            <w:pPr>
              <w:pStyle w:val="ListBullet"/>
            </w:pPr>
            <w:r w:rsidRPr="00E153FB">
              <w:t>Percussion hammer</w:t>
            </w:r>
          </w:p>
          <w:p w:rsidR="00000000" w:rsidRPr="00E153FB" w:rsidP="00E153FB">
            <w:pPr>
              <w:pStyle w:val="ListBullet"/>
            </w:pPr>
            <w:r w:rsidRPr="00E153FB">
              <w:t>Opthalmoscope</w:t>
            </w:r>
          </w:p>
          <w:p w:rsidR="00000000" w:rsidRPr="00E153FB" w:rsidP="00E153FB">
            <w:pPr>
              <w:pStyle w:val="ListBullet"/>
            </w:pPr>
            <w:r w:rsidRPr="00E153FB">
              <w:t>Urine test stix</w:t>
            </w:r>
          </w:p>
          <w:p w:rsidR="00000000" w:rsidRPr="00E153FB" w:rsidP="00E153FB">
            <w:pPr>
              <w:pStyle w:val="ListBullet"/>
            </w:pPr>
            <w:r w:rsidRPr="00E153FB">
              <w:t>Glucometer/test strips/lancets</w:t>
            </w:r>
          </w:p>
          <w:p w:rsidR="00000000" w:rsidP="00E153FB">
            <w:pPr>
              <w:pStyle w:val="ListBullet"/>
              <w:rPr>
                <w:lang w:val="en-NZ"/>
              </w:rPr>
            </w:pPr>
            <w:r w:rsidRPr="00E153FB">
              <w:t>Any other instrument as appropriate</w:t>
            </w:r>
          </w:p>
        </w:tc>
      </w:tr>
      <w:tr w:rsidTr="006969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53FB">
            <w:pPr>
              <w:pStyle w:val="BodyText"/>
              <w:rPr>
                <w:lang w:val="en-NZ"/>
              </w:rPr>
            </w:pPr>
          </w:p>
        </w:tc>
      </w:tr>
      <w:tr w:rsidTr="006969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53FB">
            <w:pPr>
              <w:pStyle w:val="BodyText"/>
              <w:rPr>
                <w:lang w:val="en-NZ"/>
              </w:rPr>
            </w:pPr>
            <w:r w:rsidRPr="00E153FB">
              <w:rPr>
                <w:rStyle w:val="Emphasis"/>
              </w:rPr>
              <w:t>Measures are implemented could refer to</w:t>
            </w:r>
            <w:r w:rsidRPr="00E153FB">
              <w:t>:</w:t>
            </w:r>
          </w:p>
        </w:tc>
        <w:tc>
          <w:tcPr>
            <w:tcW w:w="5670" w:type="dxa"/>
            <w:tcBorders>
              <w:top w:val="nil"/>
              <w:left w:val="nil"/>
              <w:bottom w:val="nil"/>
              <w:right w:val="nil"/>
            </w:tcBorders>
            <w:tcMar>
              <w:top w:w="0" w:type="dxa"/>
              <w:left w:w="62" w:type="dxa"/>
              <w:bottom w:w="0" w:type="dxa"/>
              <w:right w:w="62" w:type="dxa"/>
            </w:tcMar>
          </w:tcPr>
          <w:p w:rsidR="00000000" w:rsidRPr="00E153FB" w:rsidP="00E153FB">
            <w:pPr>
              <w:pStyle w:val="ListBullet"/>
            </w:pPr>
            <w:r w:rsidRPr="00E153FB">
              <w:t>Supervision of practice</w:t>
            </w:r>
          </w:p>
          <w:p w:rsidR="00000000" w:rsidRPr="00E153FB" w:rsidP="00E153FB">
            <w:pPr>
              <w:pStyle w:val="ListBullet"/>
            </w:pPr>
            <w:r w:rsidRPr="00E153FB">
              <w:t>Financial documentation</w:t>
            </w:r>
          </w:p>
          <w:p w:rsidR="00000000" w:rsidRPr="00E153FB" w:rsidP="00E153FB">
            <w:pPr>
              <w:pStyle w:val="ListBullet"/>
            </w:pPr>
            <w:r w:rsidRPr="00E153FB">
              <w:t>Documentation of medicine prescription and supply</w:t>
            </w:r>
          </w:p>
          <w:p w:rsidR="00000000" w:rsidRPr="00E153FB" w:rsidP="00E153FB">
            <w:pPr>
              <w:pStyle w:val="ListBullet"/>
            </w:pPr>
            <w:r w:rsidRPr="00E153FB">
              <w:t>Case notes</w:t>
            </w:r>
          </w:p>
          <w:p w:rsidR="00000000" w:rsidRPr="00E153FB" w:rsidP="00E153FB">
            <w:pPr>
              <w:pStyle w:val="ListBullet"/>
            </w:pPr>
            <w:r w:rsidRPr="00E153FB">
              <w:t>Practitioner qualification</w:t>
            </w:r>
          </w:p>
          <w:p w:rsidR="00000000" w:rsidRPr="00E153FB" w:rsidP="00E153FB">
            <w:pPr>
              <w:pStyle w:val="ListBullet"/>
            </w:pPr>
            <w:r w:rsidRPr="00E153FB">
              <w:t>Performance reviews</w:t>
            </w:r>
          </w:p>
          <w:p w:rsidR="00000000" w:rsidRPr="00E153FB" w:rsidP="00E153FB">
            <w:pPr>
              <w:pStyle w:val="ListBullet"/>
            </w:pPr>
            <w:r w:rsidRPr="00E153FB">
              <w:t>Current certification for special services offered - where appropriate</w:t>
            </w:r>
          </w:p>
          <w:p w:rsidR="00000000" w:rsidP="00E153FB">
            <w:pPr>
              <w:pStyle w:val="ListBullet"/>
              <w:rPr>
                <w:lang w:val="en-NZ"/>
              </w:rPr>
            </w:pPr>
            <w:r w:rsidRPr="00E153FB">
              <w:t>Clinic standards and procedures</w:t>
            </w:r>
          </w:p>
        </w:tc>
      </w:tr>
      <w:tr w:rsidTr="006969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53FB">
            <w:pPr>
              <w:pStyle w:val="BodyText"/>
              <w:rPr>
                <w:lang w:val="en-NZ"/>
              </w:rPr>
            </w:pPr>
          </w:p>
        </w:tc>
      </w:tr>
      <w:tr w:rsidTr="006969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53FB">
            <w:pPr>
              <w:pStyle w:val="BodyText"/>
              <w:rPr>
                <w:lang w:val="en-NZ"/>
              </w:rPr>
            </w:pPr>
            <w:r w:rsidRPr="00E153FB">
              <w:rPr>
                <w:rStyle w:val="Emphasis"/>
              </w:rPr>
              <w:t>Effective communication and interpersonal skills may include</w:t>
            </w:r>
            <w:r w:rsidRPr="00E153FB">
              <w:t>:</w:t>
            </w:r>
          </w:p>
        </w:tc>
        <w:tc>
          <w:tcPr>
            <w:tcW w:w="5670" w:type="dxa"/>
            <w:tcBorders>
              <w:top w:val="nil"/>
              <w:left w:val="nil"/>
              <w:bottom w:val="nil"/>
              <w:right w:val="nil"/>
            </w:tcBorders>
            <w:tcMar>
              <w:top w:w="0" w:type="dxa"/>
              <w:left w:w="62" w:type="dxa"/>
              <w:bottom w:w="0" w:type="dxa"/>
              <w:right w:w="62" w:type="dxa"/>
            </w:tcMar>
          </w:tcPr>
          <w:p w:rsidR="00000000" w:rsidRPr="00E153FB" w:rsidP="00E153FB">
            <w:pPr>
              <w:pStyle w:val="ListBullet"/>
            </w:pPr>
            <w:r w:rsidRPr="00E153FB">
              <w:t>Active listening skills</w:t>
            </w:r>
          </w:p>
          <w:p w:rsidR="00000000" w:rsidRPr="00E153FB" w:rsidP="00E153FB">
            <w:pPr>
              <w:pStyle w:val="ListBullet"/>
            </w:pPr>
            <w:r w:rsidRPr="00E153FB">
              <w:t>Ability to establish rapport and trust</w:t>
            </w:r>
          </w:p>
          <w:p w:rsidR="00000000" w:rsidRPr="00E153FB" w:rsidP="00E153FB">
            <w:pPr>
              <w:pStyle w:val="ListBullet"/>
            </w:pPr>
            <w:r w:rsidRPr="00E153FB">
              <w:t xml:space="preserve">Eye </w:t>
            </w:r>
            <w:r w:rsidRPr="00E153FB">
              <w:t>contact</w:t>
            </w:r>
          </w:p>
          <w:p w:rsidR="00000000" w:rsidRPr="00E153FB" w:rsidP="00E153FB">
            <w:pPr>
              <w:pStyle w:val="ListBullet"/>
            </w:pPr>
            <w:r w:rsidRPr="00E153FB">
              <w:t>Verbal communication skills</w:t>
            </w:r>
          </w:p>
          <w:p w:rsidR="00000000" w:rsidRPr="00E153FB" w:rsidP="00E153FB">
            <w:pPr>
              <w:pStyle w:val="ListBullet"/>
            </w:pPr>
            <w:r w:rsidRPr="00E153FB">
              <w:t>Written communication skills</w:t>
            </w:r>
          </w:p>
          <w:p w:rsidR="00000000" w:rsidRPr="00E153FB" w:rsidP="00E153FB">
            <w:pPr>
              <w:pStyle w:val="ListBullet"/>
            </w:pPr>
            <w:r w:rsidRPr="00E153FB">
              <w:t>Empathy and respect</w:t>
            </w:r>
          </w:p>
          <w:p w:rsidR="00000000" w:rsidRPr="00E153FB" w:rsidP="00E153FB">
            <w:pPr>
              <w:pStyle w:val="ListBullet"/>
            </w:pPr>
            <w:r w:rsidRPr="00E153FB">
              <w:t>Ability to clarify needs</w:t>
            </w:r>
          </w:p>
          <w:p w:rsidR="00000000" w:rsidRPr="00E153FB" w:rsidP="00E153FB">
            <w:pPr>
              <w:pStyle w:val="ListBullet"/>
            </w:pPr>
            <w:r w:rsidRPr="00E153FB">
              <w:t>Conflict resolution skills</w:t>
            </w:r>
          </w:p>
          <w:p w:rsidR="00000000" w:rsidRPr="00E153FB" w:rsidP="00E153FB">
            <w:pPr>
              <w:pStyle w:val="ListBullet"/>
            </w:pPr>
            <w:r w:rsidRPr="00E153FB">
              <w:t>Negotiation skills</w:t>
            </w:r>
          </w:p>
          <w:p w:rsidR="00000000" w:rsidRPr="00E153FB" w:rsidP="00E153FB">
            <w:pPr>
              <w:pStyle w:val="ListBullet"/>
            </w:pPr>
            <w:r w:rsidRPr="00E153FB">
              <w:t>Presentation</w:t>
            </w:r>
          </w:p>
          <w:p w:rsidR="00000000" w:rsidP="00E153FB">
            <w:pPr>
              <w:pStyle w:val="ListBullet"/>
              <w:rPr>
                <w:lang w:val="en-NZ"/>
              </w:rPr>
            </w:pPr>
            <w:r w:rsidRPr="00E153FB">
              <w:t>Honesty and integrity</w:t>
            </w:r>
          </w:p>
        </w:tc>
      </w:tr>
      <w:tr w:rsidTr="006969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53FB">
            <w:pPr>
              <w:pStyle w:val="BodyText"/>
              <w:rPr>
                <w:lang w:val="en-NZ"/>
              </w:rPr>
            </w:pPr>
          </w:p>
        </w:tc>
      </w:tr>
      <w:tr w:rsidTr="006969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53FB">
            <w:pPr>
              <w:pStyle w:val="BodyText"/>
              <w:rPr>
                <w:lang w:val="en-NZ"/>
              </w:rPr>
            </w:pPr>
            <w:r w:rsidRPr="00E153FB">
              <w:rPr>
                <w:rStyle w:val="Emphasis"/>
              </w:rPr>
              <w:t>Opportunities for formal and informal development of skills and knowledge may include</w:t>
            </w:r>
            <w:r w:rsidRPr="00E153FB">
              <w:t>:</w:t>
            </w:r>
          </w:p>
        </w:tc>
        <w:tc>
          <w:tcPr>
            <w:tcW w:w="5670" w:type="dxa"/>
            <w:tcBorders>
              <w:top w:val="nil"/>
              <w:left w:val="nil"/>
              <w:bottom w:val="nil"/>
              <w:right w:val="nil"/>
            </w:tcBorders>
            <w:tcMar>
              <w:top w:w="0" w:type="dxa"/>
              <w:left w:w="62" w:type="dxa"/>
              <w:bottom w:w="0" w:type="dxa"/>
              <w:right w:w="62" w:type="dxa"/>
            </w:tcMar>
          </w:tcPr>
          <w:p w:rsidR="00000000" w:rsidRPr="00E153FB" w:rsidP="00E153FB">
            <w:pPr>
              <w:pStyle w:val="ListBullet"/>
            </w:pPr>
            <w:r w:rsidRPr="00E153FB">
              <w:t>Articles, public presentations, interviews and other communications</w:t>
            </w:r>
          </w:p>
          <w:p w:rsidR="00000000" w:rsidRPr="00E153FB" w:rsidP="00E153FB">
            <w:pPr>
              <w:pStyle w:val="ListBullet"/>
            </w:pPr>
            <w:r w:rsidRPr="00E153FB">
              <w:t>Attendance at lectures or other education activities</w:t>
            </w:r>
          </w:p>
          <w:p w:rsidR="00000000" w:rsidRPr="00E153FB" w:rsidP="00E153FB">
            <w:pPr>
              <w:pStyle w:val="ListBullet"/>
            </w:pPr>
            <w:r w:rsidRPr="00E153FB">
              <w:t>Participation in research projects</w:t>
            </w:r>
          </w:p>
          <w:p w:rsidR="00000000" w:rsidRPr="00E153FB" w:rsidP="00E153FB">
            <w:pPr>
              <w:pStyle w:val="ListBullet"/>
            </w:pPr>
            <w:r w:rsidRPr="00E153FB">
              <w:t>Attendance at</w:t>
            </w:r>
            <w:r w:rsidRPr="00E153FB">
              <w:t xml:space="preserve"> association meetings</w:t>
            </w:r>
          </w:p>
          <w:p w:rsidR="00000000" w:rsidRPr="00E153FB" w:rsidP="00E153FB">
            <w:pPr>
              <w:pStyle w:val="ListBullet"/>
            </w:pPr>
            <w:r w:rsidRPr="00E153FB">
              <w:t>Subscription to professional journals</w:t>
            </w:r>
          </w:p>
          <w:p w:rsidR="00000000" w:rsidRPr="00E153FB" w:rsidP="00E153FB">
            <w:pPr>
              <w:pStyle w:val="ListBullet"/>
            </w:pPr>
            <w:r w:rsidRPr="00E153FB">
              <w:t>Clinic supervision</w:t>
            </w:r>
          </w:p>
          <w:p w:rsidR="00000000" w:rsidRPr="00E153FB" w:rsidP="00E153FB">
            <w:pPr>
              <w:pStyle w:val="ListBullet"/>
            </w:pPr>
            <w:r w:rsidRPr="00E153FB">
              <w:t>Provision of or participant in training</w:t>
            </w:r>
          </w:p>
          <w:p w:rsidR="00000000" w:rsidP="00E153FB">
            <w:pPr>
              <w:pStyle w:val="ListBullet"/>
              <w:rPr>
                <w:lang w:val="en-NZ"/>
              </w:rPr>
            </w:pPr>
            <w:r w:rsidRPr="00E153FB">
              <w:t>Study, distance-based learning</w:t>
            </w:r>
          </w:p>
        </w:tc>
      </w:tr>
      <w:tr w:rsidTr="006969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153FB" w:rsidP="00E153FB">
            <w:pPr>
              <w:pStyle w:val="BodyText"/>
            </w:pPr>
          </w:p>
        </w:tc>
      </w:tr>
    </w:tbl>
    <w:p w:rsidR="00696952" w:rsidP="00E153FB">
      <w:pPr>
        <w:pStyle w:val="BodyText"/>
      </w:pPr>
    </w:p>
    <w:p w:rsidR="00696952" w:rsidP="00E153FB">
      <w:pPr>
        <w:pStyle w:val="BodyText"/>
      </w:pPr>
    </w:p>
    <w:p w:rsidR="00000000" w:rsidRPr="00E153FB" w:rsidP="00E153FB">
      <w:pPr>
        <w:pStyle w:val="Heading1"/>
      </w:pPr>
      <w:bookmarkStart w:id="12" w:name="O_295146"/>
      <w:bookmarkEnd w:id="12"/>
      <w:r w:rsidRPr="00E153FB">
        <w:t>Unit Sector(s)</w:t>
      </w:r>
    </w:p>
    <w:p w:rsidR="00000000" w:rsidRPr="00E153FB" w:rsidP="00E153FB">
      <w:pPr>
        <w:pStyle w:val="BodyText"/>
      </w:pPr>
      <w:r w:rsidRPr="00E153FB">
        <w:t>Not Applicable</w:t>
      </w:r>
    </w:p>
    <w:p w:rsidR="00000000" w:rsidRPr="00E153FB" w:rsidP="00E153FB"/>
    <w:sectPr w:rsidSect="00E153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3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6952" w:rsidP="0069695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3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952" w:rsidP="00E153F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96952" w:rsidP="00E153F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96952" w:rsidP="00E153F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3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3FB" w:rsidRPr="00696952" w:rsidP="0069695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3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952" w:rsidRPr="002D2AF8" w:rsidP="00E153FB">
    <w:pPr>
      <w:pStyle w:val="Header"/>
      <w:framePr w:wrap="around"/>
    </w:pPr>
    <w:r>
      <w:fldChar w:fldCharType="begin"/>
    </w:r>
    <w:r>
      <w:instrText xml:space="preserve"> TITLE   \* MERGEFORMAT </w:instrText>
    </w:r>
    <w:r>
      <w:fldChar w:fldCharType="separate"/>
    </w:r>
    <w:r>
      <w:t>HLTHOM603C Manage work within the homeopathic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696952" w:rsidP="00E153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86B4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F01A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5C89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53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53FB"/>
    <w:pPr>
      <w:spacing w:before="360" w:after="60"/>
      <w:outlineLvl w:val="0"/>
    </w:pPr>
    <w:rPr>
      <w:sz w:val="32"/>
    </w:rPr>
  </w:style>
  <w:style w:type="paragraph" w:styleId="Heading2">
    <w:name w:val="heading 2"/>
    <w:basedOn w:val="HeadingBase"/>
    <w:next w:val="BodyText"/>
    <w:link w:val="Heading2Char"/>
    <w:qFormat/>
    <w:rsid w:val="00E153FB"/>
    <w:pPr>
      <w:keepLines/>
      <w:spacing w:before="240" w:after="120"/>
      <w:outlineLvl w:val="1"/>
    </w:pPr>
    <w:rPr>
      <w:sz w:val="28"/>
      <w:szCs w:val="40"/>
    </w:rPr>
  </w:style>
  <w:style w:type="paragraph" w:styleId="Heading3">
    <w:name w:val="heading 3"/>
    <w:basedOn w:val="HeadingBase"/>
    <w:next w:val="BodyText"/>
    <w:link w:val="Heading3Char"/>
    <w:qFormat/>
    <w:rsid w:val="00E153FB"/>
    <w:pPr>
      <w:spacing w:before="180" w:after="120"/>
      <w:outlineLvl w:val="2"/>
    </w:pPr>
    <w:rPr>
      <w:spacing w:val="-10"/>
      <w:kern w:val="32"/>
    </w:rPr>
  </w:style>
  <w:style w:type="paragraph" w:styleId="Heading4">
    <w:name w:val="heading 4"/>
    <w:basedOn w:val="HeadingBase"/>
    <w:next w:val="BodyText"/>
    <w:link w:val="Heading4Char"/>
    <w:qFormat/>
    <w:rsid w:val="00E153FB"/>
    <w:pPr>
      <w:spacing w:before="160" w:after="120"/>
      <w:outlineLvl w:val="3"/>
    </w:pPr>
    <w:rPr>
      <w:sz w:val="22"/>
    </w:rPr>
  </w:style>
  <w:style w:type="paragraph" w:styleId="Heading5">
    <w:name w:val="heading 5"/>
    <w:basedOn w:val="HeadingBase"/>
    <w:next w:val="Normal"/>
    <w:link w:val="Heading5Char"/>
    <w:qFormat/>
    <w:rsid w:val="00E153FB"/>
    <w:pPr>
      <w:spacing w:before="80"/>
      <w:outlineLvl w:val="4"/>
    </w:pPr>
    <w:rPr>
      <w:color w:val="918585"/>
      <w:sz w:val="20"/>
    </w:rPr>
  </w:style>
  <w:style w:type="paragraph" w:styleId="Heading6">
    <w:name w:val="heading 6"/>
    <w:basedOn w:val="HeadingBase"/>
    <w:next w:val="Normal"/>
    <w:link w:val="Heading6Char"/>
    <w:qFormat/>
    <w:rsid w:val="00E153FB"/>
    <w:pPr>
      <w:spacing w:before="60"/>
      <w:outlineLvl w:val="5"/>
    </w:pPr>
    <w:rPr>
      <w:color w:val="918585"/>
      <w:sz w:val="20"/>
    </w:rPr>
  </w:style>
  <w:style w:type="paragraph" w:styleId="Heading7">
    <w:name w:val="heading 7"/>
    <w:basedOn w:val="Normal"/>
    <w:next w:val="Normal"/>
    <w:link w:val="Heading7Char"/>
    <w:qFormat/>
    <w:rsid w:val="00E153FB"/>
    <w:pPr>
      <w:ind w:left="720"/>
      <w:outlineLvl w:val="6"/>
    </w:pPr>
    <w:rPr>
      <w:i/>
    </w:rPr>
  </w:style>
  <w:style w:type="paragraph" w:styleId="Heading8">
    <w:name w:val="heading 8"/>
    <w:basedOn w:val="Normal"/>
    <w:next w:val="Normal"/>
    <w:link w:val="Heading8Char"/>
    <w:qFormat/>
    <w:rsid w:val="00E153FB"/>
    <w:pPr>
      <w:ind w:left="720"/>
      <w:outlineLvl w:val="7"/>
    </w:pPr>
    <w:rPr>
      <w:i/>
    </w:rPr>
  </w:style>
  <w:style w:type="paragraph" w:styleId="Heading9">
    <w:name w:val="heading 9"/>
    <w:basedOn w:val="Normal"/>
    <w:next w:val="Normal"/>
    <w:link w:val="Heading9Char"/>
    <w:qFormat/>
    <w:rsid w:val="00E153FB"/>
    <w:pPr>
      <w:ind w:left="720"/>
      <w:outlineLvl w:val="8"/>
    </w:pPr>
    <w:rPr>
      <w:i/>
    </w:rPr>
  </w:style>
  <w:style w:type="character" w:default="1" w:styleId="DefaultParagraphFont">
    <w:name w:val="Default Paragraph Font"/>
    <w:uiPriority w:val="1"/>
    <w:unhideWhenUsed/>
    <w:rsid w:val="00E153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53FB"/>
  </w:style>
  <w:style w:type="character" w:customStyle="1" w:styleId="Heading1Char">
    <w:name w:val="Heading 1 Char"/>
    <w:basedOn w:val="DefaultParagraphFont"/>
    <w:link w:val="Heading1"/>
    <w:rsid w:val="00E153FB"/>
    <w:rPr>
      <w:rFonts w:ascii="Times New Roman" w:eastAsia="Times New Roman" w:hAnsi="Times New Roman" w:cs="Times New Roman"/>
      <w:b/>
      <w:sz w:val="32"/>
      <w:szCs w:val="20"/>
      <w:lang w:eastAsia="en-US"/>
    </w:rPr>
  </w:style>
  <w:style w:type="paragraph" w:styleId="BodyText">
    <w:name w:val="Body Text"/>
    <w:basedOn w:val="Normal"/>
    <w:link w:val="BodyTextChar"/>
    <w:rsid w:val="00E153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53FB"/>
    <w:rPr>
      <w:rFonts w:ascii="Times New Roman" w:eastAsia="Times New Roman" w:hAnsi="Times New Roman" w:cs="Times New Roman"/>
      <w:sz w:val="24"/>
      <w:lang w:eastAsia="en-US"/>
    </w:rPr>
  </w:style>
  <w:style w:type="paragraph" w:styleId="Footer">
    <w:name w:val="footer"/>
    <w:basedOn w:val="Normal"/>
    <w:link w:val="FooterChar"/>
    <w:rsid w:val="00E153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53FB"/>
    <w:rPr>
      <w:rFonts w:ascii="Times New Roman" w:eastAsia="Times New Roman" w:hAnsi="Times New Roman" w:cs="Times New Roman"/>
      <w:sz w:val="16"/>
      <w:lang w:eastAsia="en-US"/>
    </w:rPr>
  </w:style>
  <w:style w:type="paragraph" w:styleId="List">
    <w:name w:val="List"/>
    <w:basedOn w:val="BodyText"/>
    <w:next w:val="BodyText"/>
    <w:rsid w:val="00E153FB"/>
    <w:pPr>
      <w:tabs>
        <w:tab w:val="left" w:pos="340"/>
      </w:tabs>
      <w:spacing w:before="60" w:after="60"/>
      <w:ind w:left="340" w:hanging="340"/>
    </w:pPr>
  </w:style>
  <w:style w:type="paragraph" w:styleId="ListBullet">
    <w:name w:val="List Bullet"/>
    <w:basedOn w:val="List"/>
    <w:rsid w:val="00E153FB"/>
    <w:pPr>
      <w:numPr>
        <w:numId w:val="14"/>
      </w:numPr>
      <w:tabs>
        <w:tab w:val="clear" w:pos="340"/>
      </w:tabs>
      <w:spacing w:before="40" w:after="40"/>
    </w:pPr>
  </w:style>
  <w:style w:type="character" w:customStyle="1" w:styleId="SpecialBold">
    <w:name w:val="Special Bold"/>
    <w:basedOn w:val="DefaultParagraphFont"/>
    <w:rsid w:val="00E153FB"/>
    <w:rPr>
      <w:b/>
      <w:spacing w:val="0"/>
    </w:rPr>
  </w:style>
  <w:style w:type="paragraph" w:styleId="ListBullet2">
    <w:name w:val="List Bullet 2"/>
    <w:basedOn w:val="List2"/>
    <w:rsid w:val="00E153FB"/>
    <w:pPr>
      <w:numPr>
        <w:numId w:val="15"/>
      </w:numPr>
      <w:tabs>
        <w:tab w:val="clear" w:pos="680"/>
      </w:tabs>
    </w:pPr>
  </w:style>
  <w:style w:type="character" w:styleId="Emphasis">
    <w:name w:val="Emphasis"/>
    <w:basedOn w:val="DefaultParagraphFont"/>
    <w:qFormat/>
    <w:rsid w:val="00E153FB"/>
    <w:rPr>
      <w:i/>
    </w:rPr>
  </w:style>
  <w:style w:type="paragraph" w:customStyle="1" w:styleId="SuperHeading">
    <w:name w:val="SuperHeading"/>
    <w:basedOn w:val="Normal"/>
    <w:rsid w:val="00E153FB"/>
    <w:pPr>
      <w:spacing w:before="240" w:after="120"/>
      <w:outlineLvl w:val="0"/>
    </w:pPr>
    <w:rPr>
      <w:rFonts w:ascii="Times New Roman" w:hAnsi="Times New Roman"/>
      <w:b/>
      <w:sz w:val="28"/>
    </w:rPr>
  </w:style>
  <w:style w:type="paragraph" w:customStyle="1" w:styleId="AllowPageBreak">
    <w:name w:val="AllowPageBreak"/>
    <w:rsid w:val="00E153F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153FB"/>
    <w:pPr>
      <w:numPr>
        <w:numId w:val="3"/>
      </w:numPr>
      <w:tabs>
        <w:tab w:val="clear" w:pos="1021"/>
      </w:tabs>
      <w:ind w:left="1037" w:hanging="357"/>
    </w:pPr>
  </w:style>
  <w:style w:type="character" w:customStyle="1" w:styleId="Heading2Char">
    <w:name w:val="Heading 2 Char"/>
    <w:basedOn w:val="DefaultParagraphFont"/>
    <w:link w:val="Heading2"/>
    <w:rsid w:val="00E153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53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53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53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53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53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53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53FB"/>
    <w:rPr>
      <w:rFonts w:ascii="Courier New" w:eastAsia="Times New Roman" w:hAnsi="Courier New" w:cs="Times New Roman"/>
      <w:i/>
      <w:szCs w:val="20"/>
      <w:lang w:eastAsia="en-US"/>
    </w:rPr>
  </w:style>
  <w:style w:type="paragraph" w:customStyle="1" w:styleId="HeadingBase">
    <w:name w:val="Heading Base"/>
    <w:rsid w:val="00E153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53FB"/>
    <w:pPr>
      <w:tabs>
        <w:tab w:val="right" w:leader="dot" w:pos="9072"/>
      </w:tabs>
      <w:ind w:left="567"/>
    </w:pPr>
    <w:rPr>
      <w:szCs w:val="22"/>
    </w:rPr>
  </w:style>
  <w:style w:type="paragraph" w:customStyle="1" w:styleId="TOCBase">
    <w:name w:val="TOC Base"/>
    <w:rsid w:val="00E153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53FB"/>
    <w:pPr>
      <w:tabs>
        <w:tab w:val="right" w:leader="dot" w:pos="9072"/>
      </w:tabs>
      <w:spacing w:before="40" w:after="40"/>
      <w:ind w:left="284"/>
    </w:pPr>
    <w:rPr>
      <w:rFonts w:ascii="Times New Roman" w:hAnsi="Times New Roman"/>
    </w:rPr>
  </w:style>
  <w:style w:type="paragraph" w:styleId="TOC1">
    <w:name w:val="toc 1"/>
    <w:basedOn w:val="TOCBase"/>
    <w:next w:val="Normal"/>
    <w:rsid w:val="00E153F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53FB"/>
    <w:pPr>
      <w:spacing w:before="5040"/>
      <w:jc w:val="center"/>
    </w:pPr>
    <w:rPr>
      <w:sz w:val="48"/>
      <w:szCs w:val="72"/>
      <w:lang w:val="en-US"/>
    </w:rPr>
  </w:style>
  <w:style w:type="character" w:customStyle="1" w:styleId="TitleChar">
    <w:name w:val="Title Char"/>
    <w:basedOn w:val="DefaultParagraphFont"/>
    <w:link w:val="Title"/>
    <w:rsid w:val="00E153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53FB"/>
    <w:pPr>
      <w:tabs>
        <w:tab w:val="left" w:pos="3600"/>
        <w:tab w:val="left" w:pos="3958"/>
      </w:tabs>
    </w:pPr>
  </w:style>
  <w:style w:type="paragraph" w:customStyle="1" w:styleId="Note">
    <w:name w:val="Note"/>
    <w:basedOn w:val="BodyText"/>
    <w:rsid w:val="00E153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53FB"/>
    <w:pPr>
      <w:framePr w:wrap="auto" w:hAnchor="text" w:y="6049"/>
    </w:pPr>
    <w:rPr>
      <w:color w:val="000000"/>
      <w:sz w:val="40"/>
    </w:rPr>
  </w:style>
  <w:style w:type="paragraph" w:customStyle="1" w:styleId="TOCTitle">
    <w:name w:val="TOCTitle"/>
    <w:basedOn w:val="Heading1"/>
    <w:rsid w:val="00E153FB"/>
    <w:pPr>
      <w:spacing w:after="240"/>
      <w:jc w:val="center"/>
      <w:outlineLvl w:val="9"/>
    </w:pPr>
    <w:rPr>
      <w:caps/>
    </w:rPr>
  </w:style>
  <w:style w:type="paragraph" w:customStyle="1" w:styleId="Version">
    <w:name w:val="Version"/>
    <w:rsid w:val="00E153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53FB"/>
    <w:pPr>
      <w:keepNext w:val="0"/>
      <w:tabs>
        <w:tab w:val="right" w:pos="4176"/>
      </w:tabs>
      <w:ind w:left="198" w:hanging="198"/>
    </w:pPr>
    <w:rPr>
      <w:rFonts w:ascii="Garamond" w:hAnsi="Garamond"/>
    </w:rPr>
  </w:style>
  <w:style w:type="paragraph" w:styleId="IndexHeading">
    <w:name w:val="index heading"/>
    <w:basedOn w:val="Normal"/>
    <w:next w:val="Index1"/>
    <w:semiHidden/>
    <w:rsid w:val="00E153FB"/>
    <w:pPr>
      <w:spacing w:before="120" w:after="120"/>
    </w:pPr>
    <w:rPr>
      <w:rFonts w:ascii="Arial" w:hAnsi="Arial"/>
      <w:b/>
      <w:color w:val="918585"/>
      <w:sz w:val="24"/>
    </w:rPr>
  </w:style>
  <w:style w:type="paragraph" w:styleId="Header">
    <w:name w:val="header"/>
    <w:basedOn w:val="Normal"/>
    <w:link w:val="HeaderChar"/>
    <w:rsid w:val="00E153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53FB"/>
    <w:rPr>
      <w:rFonts w:ascii="Times New Roman" w:eastAsia="Times New Roman" w:hAnsi="Times New Roman" w:cs="Times New Roman"/>
      <w:sz w:val="16"/>
      <w:szCs w:val="20"/>
      <w:lang w:val="en-GB" w:eastAsia="en-US"/>
    </w:rPr>
  </w:style>
  <w:style w:type="paragraph" w:customStyle="1" w:styleId="Chapter">
    <w:name w:val="Chapter"/>
    <w:basedOn w:val="Normal"/>
    <w:rsid w:val="00E153FB"/>
    <w:pPr>
      <w:spacing w:before="240"/>
    </w:pPr>
    <w:rPr>
      <w:rFonts w:ascii="Times New Roman" w:hAnsi="Times New Roman"/>
      <w:smallCaps/>
      <w:spacing w:val="80"/>
      <w:sz w:val="28"/>
    </w:rPr>
  </w:style>
  <w:style w:type="paragraph" w:customStyle="1" w:styleId="InChapter">
    <w:name w:val="InChapter"/>
    <w:basedOn w:val="Heading3"/>
    <w:rsid w:val="00E153FB"/>
    <w:pPr>
      <w:spacing w:after="240"/>
      <w:outlineLvl w:val="9"/>
    </w:pPr>
    <w:rPr>
      <w:noProof/>
    </w:rPr>
  </w:style>
  <w:style w:type="paragraph" w:styleId="Index2">
    <w:name w:val="index 2"/>
    <w:basedOn w:val="Normal"/>
    <w:next w:val="Normal"/>
    <w:semiHidden/>
    <w:rsid w:val="00E153FB"/>
    <w:pPr>
      <w:tabs>
        <w:tab w:val="right" w:pos="4176"/>
      </w:tabs>
      <w:ind w:left="568" w:hanging="284"/>
    </w:pPr>
    <w:rPr>
      <w:rFonts w:ascii="Garamond" w:hAnsi="Garamond"/>
    </w:rPr>
  </w:style>
  <w:style w:type="paragraph" w:customStyle="1" w:styleId="Byline">
    <w:name w:val="Byline"/>
    <w:rsid w:val="00E153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53FB"/>
    <w:pPr>
      <w:tabs>
        <w:tab w:val="clear" w:pos="3600"/>
        <w:tab w:val="clear" w:pos="3958"/>
      </w:tabs>
      <w:jc w:val="right"/>
    </w:pPr>
  </w:style>
  <w:style w:type="paragraph" w:styleId="Caption">
    <w:name w:val="caption"/>
    <w:basedOn w:val="BodyText"/>
    <w:next w:val="Normal"/>
    <w:qFormat/>
    <w:rsid w:val="00E153FB"/>
    <w:pPr>
      <w:framePr w:w="2268" w:hSpace="181" w:vSpace="181" w:wrap="around" w:vAnchor="text" w:hAnchor="page" w:x="1135" w:y="285" w:anchorLock="1"/>
    </w:pPr>
    <w:rPr>
      <w:i/>
    </w:rPr>
  </w:style>
  <w:style w:type="paragraph" w:customStyle="1" w:styleId="MiniTOCTitle">
    <w:name w:val="MiniTOCTitle"/>
    <w:basedOn w:val="Heading4"/>
    <w:rsid w:val="00E153FB"/>
    <w:pPr>
      <w:spacing w:before="240"/>
      <w:outlineLvl w:val="9"/>
    </w:pPr>
    <w:rPr>
      <w:noProof/>
      <w:sz w:val="24"/>
    </w:rPr>
  </w:style>
  <w:style w:type="paragraph" w:customStyle="1" w:styleId="MiniTOCItem">
    <w:name w:val="MiniTOCItem"/>
    <w:basedOn w:val="ListBullet"/>
    <w:rsid w:val="00E153FB"/>
    <w:pPr>
      <w:numPr>
        <w:numId w:val="0"/>
      </w:numPr>
      <w:tabs>
        <w:tab w:val="right" w:leader="dot" w:pos="6521"/>
      </w:tabs>
      <w:spacing w:before="0" w:after="0"/>
    </w:pPr>
  </w:style>
  <w:style w:type="paragraph" w:customStyle="1" w:styleId="TOFTitle">
    <w:name w:val="TOFTitle"/>
    <w:basedOn w:val="TOCTitle"/>
    <w:rsid w:val="00E153FB"/>
  </w:style>
  <w:style w:type="paragraph" w:styleId="TableofFigures">
    <w:name w:val="table of figures"/>
    <w:basedOn w:val="Normal"/>
    <w:next w:val="Normal"/>
    <w:semiHidden/>
    <w:rsid w:val="00E153FB"/>
    <w:pPr>
      <w:tabs>
        <w:tab w:val="right" w:leader="dot" w:pos="9072"/>
      </w:tabs>
      <w:ind w:left="970" w:hanging="403"/>
    </w:pPr>
    <w:rPr>
      <w:rFonts w:ascii="Times New Roman" w:hAnsi="Times New Roman"/>
      <w:b/>
    </w:rPr>
  </w:style>
  <w:style w:type="paragraph" w:styleId="ListNumber">
    <w:name w:val="List Number"/>
    <w:basedOn w:val="List"/>
    <w:rsid w:val="00E153FB"/>
    <w:pPr>
      <w:numPr>
        <w:numId w:val="12"/>
      </w:numPr>
    </w:pPr>
  </w:style>
  <w:style w:type="character" w:customStyle="1" w:styleId="WingdingSymbols">
    <w:name w:val="Wingding Symbols"/>
    <w:rsid w:val="00E153FB"/>
    <w:rPr>
      <w:rFonts w:ascii="Wingdings" w:hAnsi="Wingdings"/>
    </w:rPr>
  </w:style>
  <w:style w:type="paragraph" w:customStyle="1" w:styleId="TableHeading">
    <w:name w:val="Table Heading"/>
    <w:basedOn w:val="HeadingBase"/>
    <w:rsid w:val="00E153FB"/>
    <w:pPr>
      <w:keepLines/>
      <w:pBdr>
        <w:bottom w:val="single" w:sz="6" w:space="1" w:color="918585"/>
      </w:pBdr>
      <w:spacing w:before="240"/>
    </w:pPr>
  </w:style>
  <w:style w:type="character" w:customStyle="1" w:styleId="HotSpot">
    <w:name w:val="HotSpot"/>
    <w:rsid w:val="00E153FB"/>
    <w:rPr>
      <w:color w:val="0033CC"/>
      <w:u w:val="none"/>
    </w:rPr>
  </w:style>
  <w:style w:type="paragraph" w:customStyle="1" w:styleId="BodyTextRight">
    <w:name w:val="Body Text Right"/>
    <w:basedOn w:val="BodyText"/>
    <w:rsid w:val="00E153FB"/>
    <w:pPr>
      <w:spacing w:before="0" w:after="0"/>
      <w:jc w:val="right"/>
    </w:pPr>
  </w:style>
  <w:style w:type="paragraph" w:styleId="Index3">
    <w:name w:val="index 3"/>
    <w:basedOn w:val="ListNumber2"/>
    <w:next w:val="Normal"/>
    <w:semiHidden/>
    <w:rsid w:val="00E153FB"/>
    <w:pPr>
      <w:numPr>
        <w:numId w:val="0"/>
      </w:numPr>
      <w:tabs>
        <w:tab w:val="right" w:leader="dot" w:pos="4176"/>
      </w:tabs>
    </w:pPr>
  </w:style>
  <w:style w:type="paragraph" w:styleId="ListNumber2">
    <w:name w:val="List Number 2"/>
    <w:basedOn w:val="List2"/>
    <w:rsid w:val="00E153FB"/>
    <w:pPr>
      <w:numPr>
        <w:numId w:val="11"/>
      </w:numPr>
      <w:tabs>
        <w:tab w:val="clear" w:pos="1060"/>
      </w:tabs>
    </w:pPr>
  </w:style>
  <w:style w:type="paragraph" w:customStyle="1" w:styleId="MarginNote">
    <w:name w:val="Margin Note"/>
    <w:basedOn w:val="BodyText"/>
    <w:rsid w:val="00E153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53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53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53FB"/>
    <w:rPr>
      <w:sz w:val="32"/>
    </w:rPr>
  </w:style>
  <w:style w:type="paragraph" w:customStyle="1" w:styleId="HeadingProcedure">
    <w:name w:val="Heading Procedure"/>
    <w:basedOn w:val="HeadingBase"/>
    <w:next w:val="Normal"/>
    <w:rsid w:val="00E153FB"/>
    <w:pPr>
      <w:tabs>
        <w:tab w:val="left" w:pos="0"/>
      </w:tabs>
      <w:spacing w:before="120" w:after="60"/>
    </w:pPr>
    <w:rPr>
      <w:i/>
      <w:color w:val="918585"/>
      <w:sz w:val="22"/>
    </w:rPr>
  </w:style>
  <w:style w:type="paragraph" w:customStyle="1" w:styleId="TableBodyText">
    <w:name w:val="Table Body Text"/>
    <w:basedOn w:val="BodyText"/>
    <w:rsid w:val="00E153FB"/>
    <w:pPr>
      <w:spacing w:before="60" w:after="60"/>
    </w:pPr>
  </w:style>
  <w:style w:type="paragraph" w:styleId="ListContinue">
    <w:name w:val="List Continue"/>
    <w:basedOn w:val="List"/>
    <w:rsid w:val="00E153FB"/>
    <w:pPr>
      <w:ind w:firstLine="0"/>
    </w:pPr>
  </w:style>
  <w:style w:type="paragraph" w:customStyle="1" w:styleId="ListNote">
    <w:name w:val="List Note"/>
    <w:basedOn w:val="List"/>
    <w:rsid w:val="00E153FB"/>
    <w:pPr>
      <w:pBdr>
        <w:top w:val="single" w:sz="6" w:space="2" w:color="918585"/>
        <w:bottom w:val="single" w:sz="6" w:space="2" w:color="918585"/>
      </w:pBdr>
      <w:tabs>
        <w:tab w:val="left" w:pos="1021"/>
      </w:tabs>
      <w:ind w:firstLine="0"/>
    </w:pPr>
  </w:style>
  <w:style w:type="paragraph" w:customStyle="1" w:styleId="Warning">
    <w:name w:val="Warning"/>
    <w:basedOn w:val="BodyText"/>
    <w:rsid w:val="00E153FB"/>
    <w:pPr>
      <w:shd w:val="clear" w:color="auto" w:fill="D9D9D9"/>
      <w:tabs>
        <w:tab w:val="left" w:pos="992"/>
      </w:tabs>
      <w:ind w:left="119" w:right="119"/>
    </w:pPr>
    <w:rPr>
      <w:sz w:val="20"/>
    </w:rPr>
  </w:style>
  <w:style w:type="paragraph" w:customStyle="1" w:styleId="MarginIcons">
    <w:name w:val="Margin Icons"/>
    <w:basedOn w:val="BodyText"/>
    <w:rsid w:val="00E153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53FB"/>
    <w:rPr>
      <w:rFonts w:ascii="Courier New" w:hAnsi="Courier New"/>
    </w:rPr>
  </w:style>
  <w:style w:type="paragraph" w:customStyle="1" w:styleId="NoteBullet">
    <w:name w:val="Note Bullet"/>
    <w:basedOn w:val="Note"/>
    <w:rsid w:val="00E153FB"/>
    <w:pPr>
      <w:tabs>
        <w:tab w:val="clear" w:pos="680"/>
      </w:tabs>
      <w:spacing w:before="60" w:after="60"/>
    </w:pPr>
  </w:style>
  <w:style w:type="paragraph" w:customStyle="1" w:styleId="SubHeading2">
    <w:name w:val="SubHeading2"/>
    <w:basedOn w:val="HeadingBase"/>
    <w:rsid w:val="00E153FB"/>
    <w:pPr>
      <w:spacing w:before="240" w:after="60"/>
    </w:pPr>
    <w:rPr>
      <w:sz w:val="20"/>
    </w:rPr>
  </w:style>
  <w:style w:type="paragraph" w:customStyle="1" w:styleId="SubHeading1">
    <w:name w:val="SubHeading1"/>
    <w:basedOn w:val="HeadingBase"/>
    <w:rsid w:val="00E153FB"/>
    <w:pPr>
      <w:spacing w:before="240" w:after="60"/>
    </w:pPr>
    <w:rPr>
      <w:color w:val="918585"/>
      <w:sz w:val="22"/>
    </w:rPr>
  </w:style>
  <w:style w:type="paragraph" w:customStyle="1" w:styleId="SideHeading">
    <w:name w:val="Side Heading"/>
    <w:basedOn w:val="HeadingBase"/>
    <w:rsid w:val="00E153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53FB"/>
    <w:pPr>
      <w:numPr>
        <w:numId w:val="13"/>
      </w:numPr>
    </w:pPr>
  </w:style>
  <w:style w:type="paragraph" w:styleId="PlainText">
    <w:name w:val="Plain Text"/>
    <w:basedOn w:val="Normal"/>
    <w:link w:val="PlainTextChar"/>
    <w:rsid w:val="00E153FB"/>
    <w:rPr>
      <w:sz w:val="20"/>
    </w:rPr>
  </w:style>
  <w:style w:type="character" w:customStyle="1" w:styleId="PlainTextChar">
    <w:name w:val="Plain Text Char"/>
    <w:basedOn w:val="DefaultParagraphFont"/>
    <w:link w:val="PlainText"/>
    <w:rsid w:val="00E153FB"/>
    <w:rPr>
      <w:rFonts w:ascii="Courier New" w:eastAsia="Times New Roman" w:hAnsi="Courier New" w:cs="Times New Roman"/>
      <w:sz w:val="20"/>
      <w:szCs w:val="20"/>
      <w:lang w:eastAsia="en-US"/>
    </w:rPr>
  </w:style>
  <w:style w:type="character" w:customStyle="1" w:styleId="MenuOption">
    <w:name w:val="Menu Option"/>
    <w:basedOn w:val="DefaultParagraphFont"/>
    <w:rsid w:val="00E153FB"/>
    <w:rPr>
      <w:b/>
      <w:smallCaps/>
    </w:rPr>
  </w:style>
  <w:style w:type="paragraph" w:customStyle="1" w:styleId="TableListNumber">
    <w:name w:val="Table List Number"/>
    <w:basedOn w:val="ListNumber"/>
    <w:rsid w:val="00E153FB"/>
    <w:pPr>
      <w:numPr>
        <w:numId w:val="0"/>
      </w:numPr>
    </w:pPr>
  </w:style>
  <w:style w:type="paragraph" w:styleId="TOC4">
    <w:name w:val="toc 4"/>
    <w:basedOn w:val="TOCBase"/>
    <w:next w:val="Normal"/>
    <w:semiHidden/>
    <w:rsid w:val="00E153FB"/>
    <w:pPr>
      <w:tabs>
        <w:tab w:val="right" w:leader="dot" w:pos="9071"/>
      </w:tabs>
      <w:ind w:left="1701"/>
    </w:pPr>
  </w:style>
  <w:style w:type="paragraph" w:customStyle="1" w:styleId="ListAlpha">
    <w:name w:val="List Alpha"/>
    <w:basedOn w:val="List"/>
    <w:rsid w:val="00E153FB"/>
    <w:pPr>
      <w:numPr>
        <w:numId w:val="10"/>
      </w:numPr>
    </w:pPr>
  </w:style>
  <w:style w:type="paragraph" w:customStyle="1" w:styleId="ListAlpha2">
    <w:name w:val="List Alpha 2"/>
    <w:basedOn w:val="List2"/>
    <w:rsid w:val="00E153FB"/>
    <w:pPr>
      <w:numPr>
        <w:numId w:val="9"/>
      </w:numPr>
    </w:pPr>
  </w:style>
  <w:style w:type="paragraph" w:styleId="List2">
    <w:name w:val="List 2"/>
    <w:basedOn w:val="BodyText"/>
    <w:rsid w:val="00E153FB"/>
    <w:pPr>
      <w:tabs>
        <w:tab w:val="left" w:pos="680"/>
      </w:tabs>
      <w:spacing w:before="60" w:after="60"/>
      <w:ind w:left="680" w:hanging="340"/>
    </w:pPr>
  </w:style>
  <w:style w:type="paragraph" w:styleId="List3">
    <w:name w:val="List 3"/>
    <w:basedOn w:val="BodyText"/>
    <w:rsid w:val="00E153FB"/>
    <w:pPr>
      <w:tabs>
        <w:tab w:val="left" w:pos="1021"/>
      </w:tabs>
      <w:spacing w:before="60" w:after="60"/>
      <w:ind w:left="1020" w:hanging="340"/>
    </w:pPr>
  </w:style>
  <w:style w:type="paragraph" w:styleId="List4">
    <w:name w:val="List 4"/>
    <w:basedOn w:val="BodyText"/>
    <w:rsid w:val="00E153FB"/>
    <w:pPr>
      <w:tabs>
        <w:tab w:val="left" w:pos="1361"/>
      </w:tabs>
      <w:spacing w:before="60" w:after="60"/>
      <w:ind w:left="1361" w:hanging="340"/>
    </w:pPr>
  </w:style>
  <w:style w:type="paragraph" w:styleId="List5">
    <w:name w:val="List 5"/>
    <w:basedOn w:val="BodyText"/>
    <w:rsid w:val="00E153FB"/>
    <w:pPr>
      <w:tabs>
        <w:tab w:val="left" w:pos="1701"/>
      </w:tabs>
      <w:spacing w:before="60" w:after="60"/>
      <w:ind w:left="1701" w:hanging="340"/>
    </w:pPr>
  </w:style>
  <w:style w:type="paragraph" w:styleId="ListBullet4">
    <w:name w:val="List Bullet 4"/>
    <w:basedOn w:val="List4"/>
    <w:rsid w:val="00E153FB"/>
    <w:pPr>
      <w:numPr>
        <w:numId w:val="4"/>
      </w:numPr>
    </w:pPr>
  </w:style>
  <w:style w:type="paragraph" w:styleId="ListBullet5">
    <w:name w:val="List Bullet 5"/>
    <w:basedOn w:val="List5"/>
    <w:rsid w:val="00E153FB"/>
    <w:pPr>
      <w:numPr>
        <w:numId w:val="5"/>
      </w:numPr>
    </w:pPr>
  </w:style>
  <w:style w:type="paragraph" w:styleId="ListContinue2">
    <w:name w:val="List Continue 2"/>
    <w:basedOn w:val="List2"/>
    <w:rsid w:val="00E153FB"/>
    <w:pPr>
      <w:ind w:firstLine="0"/>
    </w:pPr>
  </w:style>
  <w:style w:type="paragraph" w:styleId="ListContinue3">
    <w:name w:val="List Continue 3"/>
    <w:basedOn w:val="List3"/>
    <w:rsid w:val="00E153FB"/>
    <w:pPr>
      <w:ind w:left="1021" w:firstLine="0"/>
    </w:pPr>
  </w:style>
  <w:style w:type="paragraph" w:styleId="ListContinue4">
    <w:name w:val="List Continue 4"/>
    <w:basedOn w:val="List4"/>
    <w:rsid w:val="00E153FB"/>
    <w:pPr>
      <w:ind w:firstLine="0"/>
    </w:pPr>
  </w:style>
  <w:style w:type="paragraph" w:styleId="ListContinue5">
    <w:name w:val="List Continue 5"/>
    <w:basedOn w:val="List5"/>
    <w:rsid w:val="00E153FB"/>
    <w:pPr>
      <w:ind w:firstLine="0"/>
    </w:pPr>
  </w:style>
  <w:style w:type="paragraph" w:styleId="ListNumber3">
    <w:name w:val="List Number 3"/>
    <w:basedOn w:val="List3"/>
    <w:rsid w:val="00E153FB"/>
    <w:pPr>
      <w:numPr>
        <w:numId w:val="6"/>
      </w:numPr>
    </w:pPr>
  </w:style>
  <w:style w:type="paragraph" w:styleId="ListNumber4">
    <w:name w:val="List Number 4"/>
    <w:basedOn w:val="List4"/>
    <w:rsid w:val="00E153FB"/>
    <w:pPr>
      <w:numPr>
        <w:numId w:val="7"/>
      </w:numPr>
    </w:pPr>
  </w:style>
  <w:style w:type="paragraph" w:styleId="ListNumber5">
    <w:name w:val="List Number 5"/>
    <w:basedOn w:val="List5"/>
    <w:rsid w:val="00E153FB"/>
    <w:pPr>
      <w:numPr>
        <w:numId w:val="8"/>
      </w:numPr>
    </w:pPr>
  </w:style>
  <w:style w:type="paragraph" w:styleId="BlockText">
    <w:name w:val="Block Text"/>
    <w:basedOn w:val="Normal"/>
    <w:rsid w:val="00E153FB"/>
    <w:pPr>
      <w:spacing w:after="120"/>
      <w:ind w:left="1440" w:right="1440"/>
    </w:pPr>
  </w:style>
  <w:style w:type="character" w:customStyle="1" w:styleId="Subscript">
    <w:name w:val="Subscript"/>
    <w:basedOn w:val="DefaultParagraphFont"/>
    <w:rsid w:val="00E153FB"/>
    <w:rPr>
      <w:sz w:val="16"/>
      <w:vertAlign w:val="subscript"/>
    </w:rPr>
  </w:style>
  <w:style w:type="character" w:customStyle="1" w:styleId="Superscript">
    <w:name w:val="Superscript"/>
    <w:basedOn w:val="DefaultParagraphFont"/>
    <w:rsid w:val="00E153FB"/>
    <w:rPr>
      <w:sz w:val="16"/>
      <w:vertAlign w:val="superscript"/>
    </w:rPr>
  </w:style>
  <w:style w:type="character" w:customStyle="1" w:styleId="Symbols">
    <w:name w:val="Symbols"/>
    <w:basedOn w:val="DefaultParagraphFont"/>
    <w:rsid w:val="00E153FB"/>
    <w:rPr>
      <w:rFonts w:ascii="Symbol" w:hAnsi="Symbol"/>
    </w:rPr>
  </w:style>
  <w:style w:type="character" w:customStyle="1" w:styleId="MenuOptions">
    <w:name w:val="Menu Options"/>
    <w:basedOn w:val="DefaultParagraphFont"/>
    <w:rsid w:val="00E153FB"/>
    <w:rPr>
      <w:rFonts w:ascii="Arial Narrow" w:hAnsi="Arial Narrow"/>
      <w:smallCaps/>
    </w:rPr>
  </w:style>
  <w:style w:type="character" w:customStyle="1" w:styleId="Buttons">
    <w:name w:val="Buttons"/>
    <w:basedOn w:val="DefaultParagraphFont"/>
    <w:rsid w:val="00E153FB"/>
    <w:rPr>
      <w:b/>
    </w:rPr>
  </w:style>
  <w:style w:type="character" w:customStyle="1" w:styleId="Underlined">
    <w:name w:val="Underlined"/>
    <w:basedOn w:val="DefaultParagraphFont"/>
    <w:rsid w:val="00E153FB"/>
    <w:rPr>
      <w:u w:val="single"/>
    </w:rPr>
  </w:style>
  <w:style w:type="paragraph" w:customStyle="1" w:styleId="TableBodyTextRight">
    <w:name w:val="Table Body Text Right"/>
    <w:basedOn w:val="TableBodyText"/>
    <w:rsid w:val="00E153FB"/>
    <w:pPr>
      <w:widowControl w:val="0"/>
      <w:autoSpaceDE w:val="0"/>
      <w:autoSpaceDN w:val="0"/>
      <w:adjustRightInd w:val="0"/>
      <w:jc w:val="right"/>
    </w:pPr>
    <w:rPr>
      <w:rFonts w:cs="Arial"/>
      <w:szCs w:val="18"/>
    </w:rPr>
  </w:style>
  <w:style w:type="paragraph" w:customStyle="1" w:styleId="CopyrightText">
    <w:name w:val="Copyright Text"/>
    <w:basedOn w:val="BodyText"/>
    <w:rsid w:val="00E153FB"/>
    <w:rPr>
      <w:sz w:val="18"/>
    </w:rPr>
  </w:style>
  <w:style w:type="paragraph" w:customStyle="1" w:styleId="BodySmallRight">
    <w:name w:val="Body Small Right"/>
    <w:basedOn w:val="BodyTextRight"/>
    <w:rsid w:val="00E153FB"/>
    <w:rPr>
      <w:sz w:val="18"/>
      <w:szCs w:val="18"/>
    </w:rPr>
  </w:style>
  <w:style w:type="paragraph" w:customStyle="1" w:styleId="MarginEdition">
    <w:name w:val="Margin Edition"/>
    <w:basedOn w:val="MarginNote"/>
    <w:rsid w:val="00E153FB"/>
    <w:pPr>
      <w:spacing w:before="0" w:after="0"/>
    </w:pPr>
    <w:rPr>
      <w:rFonts w:ascii="Times New Roman" w:hAnsi="Times New Roman"/>
      <w:color w:val="999999"/>
    </w:rPr>
  </w:style>
  <w:style w:type="paragraph" w:customStyle="1" w:styleId="Spacer">
    <w:name w:val="Spacer"/>
    <w:basedOn w:val="Normal"/>
    <w:rsid w:val="00E153FB"/>
    <w:rPr>
      <w:sz w:val="2"/>
      <w:szCs w:val="2"/>
    </w:rPr>
  </w:style>
  <w:style w:type="character" w:customStyle="1" w:styleId="Small">
    <w:name w:val="Small"/>
    <w:basedOn w:val="DefaultParagraphFont"/>
    <w:rsid w:val="00E153FB"/>
    <w:rPr>
      <w:sz w:val="16"/>
    </w:rPr>
  </w:style>
  <w:style w:type="paragraph" w:customStyle="1" w:styleId="WideTable">
    <w:name w:val="Wide Table"/>
    <w:basedOn w:val="Normal"/>
    <w:rsid w:val="00E153FB"/>
    <w:pPr>
      <w:ind w:left="-1418"/>
    </w:pPr>
    <w:rPr>
      <w:sz w:val="2"/>
      <w:szCs w:val="2"/>
    </w:rPr>
  </w:style>
  <w:style w:type="character" w:styleId="PageNumber">
    <w:name w:val="page number"/>
    <w:basedOn w:val="DefaultParagraphFont"/>
    <w:rsid w:val="00E153FB"/>
  </w:style>
  <w:style w:type="paragraph" w:styleId="Quote">
    <w:name w:val="Quote"/>
    <w:basedOn w:val="Heading1"/>
    <w:link w:val="QuoteChar"/>
    <w:qFormat/>
    <w:rsid w:val="00E153FB"/>
    <w:rPr>
      <w:b w:val="0"/>
      <w:sz w:val="72"/>
      <w:szCs w:val="72"/>
      <w:lang w:val="en-NZ"/>
    </w:rPr>
  </w:style>
  <w:style w:type="character" w:customStyle="1" w:styleId="QuoteChar">
    <w:name w:val="Quote Char"/>
    <w:basedOn w:val="DefaultParagraphFont"/>
    <w:link w:val="Quote"/>
    <w:rsid w:val="00E153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53FB"/>
    <w:pPr>
      <w:pageBreakBefore/>
    </w:pPr>
  </w:style>
  <w:style w:type="paragraph" w:customStyle="1" w:styleId="Border">
    <w:name w:val="Border"/>
    <w:basedOn w:val="Normal"/>
    <w:qFormat/>
    <w:rsid w:val="00E153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53FB"/>
    <w:rPr>
      <w:b/>
      <w:bCs/>
      <w:i/>
      <w:iCs/>
      <w:color w:val="auto"/>
    </w:rPr>
  </w:style>
  <w:style w:type="paragraph" w:styleId="IntenseQuote">
    <w:name w:val="Intense Quote"/>
    <w:basedOn w:val="Normal"/>
    <w:next w:val="Normal"/>
    <w:link w:val="IntenseQuoteChar"/>
    <w:uiPriority w:val="30"/>
    <w:qFormat/>
    <w:rsid w:val="00E153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53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53FB"/>
    <w:rPr>
      <w:smallCaps/>
      <w:color w:val="auto"/>
      <w:u w:val="single"/>
    </w:rPr>
  </w:style>
  <w:style w:type="character" w:styleId="IntenseReference">
    <w:name w:val="Intense Reference"/>
    <w:basedOn w:val="DefaultParagraphFont"/>
    <w:uiPriority w:val="32"/>
    <w:qFormat/>
    <w:rsid w:val="00E153FB"/>
    <w:rPr>
      <w:b/>
      <w:bCs/>
      <w:smallCaps/>
      <w:color w:val="auto"/>
      <w:spacing w:val="5"/>
      <w:u w:val="single"/>
    </w:rPr>
  </w:style>
  <w:style w:type="paragraph" w:customStyle="1" w:styleId="2ColumnHeading">
    <w:name w:val="2Column Heading"/>
    <w:basedOn w:val="BodyText"/>
    <w:qFormat/>
    <w:rsid w:val="00E153FB"/>
    <w:pPr>
      <w:spacing w:after="60"/>
      <w:ind w:left="-2268"/>
    </w:pPr>
    <w:rPr>
      <w:b/>
    </w:rPr>
  </w:style>
  <w:style w:type="paragraph" w:customStyle="1" w:styleId="Heading1TOC">
    <w:name w:val="Heading1 TOC"/>
    <w:basedOn w:val="Normal"/>
    <w:qFormat/>
    <w:rsid w:val="00E153FB"/>
    <w:pPr>
      <w:spacing w:before="240" w:after="120"/>
    </w:pPr>
    <w:rPr>
      <w:rFonts w:ascii="Times New Roman" w:hAnsi="Times New Roman"/>
      <w:b/>
      <w:sz w:val="32"/>
    </w:rPr>
  </w:style>
  <w:style w:type="paragraph" w:customStyle="1" w:styleId="Heading2TOC">
    <w:name w:val="Heading2 TOC"/>
    <w:basedOn w:val="Normal"/>
    <w:qFormat/>
    <w:rsid w:val="00E153FB"/>
    <w:pPr>
      <w:spacing w:before="240" w:after="60"/>
    </w:pPr>
    <w:rPr>
      <w:rFonts w:ascii="Times New Roman" w:hAnsi="Times New Roman"/>
      <w:b/>
      <w:sz w:val="28"/>
    </w:rPr>
  </w:style>
  <w:style w:type="character" w:customStyle="1" w:styleId="Underline">
    <w:name w:val="Underline"/>
    <w:basedOn w:val="DefaultParagraphFont"/>
    <w:qFormat/>
    <w:rsid w:val="00E153FB"/>
    <w:rPr>
      <w:u w:val="single"/>
    </w:rPr>
  </w:style>
  <w:style w:type="character" w:customStyle="1" w:styleId="BoldandItalics">
    <w:name w:val="Bold and Italics"/>
    <w:qFormat/>
    <w:rsid w:val="00E153FB"/>
    <w:rPr>
      <w:b/>
      <w:i/>
      <w:u w:val="none"/>
    </w:rPr>
  </w:style>
  <w:style w:type="paragraph" w:styleId="BalloonText">
    <w:name w:val="Balloon Text"/>
    <w:basedOn w:val="Normal"/>
    <w:link w:val="BalloonTextChar"/>
    <w:rsid w:val="00E153FB"/>
    <w:rPr>
      <w:rFonts w:ascii="Tahoma" w:hAnsi="Tahoma" w:cs="Tahoma"/>
      <w:sz w:val="16"/>
      <w:szCs w:val="16"/>
    </w:rPr>
  </w:style>
  <w:style w:type="character" w:customStyle="1" w:styleId="BalloonTextChar">
    <w:name w:val="Balloon Text Char"/>
    <w:basedOn w:val="DefaultParagraphFont"/>
    <w:link w:val="BalloonText"/>
    <w:rsid w:val="00E153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53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53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53FB"/>
    <w:rPr>
      <w:b/>
      <w:color w:val="660033"/>
      <w:spacing w:val="0"/>
    </w:rPr>
  </w:style>
  <w:style w:type="paragraph" w:customStyle="1" w:styleId="Nameditemlist">
    <w:name w:val="Named item list"/>
    <w:basedOn w:val="BodyText"/>
    <w:qFormat/>
    <w:rsid w:val="00E153F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1784</Words>
  <Characters>11305</Characters>
  <Application>Microsoft Office Word</Application>
  <DocSecurity>0</DocSecurity>
  <Lines>409</Lines>
  <Paragraphs>230</Paragraphs>
  <ScaleCrop>false</ScaleCrop>
  <Company>Author-it Software Corporation Ltd.</Company>
  <LinksUpToDate>false</LinksUpToDate>
  <CharactersWithSpaces>13031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HLTHOM603C Manage work within the homeopathic framework</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2012-10-05T15:33:00Z</dcterms:created>
  <dcterms:modified xsi:type="dcterms:W3CDTF">2012-10-05T15:33:00Z</dcterms:modified>
</cp:coreProperties>
</file>