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8A9" w:rsidP="00DA18A9">
      <w:pPr>
        <w:pStyle w:val="Title"/>
      </w:pPr>
      <w:bookmarkStart w:id="0" w:name="_GoBack"/>
      <w:bookmarkEnd w:id="0"/>
      <w:r>
        <w:fldChar w:fldCharType="begin"/>
      </w:r>
      <w:r>
        <w:instrText xml:space="preserve"> TITLE   \* MERGEFORMAT </w:instrText>
      </w:r>
      <w:r>
        <w:fldChar w:fldCharType="separate"/>
      </w:r>
      <w:r>
        <w:t>HLTHOM601C Apply homeopathic diagnostic framework</w:t>
      </w:r>
      <w:r>
        <w:fldChar w:fldCharType="end"/>
      </w:r>
    </w:p>
    <w:p w:rsidR="00DA18A9" w:rsidP="00DA18A9">
      <w:pPr>
        <w:pStyle w:val="Version"/>
        <w:sectPr w:rsidSect="00FF24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4EF" w:rsidP="00FF24EF">
      <w:pPr>
        <w:pStyle w:val="SuperHeading"/>
      </w:pPr>
      <w:r w:rsidRPr="00FF24EF">
        <w:t>HLTHOM601C Apply homœopathic diagnostic framework</w:t>
      </w:r>
    </w:p>
    <w:p w:rsidR="00000000" w:rsidRPr="00FF24EF" w:rsidP="00FF24EF">
      <w:pPr>
        <w:pStyle w:val="Heading1"/>
      </w:pPr>
      <w:bookmarkStart w:id="1" w:name="O_271238"/>
      <w:bookmarkEnd w:id="1"/>
      <w:r w:rsidRPr="00FF24EF">
        <w:t>Modification History</w:t>
      </w:r>
    </w:p>
    <w:p w:rsidR="00000000" w:rsidRPr="00FF24EF" w:rsidP="00FF24EF">
      <w:pPr>
        <w:pStyle w:val="BodyText"/>
      </w:pPr>
      <w:r w:rsidRPr="00FF24EF">
        <w:t>Not Applicable</w:t>
      </w:r>
    </w:p>
    <w:p w:rsidR="00000000" w:rsidRPr="00FF24EF" w:rsidP="00FF24EF">
      <w:pPr>
        <w:pStyle w:val="AllowPageBreak"/>
      </w:pPr>
    </w:p>
    <w:p w:rsidR="00000000" w:rsidRPr="00FF24EF" w:rsidP="00FF24EF">
      <w:pPr>
        <w:pStyle w:val="Heading1"/>
      </w:pPr>
      <w:bookmarkStart w:id="2" w:name="O_206071"/>
      <w:bookmarkEnd w:id="2"/>
      <w:r w:rsidRPr="00FF24EF">
        <w:t>Unit Descriptor</w:t>
      </w:r>
    </w:p>
    <w:tbl>
      <w:tblPr>
        <w:tblW w:w="0" w:type="auto"/>
        <w:tblLayout w:type="fixed"/>
        <w:tblCellMar>
          <w:left w:w="62" w:type="dxa"/>
          <w:right w:w="62" w:type="dxa"/>
        </w:tblCellMar>
        <w:tblLook w:val="0000"/>
      </w:tblPr>
      <w:tblGrid>
        <w:gridCol w:w="3337"/>
        <w:gridCol w:w="5219"/>
      </w:tblGrid>
      <w:tr w:rsidTr="00DA18A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This unit of compete</w:t>
            </w:r>
            <w:r w:rsidRPr="00FF24EF">
              <w:t>ncy describes the skills and knowledge required interpret information gathered when taking the homœopathic case and to make and review accurate homoeopathic diagnosis over the course of treatment</w:t>
            </w:r>
          </w:p>
        </w:tc>
      </w:tr>
    </w:tbl>
    <w:p w:rsidR="00DA18A9" w:rsidP="00FF24EF">
      <w:pPr>
        <w:pStyle w:val="BodyText"/>
      </w:pPr>
    </w:p>
    <w:p w:rsidR="00DA18A9" w:rsidP="00FF24EF">
      <w:pPr>
        <w:pStyle w:val="BodyText"/>
      </w:pPr>
    </w:p>
    <w:p w:rsidR="00000000" w:rsidRPr="00FF24EF" w:rsidP="00FF24EF">
      <w:pPr>
        <w:pStyle w:val="Heading1"/>
      </w:pPr>
      <w:bookmarkStart w:id="3" w:name="O_206073"/>
      <w:bookmarkEnd w:id="3"/>
      <w:r w:rsidRPr="00FF24EF">
        <w:t>Application of the Unit</w:t>
      </w:r>
    </w:p>
    <w:tbl>
      <w:tblPr>
        <w:tblW w:w="0" w:type="auto"/>
        <w:tblLayout w:type="fixed"/>
        <w:tblCellMar>
          <w:left w:w="62" w:type="dxa"/>
          <w:right w:w="62" w:type="dxa"/>
        </w:tblCellMar>
        <w:tblLook w:val="0000"/>
      </w:tblPr>
      <w:tblGrid>
        <w:gridCol w:w="3349"/>
        <w:gridCol w:w="5207"/>
      </w:tblGrid>
      <w:tr w:rsidTr="00DA18A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SpecialBold"/>
              </w:rPr>
              <w:t>Application</w:t>
            </w:r>
            <w:r w:rsidRPr="00FF24EF">
              <w:t xml:space="preserve"> </w:t>
            </w:r>
          </w:p>
        </w:tc>
        <w:tc>
          <w:tcPr>
            <w:tcW w:w="5207"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This unit applies to work in homœopathy</w:t>
            </w:r>
          </w:p>
        </w:tc>
      </w:tr>
    </w:tbl>
    <w:p w:rsidR="00DA18A9" w:rsidP="00FF24EF">
      <w:pPr>
        <w:pStyle w:val="BodyText"/>
      </w:pPr>
    </w:p>
    <w:p w:rsidR="00DA18A9" w:rsidP="00FF24EF">
      <w:pPr>
        <w:pStyle w:val="BodyText"/>
      </w:pPr>
    </w:p>
    <w:p w:rsidR="00000000" w:rsidRPr="00FF24EF" w:rsidP="00FF24EF">
      <w:pPr>
        <w:pStyle w:val="Heading1"/>
      </w:pPr>
      <w:bookmarkStart w:id="4" w:name="O_279498"/>
      <w:bookmarkEnd w:id="4"/>
      <w:r w:rsidRPr="00FF24EF">
        <w:t>Licensing/Regulatory Information</w:t>
      </w:r>
    </w:p>
    <w:p w:rsidR="00000000" w:rsidRPr="00FF24EF" w:rsidP="00FF24EF">
      <w:pPr>
        <w:pStyle w:val="BodyText"/>
      </w:pPr>
      <w:r w:rsidRPr="00FF24EF">
        <w:t>Not Applicable</w:t>
      </w:r>
    </w:p>
    <w:p w:rsidR="00000000" w:rsidRPr="00FF24EF" w:rsidP="00FF24EF">
      <w:pPr>
        <w:pStyle w:val="AllowPageBreak"/>
      </w:pPr>
    </w:p>
    <w:p w:rsidR="00000000" w:rsidRPr="00FF24EF" w:rsidP="00FF24EF">
      <w:pPr>
        <w:pStyle w:val="Heading1"/>
      </w:pPr>
      <w:bookmarkStart w:id="5" w:name="O_284188"/>
      <w:bookmarkEnd w:id="5"/>
      <w:r w:rsidRPr="00FF24EF">
        <w:t>Pre-Requisites</w:t>
      </w:r>
    </w:p>
    <w:p w:rsidR="00000000" w:rsidRPr="00FF24EF" w:rsidP="00FF24EF">
      <w:pPr>
        <w:pStyle w:val="BodyText"/>
      </w:pPr>
      <w:r w:rsidRPr="00FF24EF">
        <w:t>Not Applicable</w:t>
      </w:r>
    </w:p>
    <w:p w:rsidR="00000000" w:rsidRPr="00FF24EF" w:rsidP="00FF24EF">
      <w:pPr>
        <w:pStyle w:val="AllowPageBreak"/>
      </w:pPr>
    </w:p>
    <w:p w:rsidR="00000000" w:rsidRPr="00FF24EF" w:rsidP="00FF24EF">
      <w:pPr>
        <w:pStyle w:val="Heading1"/>
      </w:pPr>
      <w:bookmarkStart w:id="6" w:name="O_206072"/>
      <w:bookmarkEnd w:id="6"/>
      <w:r w:rsidRPr="00FF24EF">
        <w:t>Employability Skills Information</w:t>
      </w:r>
    </w:p>
    <w:tbl>
      <w:tblPr>
        <w:tblW w:w="0" w:type="auto"/>
        <w:tblLayout w:type="fixed"/>
        <w:tblCellMar>
          <w:left w:w="62" w:type="dxa"/>
          <w:right w:w="62" w:type="dxa"/>
        </w:tblCellMar>
        <w:tblLook w:val="0000"/>
      </w:tblPr>
      <w:tblGrid>
        <w:gridCol w:w="3320"/>
        <w:gridCol w:w="5236"/>
      </w:tblGrid>
      <w:tr w:rsidTr="00DA18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This unit contains Employability Skills</w:t>
            </w:r>
          </w:p>
        </w:tc>
      </w:tr>
    </w:tbl>
    <w:p w:rsidR="00DA18A9" w:rsidP="00FF24EF">
      <w:pPr>
        <w:pStyle w:val="BodyText"/>
      </w:pPr>
    </w:p>
    <w:p w:rsidR="00DA18A9" w:rsidP="00FF24EF">
      <w:pPr>
        <w:pStyle w:val="BodyText"/>
      </w:pPr>
    </w:p>
    <w:p w:rsidR="00000000" w:rsidRPr="00FF24EF" w:rsidP="00FF24EF">
      <w:pPr>
        <w:pStyle w:val="Heading1"/>
      </w:pPr>
      <w:bookmarkStart w:id="7" w:name="O_289284"/>
      <w:bookmarkEnd w:id="7"/>
      <w:r w:rsidRPr="00FF24EF">
        <w:t>Elements and Performance Criteria Pre-Content</w:t>
      </w:r>
    </w:p>
    <w:tbl>
      <w:tblPr>
        <w:tblW w:w="0" w:type="auto"/>
        <w:tblLayout w:type="fixed"/>
        <w:tblCellMar>
          <w:left w:w="62" w:type="dxa"/>
          <w:right w:w="62" w:type="dxa"/>
        </w:tblCellMar>
        <w:tblLook w:val="0000"/>
      </w:tblPr>
      <w:tblGrid>
        <w:gridCol w:w="3369"/>
        <w:gridCol w:w="5702"/>
      </w:tblGrid>
      <w:tr w:rsidTr="00DA18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The Performance Criteria specify the level of performance required to demonstrate achi</w:t>
            </w:r>
            <w:r w:rsidRPr="00FF24EF">
              <w:t xml:space="preserve">evement of the Element. Terms in italics are elaborated in the Range Statement. </w:t>
            </w:r>
          </w:p>
        </w:tc>
      </w:tr>
    </w:tbl>
    <w:p w:rsidR="00000000" w:rsidRPr="00FF24EF" w:rsidP="00FF24EF">
      <w:pPr>
        <w:pStyle w:val="BodyText"/>
      </w:pPr>
    </w:p>
    <w:p w:rsidR="00000000" w:rsidRPr="00FF24EF" w:rsidP="00FF24EF">
      <w:pPr>
        <w:pStyle w:val="AllowPageBreak"/>
      </w:pPr>
    </w:p>
    <w:p w:rsidR="00000000" w:rsidRPr="00FF24EF" w:rsidP="00FF24EF">
      <w:pPr>
        <w:pStyle w:val="Heading1"/>
      </w:pPr>
      <w:bookmarkStart w:id="8" w:name="O_235951"/>
      <w:bookmarkEnd w:id="8"/>
      <w:r w:rsidRPr="00FF24EF">
        <w:t>Elements and Performance Criteria</w:t>
      </w:r>
    </w:p>
    <w:tbl>
      <w:tblPr>
        <w:tblW w:w="0" w:type="auto"/>
        <w:tblLayout w:type="fixed"/>
        <w:tblCellMar>
          <w:left w:w="62" w:type="dxa"/>
          <w:right w:w="62" w:type="dxa"/>
        </w:tblCellMar>
        <w:tblLook w:val="0000"/>
      </w:tblPr>
      <w:tblGrid>
        <w:gridCol w:w="3369"/>
        <w:gridCol w:w="5702"/>
      </w:tblGrid>
      <w:tr w:rsidTr="00DA18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SpecialBold"/>
              </w:rPr>
              <w:t>PERFORMANCE CRITERIA</w:t>
            </w:r>
          </w:p>
        </w:tc>
      </w:tr>
      <w:tr w:rsidTr="00DA18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4EF">
            <w:pPr>
              <w:pStyle w:val="List"/>
              <w:rPr>
                <w:lang w:val="en-NZ"/>
              </w:rPr>
            </w:pPr>
            <w:r w:rsidRPr="00FF24EF">
              <w:t>1.</w:t>
            </w:r>
            <w:r w:rsidRPr="00FF24EF">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1.1</w:t>
            </w:r>
            <w:r w:rsidRPr="00FF24EF">
              <w:tab/>
            </w:r>
            <w:r w:rsidRPr="00FF24EF">
              <w:t>Physical examination findings are correlated with the case history</w:t>
            </w:r>
          </w:p>
          <w:p w:rsidR="00000000" w:rsidRPr="00FF24EF" w:rsidP="00FF24EF">
            <w:pPr>
              <w:pStyle w:val="BodyText"/>
            </w:pPr>
            <w:r w:rsidRPr="00FF24EF">
              <w:t>1.2</w:t>
            </w:r>
            <w:r w:rsidRPr="00FF24EF">
              <w:tab/>
              <w:t>Information is gathered, assessed for priority and acted upon within the practitioner's capability</w:t>
            </w:r>
          </w:p>
          <w:p w:rsidR="00000000" w:rsidRPr="00FF24EF" w:rsidP="00FF24EF">
            <w:pPr>
              <w:pStyle w:val="BodyText"/>
            </w:pPr>
            <w:r w:rsidRPr="00FF24EF">
              <w:t>1.3</w:t>
            </w:r>
            <w:r w:rsidRPr="00FF24EF">
              <w:tab/>
              <w:t xml:space="preserve">Information is organised and recorded in a way that can be interpreted readily by </w:t>
            </w:r>
            <w:r w:rsidRPr="00FF24EF">
              <w:t>other professionals and according to clinic guidelines</w:t>
            </w:r>
          </w:p>
          <w:p w:rsidR="00000000" w:rsidRPr="00FF24EF" w:rsidP="00FF24EF">
            <w:pPr>
              <w:pStyle w:val="BodyText"/>
            </w:pPr>
            <w:r w:rsidRPr="00FF24EF">
              <w:t>1.4</w:t>
            </w:r>
            <w:r w:rsidRPr="00FF24EF">
              <w:tab/>
              <w:t xml:space="preserve">Clinical disease is assessed according to </w:t>
            </w:r>
            <w:r w:rsidRPr="00FF24EF">
              <w:rPr>
                <w:rStyle w:val="Emphasis"/>
              </w:rPr>
              <w:t>signs and symptoms of condition</w:t>
            </w:r>
            <w:r w:rsidRPr="00FF24EF">
              <w:t>, and results of investigations</w:t>
            </w:r>
          </w:p>
          <w:p w:rsidR="00000000" w:rsidRPr="00FF24EF" w:rsidP="00FF24EF">
            <w:pPr>
              <w:pStyle w:val="BodyText"/>
            </w:pPr>
            <w:r w:rsidRPr="00FF24EF">
              <w:t>1.5</w:t>
            </w:r>
            <w:r w:rsidRPr="00FF24EF">
              <w:tab/>
              <w:t xml:space="preserve">Condition is </w:t>
            </w:r>
            <w:r w:rsidRPr="00FF24EF">
              <w:rPr>
                <w:rStyle w:val="Emphasis"/>
              </w:rPr>
              <w:t>classified</w:t>
            </w:r>
            <w:r w:rsidRPr="00FF24EF">
              <w:t xml:space="preserve"> according to </w:t>
            </w:r>
            <w:r w:rsidRPr="00FF24EF">
              <w:rPr>
                <w:rStyle w:val="Emphasis"/>
              </w:rPr>
              <w:t>stage of disease</w:t>
            </w:r>
            <w:r w:rsidRPr="00FF24EF">
              <w:t xml:space="preserve"> and homœopathic nosology</w:t>
            </w:r>
          </w:p>
          <w:p w:rsidR="00000000" w:rsidRPr="00FF24EF" w:rsidP="00FF24EF">
            <w:pPr>
              <w:pStyle w:val="BodyText"/>
            </w:pPr>
            <w:r w:rsidRPr="00FF24EF">
              <w:t>1.6</w:t>
            </w:r>
            <w:r w:rsidRPr="00FF24EF">
              <w:tab/>
              <w:t>Profe</w:t>
            </w:r>
            <w:r w:rsidRPr="00FF24EF">
              <w:t>ssional judgment is used to draw sound conclusions and prognosis from the data collected</w:t>
            </w:r>
          </w:p>
          <w:p w:rsidR="00000000" w:rsidP="00FF24EF">
            <w:pPr>
              <w:pStyle w:val="BodyText"/>
              <w:rPr>
                <w:lang w:val="en-NZ"/>
              </w:rPr>
            </w:pPr>
            <w:r w:rsidRPr="00FF24EF">
              <w:t>1.7</w:t>
            </w:r>
            <w:r w:rsidRPr="00FF24EF">
              <w:tab/>
              <w:t>All signs and symptoms are elicited in a thorough and objective manner to avoid prejudiced or premature conclusions</w:t>
            </w:r>
          </w:p>
        </w:tc>
      </w:tr>
      <w:tr w:rsidTr="00DA18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4EF">
            <w:pPr>
              <w:pStyle w:val="List"/>
              <w:rPr>
                <w:lang w:val="en-NZ"/>
              </w:rPr>
            </w:pPr>
            <w:r w:rsidRPr="00FF24EF">
              <w:t>2.</w:t>
            </w:r>
            <w:r w:rsidRPr="00FF24EF">
              <w:tab/>
              <w:t>Make a homœopathic diagnosis</w:t>
            </w:r>
          </w:p>
        </w:tc>
        <w:tc>
          <w:tcPr>
            <w:tcW w:w="5702"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2.1</w:t>
            </w:r>
            <w:r w:rsidRPr="00FF24EF">
              <w:tab/>
            </w:r>
            <w:r w:rsidRPr="00FF24EF">
              <w:t xml:space="preserve">Appropriate </w:t>
            </w:r>
            <w:r w:rsidRPr="00FF24EF">
              <w:rPr>
                <w:rStyle w:val="Emphasis"/>
              </w:rPr>
              <w:t>analysis techniques</w:t>
            </w:r>
            <w:r w:rsidRPr="00FF24EF">
              <w:t xml:space="preserve"> are applied</w:t>
            </w:r>
          </w:p>
          <w:p w:rsidR="00000000" w:rsidRPr="00FF24EF" w:rsidP="00FF24EF">
            <w:pPr>
              <w:pStyle w:val="BodyText"/>
            </w:pPr>
            <w:r w:rsidRPr="00FF24EF">
              <w:t>2.2</w:t>
            </w:r>
            <w:r w:rsidRPr="00FF24EF">
              <w:tab/>
            </w:r>
            <w:r w:rsidRPr="00FF24EF">
              <w:rPr>
                <w:rStyle w:val="Emphasis"/>
              </w:rPr>
              <w:t>What is to be treated</w:t>
            </w:r>
            <w:r w:rsidRPr="00FF24EF">
              <w:t xml:space="preserve"> in the client is identified</w:t>
            </w:r>
          </w:p>
          <w:p w:rsidR="00000000" w:rsidRPr="00FF24EF" w:rsidP="00FF24EF">
            <w:pPr>
              <w:pStyle w:val="BodyText"/>
            </w:pPr>
            <w:r w:rsidRPr="00FF24EF">
              <w:t>2.3</w:t>
            </w:r>
            <w:r w:rsidRPr="00FF24EF">
              <w:tab/>
              <w:t xml:space="preserve">Expected </w:t>
            </w:r>
            <w:r w:rsidRPr="00FF24EF">
              <w:rPr>
                <w:rStyle w:val="Emphasis"/>
              </w:rPr>
              <w:t>natural course of disease</w:t>
            </w:r>
            <w:r w:rsidRPr="00FF24EF">
              <w:t xml:space="preserve"> is established</w:t>
            </w:r>
          </w:p>
          <w:p w:rsidR="00000000" w:rsidRPr="00FF24EF" w:rsidP="00FF24EF">
            <w:pPr>
              <w:pStyle w:val="BodyText"/>
            </w:pPr>
            <w:r w:rsidRPr="00FF24EF">
              <w:t>2.4</w:t>
            </w:r>
            <w:r w:rsidRPr="00FF24EF">
              <w:tab/>
              <w:t xml:space="preserve">A </w:t>
            </w:r>
            <w:r w:rsidRPr="00FF24EF">
              <w:rPr>
                <w:rStyle w:val="Emphasis"/>
              </w:rPr>
              <w:t>meaningful totality</w:t>
            </w:r>
            <w:r w:rsidRPr="00FF24EF">
              <w:t xml:space="preserve"> of symptoms is established</w:t>
            </w:r>
          </w:p>
          <w:p w:rsidR="00000000" w:rsidP="00FF24EF">
            <w:pPr>
              <w:pStyle w:val="BodyText"/>
              <w:rPr>
                <w:lang w:val="en-NZ"/>
              </w:rPr>
            </w:pPr>
            <w:r w:rsidRPr="00FF24EF">
              <w:t>2.5</w:t>
            </w:r>
            <w:r w:rsidRPr="00FF24EF">
              <w:tab/>
              <w:t xml:space="preserve">Information is organised and recorded in a way </w:t>
            </w:r>
            <w:r w:rsidRPr="00FF24EF">
              <w:t>that can be interpreted readily by other professionals and according to clinic guidelines</w:t>
            </w:r>
          </w:p>
        </w:tc>
      </w:tr>
      <w:tr w:rsidTr="00DA18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4EF">
            <w:pPr>
              <w:pStyle w:val="List"/>
              <w:rPr>
                <w:lang w:val="en-NZ"/>
              </w:rPr>
            </w:pPr>
            <w:r w:rsidRPr="00FF24EF">
              <w:t>3.</w:t>
            </w:r>
            <w:r w:rsidRPr="00FF24EF">
              <w:tab/>
              <w:t>Critically evaluate the homoeopathic diagnosis</w:t>
            </w:r>
          </w:p>
        </w:tc>
        <w:tc>
          <w:tcPr>
            <w:tcW w:w="5702"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3.1</w:t>
            </w:r>
            <w:r w:rsidRPr="00FF24EF">
              <w:tab/>
              <w:t>A critical evaluation of homoeopathic diagnosis is applied in an ongoing manner</w:t>
            </w:r>
          </w:p>
          <w:p w:rsidR="00000000" w:rsidRPr="00FF24EF" w:rsidP="00FF24EF">
            <w:pPr>
              <w:pStyle w:val="BodyText"/>
            </w:pPr>
            <w:r w:rsidRPr="00FF24EF">
              <w:t>3.2</w:t>
            </w:r>
            <w:r w:rsidRPr="00FF24EF">
              <w:tab/>
              <w:t>The client's progress is</w:t>
            </w:r>
            <w:r w:rsidRPr="00FF24EF">
              <w:t xml:space="preserve"> systematically monitored and the initial homoeopathic diagnosis or clinical impression reassessed</w:t>
            </w:r>
          </w:p>
          <w:p w:rsidR="00000000" w:rsidRPr="00FF24EF" w:rsidP="00FF24EF">
            <w:pPr>
              <w:pStyle w:val="BodyText"/>
            </w:pPr>
            <w:r w:rsidRPr="00FF24EF">
              <w:t>3.3</w:t>
            </w:r>
            <w:r w:rsidRPr="00FF24EF">
              <w:tab/>
              <w:t>History and clinical data is effectively combined to obtain a differential diagnosis of possible  medicines, to select the most homoeopathic medicine, an</w:t>
            </w:r>
            <w:r w:rsidRPr="00FF24EF">
              <w:t xml:space="preserve">d to establish </w:t>
            </w:r>
            <w:r w:rsidRPr="00FF24EF">
              <w:rPr>
                <w:rStyle w:val="Emphasis"/>
              </w:rPr>
              <w:t>prognosis and therapeutic expectations</w:t>
            </w:r>
            <w:r w:rsidRPr="00FF24EF">
              <w:t xml:space="preserve"> </w:t>
            </w:r>
          </w:p>
        </w:tc>
      </w:tr>
    </w:tbl>
    <w:p w:rsidR="00DA18A9" w:rsidP="00FF24EF">
      <w:pPr>
        <w:pStyle w:val="BodyText"/>
      </w:pPr>
    </w:p>
    <w:p w:rsidR="00DA18A9" w:rsidP="00FF24EF">
      <w:pPr>
        <w:pStyle w:val="BodyText"/>
      </w:pPr>
    </w:p>
    <w:p w:rsidR="00000000" w:rsidRPr="00FF24EF" w:rsidP="00FF24EF">
      <w:pPr>
        <w:pStyle w:val="Heading1"/>
      </w:pPr>
      <w:bookmarkStart w:id="9" w:name="O_259901"/>
      <w:bookmarkEnd w:id="9"/>
      <w:r w:rsidRPr="00FF24EF">
        <w:t>Required Skills and Knowledge</w:t>
      </w:r>
    </w:p>
    <w:tbl>
      <w:tblPr>
        <w:tblW w:w="0" w:type="auto"/>
        <w:tblLayout w:type="fixed"/>
        <w:tblCellMar>
          <w:left w:w="62" w:type="dxa"/>
          <w:right w:w="62" w:type="dxa"/>
        </w:tblCellMar>
        <w:tblLook w:val="0000"/>
      </w:tblPr>
      <w:tblGrid>
        <w:gridCol w:w="9072"/>
      </w:tblGrid>
      <w:tr w:rsidTr="00DA18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SpecialBold"/>
              </w:rPr>
              <w:t>REQUIRED SKILLS AND KNOWLEDGE</w:t>
            </w:r>
          </w:p>
        </w:tc>
      </w:tr>
      <w:tr w:rsidTr="00DA18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t>This describes the essential skills and knowledge and their level required for this unit.</w:t>
            </w:r>
          </w:p>
        </w:tc>
      </w:tr>
      <w:tr w:rsidTr="00DA18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rPr>
                <w:rStyle w:val="Emphasis"/>
              </w:rPr>
              <w:t>Essential knowledge</w:t>
            </w:r>
            <w:r w:rsidRPr="00FF24EF">
              <w:t>:</w:t>
            </w:r>
          </w:p>
          <w:p w:rsidR="00000000" w:rsidRPr="00FF24EF" w:rsidP="00FF24EF">
            <w:pPr>
              <w:pStyle w:val="BodyText"/>
            </w:pPr>
            <w:r w:rsidRPr="00FF24E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F24EF" w:rsidP="00FF24EF">
            <w:pPr>
              <w:pStyle w:val="BodyText"/>
            </w:pPr>
            <w:r w:rsidRPr="00FF24EF">
              <w:t xml:space="preserve">This includes </w:t>
            </w:r>
            <w:r w:rsidRPr="00FF24EF">
              <w:t>knowledge of:</w:t>
            </w:r>
          </w:p>
          <w:p w:rsidR="00000000" w:rsidRPr="00FF24EF" w:rsidP="00FF24EF">
            <w:pPr>
              <w:pStyle w:val="ListBullet"/>
            </w:pPr>
            <w:r w:rsidRPr="00FF24EF">
              <w:t>Anatomy and physiology of the body systems</w:t>
            </w:r>
          </w:p>
          <w:p w:rsidR="00000000" w:rsidRPr="00FF24EF" w:rsidP="00FF24EF">
            <w:pPr>
              <w:pStyle w:val="ListBullet"/>
            </w:pPr>
            <w:r w:rsidRPr="00FF24EF">
              <w:t>Basic nutritional requirements for the various ages and stages of life</w:t>
            </w:r>
          </w:p>
          <w:p w:rsidR="00000000" w:rsidRPr="00FF24EF" w:rsidP="00FF24EF">
            <w:pPr>
              <w:pStyle w:val="ListBullet"/>
            </w:pPr>
            <w:r w:rsidRPr="00FF24EF">
              <w:t>Case analysis and management according to homœopathic principles</w:t>
            </w:r>
          </w:p>
          <w:p w:rsidR="00000000" w:rsidRPr="00FF24EF" w:rsidP="00FF24EF">
            <w:pPr>
              <w:pStyle w:val="ListBullet"/>
            </w:pPr>
            <w:r w:rsidRPr="00FF24EF">
              <w:t>Clinical disease</w:t>
            </w:r>
          </w:p>
          <w:p w:rsidR="00000000" w:rsidRPr="00FF24EF" w:rsidP="00FF24EF">
            <w:pPr>
              <w:pStyle w:val="ListBullet"/>
            </w:pPr>
            <w:r w:rsidRPr="00FF24EF">
              <w:t>Data analysis techniques</w:t>
            </w:r>
          </w:p>
          <w:p w:rsidR="00000000" w:rsidRPr="00FF24EF" w:rsidP="00FF24EF">
            <w:pPr>
              <w:pStyle w:val="ListBullet"/>
            </w:pPr>
            <w:r w:rsidRPr="00FF24EF">
              <w:t>Disease processes and the natural history of disease</w:t>
            </w:r>
          </w:p>
          <w:p w:rsidR="00000000" w:rsidRPr="00FF24EF" w:rsidP="00FF24EF">
            <w:pPr>
              <w:pStyle w:val="ListBullet"/>
            </w:pPr>
            <w:r w:rsidRPr="00FF24EF">
              <w:t>Homoeopathic materia medica of sufficient scope and depth (derivation of data, systems of classification, keynotes, clinical indications) to enable accurate differentiation of indicated medicines in a br</w:t>
            </w:r>
            <w:r w:rsidRPr="00FF24EF">
              <w:t>oad range of acute and chronic conditions</w:t>
            </w:r>
          </w:p>
          <w:p w:rsidR="00000000" w:rsidRPr="00FF24EF" w:rsidP="00FF24EF">
            <w:pPr>
              <w:pStyle w:val="ListBullet"/>
            </w:pPr>
            <w:r w:rsidRPr="00FF24EF">
              <w:t>Homœopathic symptomatology</w:t>
            </w:r>
          </w:p>
          <w:p w:rsidR="00000000" w:rsidRPr="00FF24EF" w:rsidP="00FF24EF">
            <w:pPr>
              <w:pStyle w:val="ListBullet"/>
            </w:pPr>
            <w:r w:rsidRPr="00FF24EF">
              <w:t>Knowledge and understanding of types of further investigation available</w:t>
            </w:r>
          </w:p>
          <w:p w:rsidR="00000000" w:rsidRPr="00FF24EF" w:rsidP="00FF24EF">
            <w:pPr>
              <w:pStyle w:val="ListBullet"/>
            </w:pPr>
            <w:r w:rsidRPr="00FF24EF">
              <w:t>Obstacles to cure</w:t>
            </w:r>
          </w:p>
          <w:p w:rsidR="00000000" w:rsidRPr="00FF24EF" w:rsidP="00FF24EF">
            <w:pPr>
              <w:pStyle w:val="ListBullet"/>
            </w:pPr>
            <w:r w:rsidRPr="00FF24EF">
              <w:t>Posology</w:t>
            </w:r>
          </w:p>
          <w:p w:rsidR="00000000" w:rsidRPr="00FF24EF" w:rsidP="00FF24EF">
            <w:pPr>
              <w:pStyle w:val="ListBullet"/>
            </w:pPr>
            <w:r w:rsidRPr="00FF24EF">
              <w:t>Referral process</w:t>
            </w:r>
          </w:p>
          <w:p w:rsidR="00000000" w:rsidRPr="00FF24EF" w:rsidP="00FF24EF">
            <w:pPr>
              <w:pStyle w:val="ListBullet"/>
            </w:pPr>
            <w:r w:rsidRPr="00FF24EF">
              <w:t>Relevant testing and assessment options and procedures</w:t>
            </w:r>
          </w:p>
          <w:p w:rsidR="00000000" w:rsidRPr="00FF24EF" w:rsidP="00FF24EF">
            <w:pPr>
              <w:pStyle w:val="ListBullet"/>
            </w:pPr>
            <w:r w:rsidRPr="00FF24EF">
              <w:t>Signs and sympto</w:t>
            </w:r>
            <w:r w:rsidRPr="00FF24EF">
              <w:t>ms of disease and disorder/dysfunction</w:t>
            </w:r>
          </w:p>
          <w:p w:rsidR="00000000" w:rsidRPr="00FF24EF" w:rsidP="00FF24EF">
            <w:pPr>
              <w:pStyle w:val="ListBullet"/>
            </w:pPr>
            <w:r w:rsidRPr="00FF24EF">
              <w:t>Susceptibility and sensitivity</w:t>
            </w:r>
          </w:p>
          <w:p w:rsidR="00000000" w:rsidRPr="00FF24EF" w:rsidP="00FF24EF">
            <w:pPr>
              <w:pStyle w:val="ListBullet"/>
            </w:pPr>
            <w:r w:rsidRPr="00FF24EF">
              <w:t>The capabilities and limitations of homœopathic treatment</w:t>
            </w:r>
          </w:p>
          <w:p w:rsidR="00000000" w:rsidRPr="00FF24EF" w:rsidP="00FF24EF">
            <w:pPr>
              <w:pStyle w:val="ListBullet"/>
            </w:pPr>
            <w:r w:rsidRPr="00FF24EF">
              <w:t>The contribution of the different schools of thought and historical theories of clinical practice</w:t>
            </w:r>
          </w:p>
          <w:p w:rsidR="00000000" w:rsidRPr="00FF24EF" w:rsidP="00FF24EF">
            <w:pPr>
              <w:pStyle w:val="ListBullet"/>
            </w:pPr>
            <w:r w:rsidRPr="00FF24EF">
              <w:t>The effects of medicinal disea</w:t>
            </w:r>
            <w:r w:rsidRPr="00FF24EF">
              <w:t>se</w:t>
            </w:r>
          </w:p>
          <w:p w:rsidR="00000000" w:rsidRPr="00FF24EF" w:rsidP="00FF24EF">
            <w:pPr>
              <w:pStyle w:val="ListBullet"/>
            </w:pPr>
            <w:r w:rsidRPr="00FF24EF">
              <w:t>The importance of striking rare, unusual and peculiar symptoms</w:t>
            </w:r>
          </w:p>
          <w:p w:rsidR="00000000" w:rsidRPr="00FF24EF" w:rsidP="00FF24EF">
            <w:pPr>
              <w:pStyle w:val="ListBullet"/>
            </w:pPr>
            <w:r w:rsidRPr="00FF24EF">
              <w:t>The relationships between homoeopathic medicines</w:t>
            </w:r>
          </w:p>
          <w:p w:rsidR="00000000" w:rsidRPr="00FF24EF" w:rsidP="00FF24EF">
            <w:pPr>
              <w:pStyle w:val="ListBullet"/>
            </w:pPr>
            <w:r w:rsidRPr="00FF24EF">
              <w:t>The use of alternating and intercurrent homoeopathic medicines and antidotes</w:t>
            </w:r>
          </w:p>
          <w:p w:rsidR="00000000" w:rsidP="00FF24EF">
            <w:pPr>
              <w:pStyle w:val="BodyText"/>
              <w:rPr>
                <w:lang w:val="en-NZ"/>
              </w:rPr>
            </w:pPr>
            <w:r w:rsidRPr="00FF24EF">
              <w:rPr>
                <w:rStyle w:val="Emphasis"/>
              </w:rPr>
              <w:t>continued</w:t>
            </w:r>
            <w:r w:rsidRPr="00FF24EF">
              <w:t xml:space="preserve"> ...</w:t>
            </w:r>
          </w:p>
        </w:tc>
      </w:tr>
      <w:tr w:rsidTr="00DA18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rPr>
                <w:rStyle w:val="Emphasis"/>
              </w:rPr>
              <w:t>Essential knowledge</w:t>
            </w:r>
            <w:r w:rsidRPr="00FF24EF">
              <w:t xml:space="preserve"> (</w:t>
            </w:r>
            <w:r w:rsidRPr="00FF24EF">
              <w:rPr>
                <w:rStyle w:val="Emphasis"/>
              </w:rPr>
              <w:t>contd</w:t>
            </w:r>
            <w:r w:rsidRPr="00FF24EF">
              <w:t>):</w:t>
            </w:r>
          </w:p>
          <w:p w:rsidR="00000000" w:rsidRPr="00FF24EF" w:rsidP="00FF24EF">
            <w:pPr>
              <w:pStyle w:val="ListBullet"/>
            </w:pPr>
            <w:r w:rsidRPr="00FF24EF">
              <w:t>The various approaches to prescribing including consideration of:</w:t>
            </w:r>
          </w:p>
          <w:p w:rsidR="00000000" w:rsidRPr="00FF24EF" w:rsidP="00FF24EF">
            <w:pPr>
              <w:pStyle w:val="ListBullet2"/>
            </w:pPr>
            <w:r w:rsidRPr="00FF24EF">
              <w:t>totality of characteristic symptoms</w:t>
            </w:r>
          </w:p>
          <w:p w:rsidR="00000000" w:rsidRPr="00FF24EF" w:rsidP="00FF24EF">
            <w:pPr>
              <w:pStyle w:val="ListBullet2"/>
            </w:pPr>
            <w:r w:rsidRPr="00FF24EF">
              <w:t>keynote characteristic symptoms</w:t>
            </w:r>
          </w:p>
          <w:p w:rsidR="00000000" w:rsidRPr="00FF24EF" w:rsidP="00FF24EF">
            <w:pPr>
              <w:pStyle w:val="ListBullet2"/>
            </w:pPr>
            <w:r w:rsidRPr="00FF24EF">
              <w:t>central theme of a homoeopathic medicine</w:t>
            </w:r>
          </w:p>
          <w:p w:rsidR="00000000" w:rsidRPr="00FF24EF" w:rsidP="00FF24EF">
            <w:pPr>
              <w:pStyle w:val="ListBullet2"/>
            </w:pPr>
            <w:r w:rsidRPr="00FF24EF">
              <w:t>constitutional basis</w:t>
            </w:r>
          </w:p>
          <w:p w:rsidR="00000000" w:rsidRPr="00FF24EF" w:rsidP="00FF24EF">
            <w:pPr>
              <w:pStyle w:val="ListBullet2"/>
            </w:pPr>
            <w:r w:rsidRPr="00FF24EF">
              <w:t>miasmatic indications</w:t>
            </w:r>
          </w:p>
          <w:p w:rsidR="00000000" w:rsidRPr="00FF24EF" w:rsidP="00FF24EF">
            <w:pPr>
              <w:pStyle w:val="ListBullet2"/>
            </w:pPr>
            <w:r w:rsidRPr="00FF24EF">
              <w:t>aetiology</w:t>
            </w:r>
          </w:p>
          <w:p w:rsidR="00000000" w:rsidRPr="00FF24EF" w:rsidP="00FF24EF">
            <w:pPr>
              <w:pStyle w:val="ListBullet2"/>
            </w:pPr>
            <w:r w:rsidRPr="00FF24EF">
              <w:t>use of organopathic medicin</w:t>
            </w:r>
            <w:r w:rsidRPr="00FF24EF">
              <w:t>es</w:t>
            </w:r>
          </w:p>
          <w:p w:rsidR="00000000" w:rsidRPr="00FF24EF" w:rsidP="00FF24EF">
            <w:pPr>
              <w:pStyle w:val="ListBullet2"/>
            </w:pPr>
            <w:r w:rsidRPr="00FF24EF">
              <w:t>prophylactic use</w:t>
            </w:r>
          </w:p>
          <w:p w:rsidR="00000000" w:rsidRPr="00FF24EF" w:rsidP="00FF24EF">
            <w:pPr>
              <w:pStyle w:val="ListBullet2"/>
            </w:pPr>
            <w:r w:rsidRPr="00FF24EF">
              <w:t>ladder-like prescribing</w:t>
            </w:r>
          </w:p>
          <w:p w:rsidR="00000000" w:rsidP="00FF24EF">
            <w:pPr>
              <w:pStyle w:val="ListBullet2"/>
              <w:rPr>
                <w:lang w:val="en-NZ"/>
              </w:rPr>
            </w:pPr>
            <w:r w:rsidRPr="00FF24EF">
              <w:t>tautopathy</w:t>
            </w:r>
          </w:p>
        </w:tc>
      </w:tr>
      <w:tr w:rsidTr="00DA18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rPr>
                <w:rStyle w:val="Emphasis"/>
              </w:rPr>
              <w:t>Essential skills</w:t>
            </w:r>
            <w:r w:rsidRPr="00FF24EF">
              <w:t>:</w:t>
            </w:r>
          </w:p>
          <w:p w:rsidR="00000000" w:rsidRPr="00FF24EF" w:rsidP="00FF24EF">
            <w:pPr>
              <w:pStyle w:val="BodyText"/>
            </w:pPr>
            <w:r w:rsidRPr="00FF24EF">
              <w:t>It is critical that the candidate demonstrate the ability to effectively do the task outlined in elements and performance criteria of this unit, manage the task and manage contingencies in the context of the identified work role</w:t>
            </w:r>
          </w:p>
          <w:p w:rsidR="00000000" w:rsidRPr="00FF24EF" w:rsidP="00FF24EF">
            <w:pPr>
              <w:pStyle w:val="BodyText"/>
            </w:pPr>
            <w:r w:rsidRPr="00FF24EF">
              <w:t>This includes the ability t</w:t>
            </w:r>
            <w:r w:rsidRPr="00FF24EF">
              <w:t>o:</w:t>
            </w:r>
          </w:p>
          <w:p w:rsidR="00000000" w:rsidRPr="00FF24EF" w:rsidP="00FF24EF">
            <w:pPr>
              <w:pStyle w:val="ListBullet"/>
            </w:pPr>
            <w:r w:rsidRPr="00FF24EF">
              <w:t>Apply differential assessment</w:t>
            </w:r>
          </w:p>
          <w:p w:rsidR="00000000" w:rsidRPr="00FF24EF" w:rsidP="00FF24EF">
            <w:pPr>
              <w:pStyle w:val="ListBullet"/>
            </w:pPr>
            <w:r w:rsidRPr="00FF24EF">
              <w:t>Demonstrate homoeopathic differential diagnostic skills</w:t>
            </w:r>
          </w:p>
          <w:p w:rsidR="00000000" w:rsidRPr="00FF24EF" w:rsidP="00FF24EF">
            <w:pPr>
              <w:pStyle w:val="ListBullet"/>
            </w:pPr>
            <w:r w:rsidRPr="00FF24EF">
              <w:t>Effectively use homoeopathic repertories</w:t>
            </w:r>
          </w:p>
          <w:p w:rsidR="00000000" w:rsidRPr="00FF24EF" w:rsidP="00FF24EF">
            <w:pPr>
              <w:pStyle w:val="ListBullet"/>
            </w:pPr>
            <w:r w:rsidRPr="00FF24EF">
              <w:t>Establish a meaningful totality from the client's signs and symptoms</w:t>
            </w:r>
          </w:p>
          <w:p w:rsidR="00000000" w:rsidRPr="00FF24EF" w:rsidP="00FF24EF">
            <w:pPr>
              <w:pStyle w:val="ListBullet"/>
            </w:pPr>
            <w:r w:rsidRPr="00FF24EF">
              <w:t>Establish urgency for treatment required</w:t>
            </w:r>
          </w:p>
          <w:p w:rsidR="00000000" w:rsidRPr="00FF24EF" w:rsidP="00FF24EF">
            <w:pPr>
              <w:pStyle w:val="ListBullet"/>
            </w:pPr>
            <w:r w:rsidRPr="00FF24EF">
              <w:t>Identify clinical signs of nutritional imbalance</w:t>
            </w:r>
          </w:p>
          <w:p w:rsidR="00000000" w:rsidRPr="00FF24EF" w:rsidP="00FF24EF">
            <w:pPr>
              <w:pStyle w:val="ListBullet"/>
            </w:pPr>
            <w:r w:rsidRPr="00FF24EF">
              <w:t>Interpret investigative findings</w:t>
            </w:r>
          </w:p>
          <w:p w:rsidR="00000000" w:rsidRPr="00FF24EF" w:rsidP="00FF24EF">
            <w:pPr>
              <w:pStyle w:val="ListBullet"/>
            </w:pPr>
            <w:r w:rsidRPr="00FF24EF">
              <w:t xml:space="preserve">Manage medical emergencies </w:t>
            </w:r>
          </w:p>
          <w:p w:rsidR="00000000" w:rsidRPr="00FF24EF" w:rsidP="00FF24EF">
            <w:pPr>
              <w:pStyle w:val="ListBullet"/>
            </w:pPr>
            <w:r w:rsidRPr="00FF24EF">
              <w:t>Prioritise presenting conditions</w:t>
            </w:r>
          </w:p>
          <w:p w:rsidR="00000000" w:rsidRPr="00FF24EF" w:rsidP="00FF24EF">
            <w:pPr>
              <w:pStyle w:val="ListBullet"/>
            </w:pPr>
            <w:r w:rsidRPr="00FF24EF">
              <w:t>Research allopathic drugs, including iatrogenic potential, interactions, and requirements for withdrawal</w:t>
            </w:r>
          </w:p>
          <w:p w:rsidR="00000000" w:rsidRPr="00FF24EF" w:rsidP="00FF24EF">
            <w:pPr>
              <w:pStyle w:val="ListBullet"/>
            </w:pPr>
            <w:r w:rsidRPr="00FF24EF">
              <w:t>Write re</w:t>
            </w:r>
            <w:r w:rsidRPr="00FF24EF">
              <w:t>ferrals</w:t>
            </w:r>
          </w:p>
        </w:tc>
      </w:tr>
    </w:tbl>
    <w:p w:rsidR="00DA18A9" w:rsidP="00FF24EF">
      <w:pPr>
        <w:pStyle w:val="BodyText"/>
      </w:pPr>
    </w:p>
    <w:p w:rsidR="00DA18A9" w:rsidP="00FF24EF">
      <w:pPr>
        <w:pStyle w:val="BodyText"/>
      </w:pPr>
    </w:p>
    <w:p w:rsidR="00000000" w:rsidRPr="00FF24EF" w:rsidP="00FF24EF">
      <w:pPr>
        <w:pStyle w:val="Heading1"/>
      </w:pPr>
      <w:bookmarkStart w:id="10" w:name="O_243935"/>
      <w:bookmarkEnd w:id="10"/>
      <w:r w:rsidRPr="00FF24EF">
        <w:t>Evidence Guide</w:t>
      </w:r>
    </w:p>
    <w:tbl>
      <w:tblPr>
        <w:tblW w:w="0" w:type="auto"/>
        <w:tblLayout w:type="fixed"/>
        <w:tblCellMar>
          <w:left w:w="62" w:type="dxa"/>
          <w:right w:w="62" w:type="dxa"/>
        </w:tblCellMar>
        <w:tblLook w:val="0000"/>
      </w:tblPr>
      <w:tblGrid>
        <w:gridCol w:w="3402"/>
        <w:gridCol w:w="5670"/>
      </w:tblGrid>
      <w:tr w:rsidTr="00DA18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SpecialBold"/>
              </w:rPr>
              <w:t>EVIDENCE GUIDE</w:t>
            </w:r>
          </w:p>
        </w:tc>
      </w:tr>
      <w:tr w:rsidTr="00DA18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t xml:space="preserve">The evidence guide provides advice on assessment and must be read in conjunction with the Performance Criteria, Required Skills and Knowledge, </w:t>
            </w:r>
            <w:r w:rsidRPr="00FF24EF">
              <w:t>the Range Statement and the Assessment Guidelines for this Training Package.</w:t>
            </w:r>
          </w:p>
        </w:tc>
      </w:tr>
      <w:tr w:rsidTr="00DA18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Critical aspects for assessment and evidence required to demonstrate this competency unit</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The individual being assessed must provide evidence of specified essential knowledg</w:t>
            </w:r>
            <w:r w:rsidRPr="00FF24EF">
              <w:t>e as well as skills</w:t>
            </w:r>
          </w:p>
          <w:p w:rsidR="00000000" w:rsidRPr="00FF24EF" w:rsidP="00FF24EF">
            <w:pPr>
              <w:pStyle w:val="ListBullet"/>
            </w:pPr>
            <w:r w:rsidRPr="00FF24EF">
              <w:t>Observation of performance in the workplace or a simulated workplace (defined as a supervised clinic) is essential for assessment of this unit</w:t>
            </w:r>
          </w:p>
          <w:p w:rsidR="00000000" w:rsidRPr="00FF24EF" w:rsidP="00FF24EF">
            <w:pPr>
              <w:pStyle w:val="ListBullet"/>
            </w:pPr>
            <w:r w:rsidRPr="00FF24EF">
              <w:t>Consistency of performance should be demonstrated over the required range of situations relev</w:t>
            </w:r>
            <w:r w:rsidRPr="00FF24EF">
              <w:t>ant to the workplace</w:t>
            </w:r>
          </w:p>
          <w:p w:rsidR="00000000" w:rsidRPr="00FF24EF" w:rsidP="00FF24EF">
            <w:pPr>
              <w:pStyle w:val="ListBullet"/>
            </w:pPr>
            <w:r w:rsidRPr="00FF24EF">
              <w:t>Where, for reasons of safety, space, or access to equipment and resources, assessment takes place away from the workplace, the assessment environment should represent workplace conditions as closely as possible</w:t>
            </w:r>
          </w:p>
          <w:p w:rsidR="00000000" w:rsidRPr="00FF24EF" w:rsidP="00FF24EF">
            <w:pPr>
              <w:pStyle w:val="ListBullet"/>
            </w:pPr>
            <w:r w:rsidRPr="00FF24EF">
              <w:t>Assessment of sole practitioners must include a range of clinical situations and different client groups covering at minimum, age, culture and gender</w:t>
            </w:r>
          </w:p>
          <w:p w:rsidR="00000000" w:rsidRPr="00FF24EF" w:rsidP="00FF24EF">
            <w:pPr>
              <w:pStyle w:val="ListBullet"/>
            </w:pPr>
            <w:r w:rsidRPr="00FF24EF">
              <w:t>Assessment of sole practitioners must consider their unique workplace context, including:</w:t>
            </w:r>
          </w:p>
          <w:p w:rsidR="00000000" w:rsidRPr="00FF24EF" w:rsidP="00FF24EF">
            <w:pPr>
              <w:pStyle w:val="ListBullet2"/>
            </w:pPr>
            <w:r w:rsidRPr="00FF24EF">
              <w:t>interaction wit</w:t>
            </w:r>
            <w:r w:rsidRPr="00FF24EF">
              <w:t>h others in the broader professional community as part of the sole practitioner's workplace</w:t>
            </w:r>
          </w:p>
          <w:p w:rsidR="00000000" w:rsidRPr="00FF24EF" w:rsidP="00FF24EF">
            <w:pPr>
              <w:pStyle w:val="ListBullet2"/>
            </w:pPr>
            <w:r w:rsidRPr="00FF24EF">
              <w:t>scope of practice as detailed in the qualification and component competency units</w:t>
            </w:r>
          </w:p>
          <w:p w:rsidR="00000000" w:rsidRPr="00FF24EF" w:rsidP="00FF24EF">
            <w:pPr>
              <w:pStyle w:val="ListBullet2"/>
            </w:pPr>
            <w:r w:rsidRPr="00FF24EF">
              <w:t>holistic/integrated assessment including:</w:t>
            </w:r>
          </w:p>
          <w:p w:rsidR="00000000" w:rsidRPr="00FF24EF" w:rsidP="00FF24EF">
            <w:pPr>
              <w:pStyle w:val="ListBullet3"/>
            </w:pPr>
            <w:r w:rsidRPr="00FF24EF">
              <w:t>working within the practice framework</w:t>
            </w:r>
          </w:p>
          <w:p w:rsidR="00000000" w:rsidRPr="00FF24EF" w:rsidP="00FF24EF">
            <w:pPr>
              <w:pStyle w:val="ListBullet3"/>
            </w:pPr>
            <w:r w:rsidRPr="00FF24EF">
              <w:t>p</w:t>
            </w:r>
            <w:r w:rsidRPr="00FF24EF">
              <w:t>erforming a health assessment</w:t>
            </w:r>
          </w:p>
          <w:p w:rsidR="00000000" w:rsidRPr="00FF24EF" w:rsidP="00FF24EF">
            <w:pPr>
              <w:pStyle w:val="ListBullet3"/>
            </w:pPr>
            <w:r w:rsidRPr="00FF24EF">
              <w:t>assessing the client</w:t>
            </w:r>
          </w:p>
          <w:p w:rsidR="00000000" w:rsidRPr="00FF24EF" w:rsidP="00FF24EF">
            <w:pPr>
              <w:pStyle w:val="ListBullet3"/>
            </w:pPr>
            <w:r w:rsidRPr="00FF24EF">
              <w:t>planning treatment</w:t>
            </w:r>
          </w:p>
          <w:p w:rsidR="00000000" w:rsidP="00FF24EF">
            <w:pPr>
              <w:pStyle w:val="ListBullet3"/>
              <w:rPr>
                <w:lang w:val="en-NZ"/>
              </w:rPr>
            </w:pPr>
            <w:r w:rsidRPr="00FF24EF">
              <w:t>providing treatment</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Context of and specific resources for assessment</w:t>
            </w:r>
            <w:r w:rsidRPr="00FF24EF">
              <w:t xml:space="preserve">: </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An appropriately stocked and equipped clinic or simulated clinic environment</w:t>
            </w:r>
          </w:p>
          <w:p w:rsidR="00000000" w:rsidRPr="00FF24EF" w:rsidP="00FF24EF">
            <w:pPr>
              <w:pStyle w:val="ListBullet"/>
            </w:pPr>
            <w:r w:rsidRPr="00FF24EF">
              <w:t>Relevant texts or medical manuals</w:t>
            </w:r>
          </w:p>
          <w:p w:rsidR="00000000" w:rsidRPr="00FF24EF" w:rsidP="00FF24EF">
            <w:pPr>
              <w:pStyle w:val="ListBullet"/>
            </w:pPr>
            <w:r w:rsidRPr="00FF24EF">
              <w:t>Relevant paper-based assessment instruments</w:t>
            </w:r>
          </w:p>
          <w:p w:rsidR="00000000" w:rsidP="00FF24EF">
            <w:pPr>
              <w:pStyle w:val="ListBullet"/>
              <w:rPr>
                <w:lang w:val="en-NZ"/>
              </w:rPr>
            </w:pPr>
            <w:r w:rsidRPr="00FF24EF">
              <w:t>Appropriate assessment environment</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Method of assessment</w:t>
            </w:r>
            <w:r w:rsidRPr="00FF24EF">
              <w:t xml:space="preserve"> </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Observation and practical demonstration in the work place</w:t>
            </w:r>
          </w:p>
          <w:p w:rsidR="00000000" w:rsidRPr="00FF24EF" w:rsidP="00FF24EF">
            <w:pPr>
              <w:pStyle w:val="ListBullet"/>
            </w:pPr>
            <w:r w:rsidRPr="00FF24EF">
              <w:t>Written assignments/projects or questioning should be used to assess knowledge</w:t>
            </w:r>
          </w:p>
          <w:p w:rsidR="00000000" w:rsidRPr="00FF24EF" w:rsidP="00FF24EF">
            <w:pPr>
              <w:pStyle w:val="ListBullet"/>
            </w:pPr>
            <w:r w:rsidRPr="00FF24EF">
              <w:t>Case study and scenario as a basis for discussion of diagnostic technique</w:t>
            </w:r>
          </w:p>
          <w:p w:rsidR="00000000" w:rsidRPr="00FF24EF" w:rsidP="00FF24EF">
            <w:pPr>
              <w:pStyle w:val="ListBullet"/>
            </w:pPr>
            <w:r w:rsidRPr="00FF24EF">
              <w:t>Clinical skills involving direct client care are to be assessed initially in a simulated clinical setting (laboratory). If successful, a second assessment is to be conducted during w</w:t>
            </w:r>
            <w:r w:rsidRPr="00FF24EF">
              <w:t>orkplace application under direct supervision</w:t>
            </w:r>
          </w:p>
          <w:p w:rsidR="00000000" w:rsidP="00FF24EF">
            <w:pPr>
              <w:pStyle w:val="ListBullet"/>
              <w:rPr>
                <w:lang w:val="en-NZ"/>
              </w:rPr>
            </w:pPr>
            <w:r w:rsidRPr="00FF24EF">
              <w:t xml:space="preserve">Homoeopathic diagnosis from assessment notes or simulated assessments </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Access and equity considerations</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All workers in the health industry should be aware of access and equity issues in relation to their o</w:t>
            </w:r>
            <w:r w:rsidRPr="00FF24EF">
              <w:t>wn area of work</w:t>
            </w:r>
          </w:p>
          <w:p w:rsidR="00000000" w:rsidRPr="00FF24EF" w:rsidP="00FF24EF">
            <w:pPr>
              <w:pStyle w:val="ListBullet"/>
            </w:pPr>
            <w:r w:rsidRPr="00FF24EF">
              <w:t xml:space="preserve">All workers should develop their ability to work in a culturally diverse environment </w:t>
            </w:r>
          </w:p>
          <w:p w:rsidR="00000000" w:rsidRPr="00FF24EF" w:rsidP="00FF24EF">
            <w:pPr>
              <w:pStyle w:val="ListBullet"/>
            </w:pPr>
            <w:r w:rsidRPr="00FF24EF">
              <w:t>In recognition of particular health issues facing Aboriginal and Torres Strait Islander communities, workers should be aware of cultural, historical and c</w:t>
            </w:r>
            <w:r w:rsidRPr="00FF24EF">
              <w:t>urrent issues impacting on health of Aboriginal and Torres Strait Islander people</w:t>
            </w:r>
          </w:p>
          <w:p w:rsidR="00000000" w:rsidP="00FF24EF">
            <w:pPr>
              <w:pStyle w:val="ListBullet"/>
              <w:rPr>
                <w:lang w:val="en-NZ"/>
              </w:rPr>
            </w:pPr>
            <w:r w:rsidRPr="00FF24EF">
              <w:t>Assessors and trainers must take into account relevant access and equity issues, in particular relating to factors impacting on health of Aboriginal and/or Torres Strait Islander clients and communities</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Related units</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BodyText"/>
            </w:pPr>
            <w:r w:rsidRPr="00FF24EF">
              <w:t>This unit should be assessed in co</w:t>
            </w:r>
            <w:r w:rsidRPr="00FF24EF">
              <w:t>njunction with the following related units:</w:t>
            </w:r>
          </w:p>
          <w:p w:rsidR="00000000" w:rsidRPr="00FF24EF" w:rsidP="00FF24EF">
            <w:pPr>
              <w:pStyle w:val="ListBullet"/>
            </w:pPr>
            <w:r w:rsidRPr="00FF24EF">
              <w:t>HLTCOM404C Communicate effectively with clients</w:t>
            </w:r>
          </w:p>
          <w:p w:rsidR="00000000" w:rsidRPr="00FF24EF" w:rsidP="00FF24EF">
            <w:pPr>
              <w:pStyle w:val="ListBullet"/>
            </w:pPr>
            <w:r w:rsidRPr="00FF24EF">
              <w:t>HLTHOM604B Perform clinical screening examination and assessment</w:t>
            </w:r>
          </w:p>
          <w:p w:rsidR="00000000" w:rsidP="00FF24EF">
            <w:pPr>
              <w:pStyle w:val="ListBullet"/>
              <w:rPr>
                <w:lang w:val="en-NZ"/>
              </w:rPr>
            </w:pPr>
            <w:r w:rsidRPr="00FF24EF">
              <w:t>HLTHOM610C Take the homœopathic case</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BodyText"/>
            </w:pPr>
          </w:p>
        </w:tc>
      </w:tr>
    </w:tbl>
    <w:p w:rsidR="00DA18A9" w:rsidP="00FF24EF">
      <w:pPr>
        <w:pStyle w:val="BodyText"/>
      </w:pPr>
    </w:p>
    <w:p w:rsidR="00DA18A9" w:rsidP="00FF24EF">
      <w:pPr>
        <w:pStyle w:val="BodyText"/>
      </w:pPr>
    </w:p>
    <w:p w:rsidR="00000000" w:rsidRPr="00FF24EF" w:rsidP="00FF24EF">
      <w:pPr>
        <w:pStyle w:val="Heading1"/>
      </w:pPr>
      <w:bookmarkStart w:id="11" w:name="O_251918"/>
      <w:bookmarkEnd w:id="11"/>
      <w:r w:rsidRPr="00FF24EF">
        <w:t>Range Statement</w:t>
      </w:r>
    </w:p>
    <w:tbl>
      <w:tblPr>
        <w:tblW w:w="0" w:type="auto"/>
        <w:tblLayout w:type="fixed"/>
        <w:tblCellMar>
          <w:left w:w="62" w:type="dxa"/>
          <w:right w:w="62" w:type="dxa"/>
        </w:tblCellMar>
        <w:tblLook w:val="0000"/>
      </w:tblPr>
      <w:tblGrid>
        <w:gridCol w:w="3402"/>
        <w:gridCol w:w="5670"/>
      </w:tblGrid>
      <w:tr w:rsidTr="00DA18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SpecialBold"/>
              </w:rPr>
              <w:t>RANGE STATEMENT</w:t>
            </w:r>
          </w:p>
        </w:tc>
      </w:tr>
      <w:tr w:rsidTr="00DA18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t>The Range Statement relates to the unit of competency as a whole.  It allows for different work environments and situations that may affect performance.  Add any essential operating conditions that may be present with training and assessment depending on t</w:t>
            </w:r>
            <w:r w:rsidRPr="00FF24EF">
              <w:t>he work situation, needs of the candidate, accessibility of the item, and local industry and regional contexts.</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Assessment according to signs and symptoms of condition must include</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Chief complaint(s)</w:t>
            </w:r>
          </w:p>
          <w:p w:rsidR="00000000" w:rsidRPr="00FF24EF" w:rsidP="00FF24EF">
            <w:pPr>
              <w:pStyle w:val="ListBullet"/>
            </w:pPr>
            <w:r w:rsidRPr="00FF24EF">
              <w:t>Aetiology</w:t>
            </w:r>
          </w:p>
          <w:p w:rsidR="00000000" w:rsidRPr="00FF24EF" w:rsidP="00FF24EF">
            <w:pPr>
              <w:pStyle w:val="ListBullet"/>
            </w:pPr>
            <w:r w:rsidRPr="00FF24EF">
              <w:t>Chronological sequence of symptoms</w:t>
            </w:r>
          </w:p>
          <w:p w:rsidR="00000000" w:rsidRPr="00FF24EF" w:rsidP="00FF24EF">
            <w:pPr>
              <w:pStyle w:val="ListBullet"/>
            </w:pPr>
            <w:r w:rsidRPr="00FF24EF">
              <w:t>Physical generals - characteristic and common</w:t>
            </w:r>
          </w:p>
          <w:p w:rsidR="00000000" w:rsidRPr="00FF24EF" w:rsidP="00FF24EF">
            <w:pPr>
              <w:pStyle w:val="ListBullet"/>
            </w:pPr>
            <w:r w:rsidRPr="00FF24EF">
              <w:t>Mentals - characteristic and common</w:t>
            </w:r>
          </w:p>
          <w:p w:rsidR="00000000" w:rsidRPr="00FF24EF" w:rsidP="00FF24EF">
            <w:pPr>
              <w:pStyle w:val="ListBullet"/>
            </w:pPr>
            <w:r w:rsidRPr="00FF24EF">
              <w:t>Particulars - characteristic and common</w:t>
            </w:r>
          </w:p>
          <w:p w:rsidR="00000000" w:rsidRPr="00FF24EF" w:rsidP="00FF24EF">
            <w:pPr>
              <w:pStyle w:val="ListBullet"/>
            </w:pPr>
            <w:r w:rsidRPr="00FF24EF">
              <w:t>Concomitants</w:t>
            </w:r>
          </w:p>
          <w:p w:rsidR="00000000" w:rsidRPr="00FF24EF" w:rsidP="00FF24EF">
            <w:pPr>
              <w:pStyle w:val="BodyText"/>
            </w:pPr>
            <w:r w:rsidRPr="00FF24EF">
              <w:rPr>
                <w:rStyle w:val="Emphasis"/>
              </w:rPr>
              <w:t>And may include</w:t>
            </w:r>
            <w:r w:rsidRPr="00FF24EF">
              <w:t>:</w:t>
            </w:r>
          </w:p>
          <w:p w:rsidR="00000000" w:rsidRPr="00FF24EF" w:rsidP="00FF24EF">
            <w:pPr>
              <w:pStyle w:val="ListBullet"/>
            </w:pPr>
            <w:r w:rsidRPr="00FF24EF">
              <w:t>Physical evidence</w:t>
            </w:r>
          </w:p>
          <w:p w:rsidR="00000000" w:rsidRPr="00FF24EF" w:rsidP="00FF24EF">
            <w:pPr>
              <w:pStyle w:val="ListBullet"/>
            </w:pPr>
            <w:r w:rsidRPr="00FF24EF">
              <w:t>Behavioural evidence</w:t>
            </w:r>
          </w:p>
          <w:p w:rsidR="00000000" w:rsidRPr="00FF24EF" w:rsidP="00FF24EF">
            <w:pPr>
              <w:pStyle w:val="ListBullet"/>
            </w:pPr>
            <w:r w:rsidRPr="00FF24EF">
              <w:t>Sensations</w:t>
            </w:r>
          </w:p>
          <w:p w:rsidR="00000000" w:rsidRPr="00FF24EF" w:rsidP="00FF24EF">
            <w:pPr>
              <w:pStyle w:val="ListBullet"/>
            </w:pPr>
            <w:r w:rsidRPr="00FF24EF">
              <w:t>Onset</w:t>
            </w:r>
          </w:p>
          <w:p w:rsidR="00000000" w:rsidRPr="00FF24EF" w:rsidP="00FF24EF">
            <w:pPr>
              <w:pStyle w:val="ListBullet"/>
            </w:pPr>
            <w:r w:rsidRPr="00FF24EF">
              <w:t>Duration</w:t>
            </w:r>
          </w:p>
          <w:p w:rsidR="00000000" w:rsidRPr="00FF24EF" w:rsidP="00FF24EF">
            <w:pPr>
              <w:pStyle w:val="ListBullet"/>
            </w:pPr>
            <w:r w:rsidRPr="00FF24EF">
              <w:t>Location</w:t>
            </w:r>
          </w:p>
          <w:p w:rsidR="00000000" w:rsidRPr="00FF24EF" w:rsidP="00FF24EF">
            <w:pPr>
              <w:pStyle w:val="ListBullet"/>
            </w:pPr>
            <w:r w:rsidRPr="00FF24EF">
              <w:t>Causation</w:t>
            </w:r>
          </w:p>
          <w:p w:rsidR="00000000" w:rsidRPr="00FF24EF" w:rsidP="00FF24EF">
            <w:pPr>
              <w:pStyle w:val="ListBullet"/>
            </w:pPr>
            <w:r w:rsidRPr="00FF24EF">
              <w:t>Direction of chief c</w:t>
            </w:r>
            <w:r w:rsidRPr="00FF24EF">
              <w:t>omplaint</w:t>
            </w:r>
          </w:p>
          <w:p w:rsidR="00000000" w:rsidRPr="00FF24EF" w:rsidP="00FF24EF">
            <w:pPr>
              <w:pStyle w:val="ListBullet"/>
            </w:pPr>
            <w:r w:rsidRPr="00FF24EF">
              <w:t>Ameliorating and aggravating factors</w:t>
            </w:r>
          </w:p>
          <w:p w:rsidR="00000000" w:rsidRPr="00FF24EF" w:rsidP="00FF24EF">
            <w:pPr>
              <w:pStyle w:val="ListBullet"/>
            </w:pPr>
            <w:r w:rsidRPr="00FF24EF">
              <w:t>Symptom qualities (intensity, severity, nature of complaint)</w:t>
            </w:r>
          </w:p>
          <w:p w:rsidR="00000000" w:rsidRPr="00FF24EF" w:rsidP="00FF24EF">
            <w:pPr>
              <w:pStyle w:val="ListBullet"/>
            </w:pPr>
            <w:r w:rsidRPr="00FF24EF">
              <w:t xml:space="preserve">Non-verbal signs </w:t>
            </w:r>
          </w:p>
          <w:p w:rsidR="00000000" w:rsidP="00FF24EF">
            <w:pPr>
              <w:pStyle w:val="ListBullet"/>
              <w:rPr>
                <w:lang w:val="en-NZ"/>
              </w:rPr>
            </w:pPr>
            <w:r w:rsidRPr="00FF24EF">
              <w:t>Functional and pathological disturbances</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Classification according to stage of disease must include at least one of the following</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Acute disease - individual, sporadic, epidemic, acute, and sub-acute</w:t>
            </w:r>
          </w:p>
          <w:p w:rsidR="00000000" w:rsidRPr="00FF24EF" w:rsidP="00FF24EF">
            <w:pPr>
              <w:pStyle w:val="ListBullet"/>
            </w:pPr>
            <w:r w:rsidRPr="00FF24EF">
              <w:t>Chronic disease partially developed or incurable</w:t>
            </w:r>
          </w:p>
          <w:p w:rsidR="00000000" w:rsidRPr="00FF24EF" w:rsidP="00FF24EF">
            <w:pPr>
              <w:pStyle w:val="ListBullet2"/>
            </w:pPr>
            <w:r w:rsidRPr="00FF24EF">
              <w:t>local or one sided manifestation as a physical a</w:t>
            </w:r>
            <w:r w:rsidRPr="00FF24EF">
              <w:t>nd/or mental</w:t>
            </w:r>
          </w:p>
          <w:p w:rsidR="00000000" w:rsidRPr="00FF24EF" w:rsidP="00FF24EF">
            <w:pPr>
              <w:pStyle w:val="ListBullet"/>
            </w:pPr>
            <w:r w:rsidRPr="00FF24EF">
              <w:t>Chronic disease fully developed</w:t>
            </w:r>
          </w:p>
          <w:p w:rsidR="00000000" w:rsidRPr="00FF24EF" w:rsidP="00FF24EF">
            <w:pPr>
              <w:pStyle w:val="ListBullet2"/>
            </w:pPr>
            <w:r w:rsidRPr="00FF24EF">
              <w:t>miasmatic disease, simple or mixed</w:t>
            </w:r>
          </w:p>
          <w:p w:rsidR="00000000" w:rsidRPr="00FF24EF" w:rsidP="00FF24EF">
            <w:pPr>
              <w:pStyle w:val="ListBullet2"/>
            </w:pPr>
            <w:r w:rsidRPr="00FF24EF">
              <w:t>environmental, life style and iatrogenic influences</w:t>
            </w:r>
          </w:p>
          <w:p w:rsidR="00000000" w:rsidRPr="00FF24EF" w:rsidP="00FF24EF">
            <w:pPr>
              <w:pStyle w:val="ListBullet"/>
            </w:pPr>
            <w:r w:rsidRPr="00FF24EF">
              <w:t>Consequence of suppression of symptoms and/or discharges on the future development of disease</w:t>
            </w:r>
          </w:p>
          <w:p w:rsidR="00000000" w:rsidP="00FF24EF">
            <w:pPr>
              <w:pStyle w:val="ListBullet"/>
              <w:rPr>
                <w:lang w:val="en-NZ"/>
              </w:rPr>
            </w:pPr>
            <w:r w:rsidRPr="00FF24EF">
              <w:t>Life threatening condition</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Analysis techniques may include</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Boger's hierarchy</w:t>
            </w:r>
          </w:p>
          <w:p w:rsidR="00000000" w:rsidRPr="00FF24EF" w:rsidP="00FF24EF">
            <w:pPr>
              <w:pStyle w:val="ListBullet"/>
            </w:pPr>
            <w:r w:rsidRPr="00FF24EF">
              <w:t>Kent's hierarchy</w:t>
            </w:r>
          </w:p>
          <w:p w:rsidR="00000000" w:rsidRPr="00FF24EF" w:rsidP="00FF24EF">
            <w:pPr>
              <w:pStyle w:val="ListBullet"/>
            </w:pPr>
            <w:r w:rsidRPr="00FF24EF">
              <w:t>Boenninghausen's hierarchy</w:t>
            </w:r>
          </w:p>
          <w:p w:rsidR="00000000" w:rsidRPr="00FF24EF" w:rsidP="00FF24EF">
            <w:pPr>
              <w:pStyle w:val="ListBullet"/>
            </w:pPr>
            <w:r w:rsidRPr="00FF24EF">
              <w:t>Other more recent homœopathic hierarchical techniques</w:t>
            </w:r>
          </w:p>
          <w:p w:rsidR="00000000" w:rsidRPr="00FF24EF" w:rsidP="00FF24EF">
            <w:pPr>
              <w:pStyle w:val="ListBullet"/>
            </w:pPr>
            <w:r w:rsidRPr="00FF24EF">
              <w:t>Conceptual image</w:t>
            </w:r>
          </w:p>
          <w:p w:rsidR="00000000" w:rsidRPr="00FF24EF" w:rsidP="00FF24EF">
            <w:pPr>
              <w:pStyle w:val="ListBullet"/>
            </w:pPr>
            <w:r w:rsidRPr="00FF24EF">
              <w:t>Evolutionary totality</w:t>
            </w:r>
          </w:p>
          <w:p w:rsidR="00000000" w:rsidRPr="00FF24EF" w:rsidP="00FF24EF">
            <w:pPr>
              <w:pStyle w:val="ListBullet"/>
            </w:pPr>
            <w:r w:rsidRPr="00FF24EF">
              <w:t>Standardised case record method</w:t>
            </w:r>
          </w:p>
          <w:p w:rsidR="00000000" w:rsidRPr="00FF24EF" w:rsidP="00FF24EF">
            <w:pPr>
              <w:pStyle w:val="ListBullet"/>
            </w:pPr>
            <w:r w:rsidRPr="00FF24EF">
              <w:t>Perception of essence/core/whole state</w:t>
            </w:r>
          </w:p>
          <w:p w:rsidR="00000000" w:rsidRPr="00FF24EF" w:rsidP="00FF24EF">
            <w:pPr>
              <w:pStyle w:val="ListBullet"/>
            </w:pPr>
            <w:r w:rsidRPr="00FF24EF">
              <w:t>Totality of symptoms</w:t>
            </w:r>
          </w:p>
          <w:p w:rsidR="00000000" w:rsidRPr="00FF24EF" w:rsidP="00FF24EF">
            <w:pPr>
              <w:pStyle w:val="ListBullet"/>
            </w:pPr>
            <w:r w:rsidRPr="00FF24EF">
              <w:t>Keynotes and/or keynote combinations</w:t>
            </w:r>
          </w:p>
          <w:p w:rsidR="00000000" w:rsidRPr="00FF24EF" w:rsidP="00FF24EF">
            <w:pPr>
              <w:pStyle w:val="ListBullet"/>
            </w:pPr>
            <w:r w:rsidRPr="00FF24EF">
              <w:t>Strange, rare and peculiars</w:t>
            </w:r>
          </w:p>
          <w:p w:rsidR="00000000" w:rsidRPr="00FF24EF" w:rsidP="00FF24EF">
            <w:pPr>
              <w:pStyle w:val="ListBullet"/>
            </w:pPr>
            <w:r w:rsidRPr="00FF24EF">
              <w:t>Miasmatic interpretation</w:t>
            </w:r>
          </w:p>
          <w:p w:rsidR="00000000" w:rsidRPr="00FF24EF" w:rsidP="00FF24EF">
            <w:pPr>
              <w:pStyle w:val="ListBullet"/>
            </w:pPr>
            <w:r w:rsidRPr="00FF24EF">
              <w:t>Layer and lesion concepts</w:t>
            </w:r>
          </w:p>
          <w:p w:rsidR="00000000" w:rsidRPr="00FF24EF" w:rsidP="00FF24EF">
            <w:pPr>
              <w:pStyle w:val="ListBullet"/>
            </w:pPr>
            <w:r w:rsidRPr="00FF24EF">
              <w:t>Synthetic prescribing</w:t>
            </w:r>
          </w:p>
          <w:p w:rsidR="00000000" w:rsidP="00FF24EF">
            <w:pPr>
              <w:pStyle w:val="ListBullet"/>
              <w:rPr>
                <w:lang w:val="en-NZ"/>
              </w:rPr>
            </w:pPr>
            <w:r w:rsidRPr="00FF24EF">
              <w:t>Homœopathic computer analysis</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What is to be treated mu</w:t>
            </w:r>
            <w:r w:rsidRPr="00FF24EF">
              <w:rPr>
                <w:rStyle w:val="Emphasis"/>
              </w:rPr>
              <w:t>st include</w:t>
            </w:r>
            <w:r w:rsidRPr="00FF24EF">
              <w:t>:</w:t>
            </w: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Natural course of disease includes</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Natural duration of disease</w:t>
            </w:r>
          </w:p>
          <w:p w:rsidR="00000000" w:rsidRPr="00FF24EF" w:rsidP="00FF24EF">
            <w:pPr>
              <w:pStyle w:val="ListBullet"/>
            </w:pPr>
            <w:r w:rsidRPr="00FF24EF">
              <w:t>Progress, extension, radiation and pace</w:t>
            </w:r>
          </w:p>
          <w:p w:rsidR="00000000" w:rsidP="00FF24EF">
            <w:pPr>
              <w:pStyle w:val="ListBullet"/>
              <w:rPr>
                <w:lang w:val="en-NZ"/>
              </w:rPr>
            </w:pPr>
            <w:r w:rsidRPr="00FF24EF">
              <w:t>Probability of remission</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Meaningful totality must include consideration of at least one of the following</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 xml:space="preserve">The relevant aphorisms in the </w:t>
            </w:r>
            <w:r w:rsidRPr="00FF24EF">
              <w:rPr>
                <w:rStyle w:val="Emphasis"/>
              </w:rPr>
              <w:t>Organon of Medicine</w:t>
            </w:r>
            <w:r w:rsidRPr="00FF24EF">
              <w:t xml:space="preserve"> 5th/6th Edition</w:t>
            </w:r>
          </w:p>
          <w:p w:rsidR="00000000" w:rsidRPr="00FF24EF" w:rsidP="00FF24EF">
            <w:pPr>
              <w:pStyle w:val="ListBullet"/>
            </w:pPr>
            <w:r w:rsidRPr="00FF24EF">
              <w:t>Hering's principles</w:t>
            </w:r>
          </w:p>
          <w:p w:rsidR="00000000" w:rsidRPr="00FF24EF" w:rsidP="00FF24EF">
            <w:pPr>
              <w:pStyle w:val="ListBullet"/>
            </w:pPr>
            <w:r w:rsidRPr="00FF24EF">
              <w:t>Boger's principles</w:t>
            </w:r>
          </w:p>
          <w:p w:rsidR="00000000" w:rsidRPr="00FF24EF" w:rsidP="00FF24EF">
            <w:pPr>
              <w:pStyle w:val="ListBullet"/>
            </w:pPr>
            <w:r w:rsidRPr="00FF24EF">
              <w:t>Kent's principles</w:t>
            </w:r>
          </w:p>
          <w:p w:rsidR="00000000" w:rsidRPr="00FF24EF" w:rsidP="00FF24EF">
            <w:pPr>
              <w:pStyle w:val="ListBullet"/>
            </w:pPr>
            <w:r w:rsidRPr="00FF24EF">
              <w:t>Boenninghausen's principles</w:t>
            </w:r>
          </w:p>
          <w:p w:rsidR="00000000" w:rsidP="00FF24EF">
            <w:pPr>
              <w:pStyle w:val="ListBullet"/>
              <w:rPr>
                <w:lang w:val="en-NZ"/>
              </w:rPr>
            </w:pPr>
            <w:r w:rsidRPr="00FF24EF">
              <w:t>Other relevant basis for a totality</w:t>
            </w: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p>
        </w:tc>
      </w:tr>
      <w:tr w:rsidTr="00DA18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4EF">
            <w:pPr>
              <w:pStyle w:val="BodyText"/>
              <w:rPr>
                <w:lang w:val="en-NZ"/>
              </w:rPr>
            </w:pPr>
            <w:r w:rsidRPr="00FF24EF">
              <w:rPr>
                <w:rStyle w:val="Emphasis"/>
              </w:rPr>
              <w:t>Prognosis and therapeutic expectations includes</w:t>
            </w:r>
            <w:r w:rsidRPr="00FF24EF">
              <w:t>:</w:t>
            </w:r>
          </w:p>
        </w:tc>
        <w:tc>
          <w:tcPr>
            <w:tcW w:w="5670" w:type="dxa"/>
            <w:tcBorders>
              <w:top w:val="nil"/>
              <w:left w:val="nil"/>
              <w:bottom w:val="nil"/>
              <w:right w:val="nil"/>
            </w:tcBorders>
            <w:tcMar>
              <w:top w:w="0" w:type="dxa"/>
              <w:left w:w="62" w:type="dxa"/>
              <w:bottom w:w="0" w:type="dxa"/>
              <w:right w:w="62" w:type="dxa"/>
            </w:tcMar>
          </w:tcPr>
          <w:p w:rsidR="00000000" w:rsidRPr="00FF24EF" w:rsidP="00FF24EF">
            <w:pPr>
              <w:pStyle w:val="ListBullet"/>
            </w:pPr>
            <w:r w:rsidRPr="00FF24EF">
              <w:t>Cure</w:t>
            </w:r>
          </w:p>
          <w:p w:rsidR="00000000" w:rsidRPr="00FF24EF" w:rsidP="00FF24EF">
            <w:pPr>
              <w:pStyle w:val="ListBullet"/>
            </w:pPr>
            <w:r w:rsidRPr="00FF24EF">
              <w:t>Palliation of incurable condition</w:t>
            </w:r>
          </w:p>
          <w:p w:rsidR="00000000" w:rsidRPr="00FF24EF" w:rsidP="00FF24EF">
            <w:pPr>
              <w:pStyle w:val="ListBullet"/>
            </w:pPr>
            <w:r w:rsidRPr="00FF24EF">
              <w:t xml:space="preserve">Severe aggravation </w:t>
            </w:r>
          </w:p>
          <w:p w:rsidR="00000000" w:rsidRPr="00FF24EF" w:rsidP="00FF24EF">
            <w:pPr>
              <w:pStyle w:val="ListBullet"/>
            </w:pPr>
            <w:r w:rsidRPr="00FF24EF">
              <w:t>Progression of disease</w:t>
            </w:r>
          </w:p>
          <w:p w:rsidR="00000000" w:rsidRPr="00FF24EF" w:rsidP="00FF24EF">
            <w:pPr>
              <w:pStyle w:val="ListBullet"/>
            </w:pPr>
            <w:r w:rsidRPr="00FF24EF">
              <w:t>Reduction of miasmatic condition</w:t>
            </w:r>
          </w:p>
          <w:p w:rsidR="00000000" w:rsidRPr="00FF24EF" w:rsidP="00FF24EF">
            <w:pPr>
              <w:pStyle w:val="ListBullet"/>
            </w:pPr>
            <w:r w:rsidRPr="00FF24EF">
              <w:t>Changes in emotional state and/or relationship dynamics</w:t>
            </w:r>
          </w:p>
          <w:p w:rsidR="00000000" w:rsidRPr="00FF24EF" w:rsidP="00FF24EF">
            <w:pPr>
              <w:pStyle w:val="ListBullet"/>
            </w:pPr>
            <w:r w:rsidRPr="00FF24EF">
              <w:t>Removal of layer, lesion or acute state and emergence of new symptoms</w:t>
            </w:r>
          </w:p>
        </w:tc>
      </w:tr>
    </w:tbl>
    <w:p w:rsidR="00DA18A9" w:rsidP="00FF24EF">
      <w:pPr>
        <w:pStyle w:val="BodyText"/>
      </w:pPr>
    </w:p>
    <w:p w:rsidR="00DA18A9" w:rsidP="00FF24EF">
      <w:pPr>
        <w:pStyle w:val="BodyText"/>
      </w:pPr>
    </w:p>
    <w:p w:rsidR="00000000" w:rsidRPr="00FF24EF" w:rsidP="00FF24EF">
      <w:pPr>
        <w:pStyle w:val="Heading1"/>
      </w:pPr>
      <w:bookmarkStart w:id="12" w:name="O_295144"/>
      <w:bookmarkEnd w:id="12"/>
      <w:r w:rsidRPr="00FF24EF">
        <w:t>Unit Sector(s)</w:t>
      </w:r>
    </w:p>
    <w:p w:rsidR="00000000" w:rsidRPr="00FF24EF" w:rsidP="00FF24EF">
      <w:pPr>
        <w:pStyle w:val="BodyText"/>
      </w:pPr>
      <w:r w:rsidRPr="00FF24EF">
        <w:t>Not Applicable</w:t>
      </w:r>
    </w:p>
    <w:p w:rsidR="00000000" w:rsidRPr="00FF24EF" w:rsidP="00FF24EF"/>
    <w:sectPr w:rsidSect="00FF24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8A9" w:rsidP="00DA18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A9" w:rsidP="00FF24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18A9" w:rsidP="00FF24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18A9" w:rsidP="00FF24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F" w:rsidRPr="00DA18A9" w:rsidP="00DA18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A9" w:rsidRPr="002D2AF8" w:rsidP="00FF24EF">
    <w:pPr>
      <w:pStyle w:val="Header"/>
      <w:framePr w:wrap="around"/>
    </w:pPr>
    <w:r>
      <w:fldChar w:fldCharType="begin"/>
    </w:r>
    <w:r>
      <w:instrText xml:space="preserve"> TITLE   \* MERGEFORMAT </w:instrText>
    </w:r>
    <w:r>
      <w:fldChar w:fldCharType="separate"/>
    </w:r>
    <w:r>
      <w:t>HLTHOM601C Apply homeopathic diagnostic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A18A9" w:rsidP="00FF2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28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220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C87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4EF"/>
    <w:pPr>
      <w:spacing w:before="360" w:after="60"/>
      <w:outlineLvl w:val="0"/>
    </w:pPr>
    <w:rPr>
      <w:sz w:val="32"/>
    </w:rPr>
  </w:style>
  <w:style w:type="paragraph" w:styleId="Heading2">
    <w:name w:val="heading 2"/>
    <w:basedOn w:val="HeadingBase"/>
    <w:next w:val="BodyText"/>
    <w:link w:val="Heading2Char"/>
    <w:qFormat/>
    <w:rsid w:val="00FF24EF"/>
    <w:pPr>
      <w:keepLines/>
      <w:spacing w:before="240" w:after="120"/>
      <w:outlineLvl w:val="1"/>
    </w:pPr>
    <w:rPr>
      <w:sz w:val="28"/>
      <w:szCs w:val="40"/>
    </w:rPr>
  </w:style>
  <w:style w:type="paragraph" w:styleId="Heading3">
    <w:name w:val="heading 3"/>
    <w:basedOn w:val="HeadingBase"/>
    <w:next w:val="BodyText"/>
    <w:link w:val="Heading3Char"/>
    <w:qFormat/>
    <w:rsid w:val="00FF24EF"/>
    <w:pPr>
      <w:spacing w:before="180" w:after="120"/>
      <w:outlineLvl w:val="2"/>
    </w:pPr>
    <w:rPr>
      <w:spacing w:val="-10"/>
      <w:kern w:val="32"/>
    </w:rPr>
  </w:style>
  <w:style w:type="paragraph" w:styleId="Heading4">
    <w:name w:val="heading 4"/>
    <w:basedOn w:val="HeadingBase"/>
    <w:next w:val="BodyText"/>
    <w:link w:val="Heading4Char"/>
    <w:qFormat/>
    <w:rsid w:val="00FF24EF"/>
    <w:pPr>
      <w:spacing w:before="160" w:after="120"/>
      <w:outlineLvl w:val="3"/>
    </w:pPr>
    <w:rPr>
      <w:sz w:val="22"/>
    </w:rPr>
  </w:style>
  <w:style w:type="paragraph" w:styleId="Heading5">
    <w:name w:val="heading 5"/>
    <w:basedOn w:val="HeadingBase"/>
    <w:next w:val="Normal"/>
    <w:link w:val="Heading5Char"/>
    <w:qFormat/>
    <w:rsid w:val="00FF24EF"/>
    <w:pPr>
      <w:spacing w:before="80"/>
      <w:outlineLvl w:val="4"/>
    </w:pPr>
    <w:rPr>
      <w:color w:val="918585"/>
      <w:sz w:val="20"/>
    </w:rPr>
  </w:style>
  <w:style w:type="paragraph" w:styleId="Heading6">
    <w:name w:val="heading 6"/>
    <w:basedOn w:val="HeadingBase"/>
    <w:next w:val="Normal"/>
    <w:link w:val="Heading6Char"/>
    <w:qFormat/>
    <w:rsid w:val="00FF24EF"/>
    <w:pPr>
      <w:spacing w:before="60"/>
      <w:outlineLvl w:val="5"/>
    </w:pPr>
    <w:rPr>
      <w:color w:val="918585"/>
      <w:sz w:val="20"/>
    </w:rPr>
  </w:style>
  <w:style w:type="paragraph" w:styleId="Heading7">
    <w:name w:val="heading 7"/>
    <w:basedOn w:val="Normal"/>
    <w:next w:val="Normal"/>
    <w:link w:val="Heading7Char"/>
    <w:qFormat/>
    <w:rsid w:val="00FF24EF"/>
    <w:pPr>
      <w:ind w:left="720"/>
      <w:outlineLvl w:val="6"/>
    </w:pPr>
    <w:rPr>
      <w:i/>
    </w:rPr>
  </w:style>
  <w:style w:type="paragraph" w:styleId="Heading8">
    <w:name w:val="heading 8"/>
    <w:basedOn w:val="Normal"/>
    <w:next w:val="Normal"/>
    <w:link w:val="Heading8Char"/>
    <w:qFormat/>
    <w:rsid w:val="00FF24EF"/>
    <w:pPr>
      <w:ind w:left="720"/>
      <w:outlineLvl w:val="7"/>
    </w:pPr>
    <w:rPr>
      <w:i/>
    </w:rPr>
  </w:style>
  <w:style w:type="paragraph" w:styleId="Heading9">
    <w:name w:val="heading 9"/>
    <w:basedOn w:val="Normal"/>
    <w:next w:val="Normal"/>
    <w:link w:val="Heading9Char"/>
    <w:qFormat/>
    <w:rsid w:val="00FF24EF"/>
    <w:pPr>
      <w:ind w:left="720"/>
      <w:outlineLvl w:val="8"/>
    </w:pPr>
    <w:rPr>
      <w:i/>
    </w:rPr>
  </w:style>
  <w:style w:type="character" w:default="1" w:styleId="DefaultParagraphFont">
    <w:name w:val="Default Paragraph Font"/>
    <w:uiPriority w:val="1"/>
    <w:unhideWhenUsed/>
    <w:rsid w:val="00FF2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4EF"/>
  </w:style>
  <w:style w:type="character" w:customStyle="1" w:styleId="Heading1Char">
    <w:name w:val="Heading 1 Char"/>
    <w:basedOn w:val="DefaultParagraphFont"/>
    <w:link w:val="Heading1"/>
    <w:rsid w:val="00FF24EF"/>
    <w:rPr>
      <w:rFonts w:ascii="Times New Roman" w:eastAsia="Times New Roman" w:hAnsi="Times New Roman" w:cs="Times New Roman"/>
      <w:b/>
      <w:sz w:val="32"/>
      <w:szCs w:val="20"/>
      <w:lang w:eastAsia="en-US"/>
    </w:rPr>
  </w:style>
  <w:style w:type="paragraph" w:styleId="BodyText">
    <w:name w:val="Body Text"/>
    <w:basedOn w:val="Normal"/>
    <w:link w:val="BodyTextChar"/>
    <w:rsid w:val="00FF24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4EF"/>
    <w:rPr>
      <w:rFonts w:ascii="Times New Roman" w:eastAsia="Times New Roman" w:hAnsi="Times New Roman" w:cs="Times New Roman"/>
      <w:sz w:val="24"/>
      <w:lang w:eastAsia="en-US"/>
    </w:rPr>
  </w:style>
  <w:style w:type="paragraph" w:styleId="Footer">
    <w:name w:val="footer"/>
    <w:basedOn w:val="Normal"/>
    <w:link w:val="FooterChar"/>
    <w:rsid w:val="00FF2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4EF"/>
    <w:rPr>
      <w:rFonts w:ascii="Times New Roman" w:eastAsia="Times New Roman" w:hAnsi="Times New Roman" w:cs="Times New Roman"/>
      <w:sz w:val="16"/>
      <w:lang w:eastAsia="en-US"/>
    </w:rPr>
  </w:style>
  <w:style w:type="paragraph" w:styleId="List">
    <w:name w:val="List"/>
    <w:basedOn w:val="BodyText"/>
    <w:next w:val="BodyText"/>
    <w:rsid w:val="00FF24EF"/>
    <w:pPr>
      <w:tabs>
        <w:tab w:val="left" w:pos="340"/>
      </w:tabs>
      <w:spacing w:before="60" w:after="60"/>
      <w:ind w:left="340" w:hanging="340"/>
    </w:pPr>
  </w:style>
  <w:style w:type="paragraph" w:styleId="ListBullet">
    <w:name w:val="List Bullet"/>
    <w:basedOn w:val="List"/>
    <w:rsid w:val="00FF24EF"/>
    <w:pPr>
      <w:numPr>
        <w:numId w:val="14"/>
      </w:numPr>
      <w:tabs>
        <w:tab w:val="clear" w:pos="340"/>
      </w:tabs>
      <w:spacing w:before="40" w:after="40"/>
    </w:pPr>
  </w:style>
  <w:style w:type="character" w:customStyle="1" w:styleId="SpecialBold">
    <w:name w:val="Special Bold"/>
    <w:basedOn w:val="DefaultParagraphFont"/>
    <w:rsid w:val="00FF24EF"/>
    <w:rPr>
      <w:b/>
      <w:spacing w:val="0"/>
    </w:rPr>
  </w:style>
  <w:style w:type="paragraph" w:styleId="ListBullet2">
    <w:name w:val="List Bullet 2"/>
    <w:basedOn w:val="List2"/>
    <w:rsid w:val="00FF24EF"/>
    <w:pPr>
      <w:numPr>
        <w:numId w:val="15"/>
      </w:numPr>
      <w:tabs>
        <w:tab w:val="clear" w:pos="680"/>
      </w:tabs>
    </w:pPr>
  </w:style>
  <w:style w:type="character" w:styleId="Emphasis">
    <w:name w:val="Emphasis"/>
    <w:basedOn w:val="DefaultParagraphFont"/>
    <w:qFormat/>
    <w:rsid w:val="00FF24EF"/>
    <w:rPr>
      <w:i/>
    </w:rPr>
  </w:style>
  <w:style w:type="paragraph" w:customStyle="1" w:styleId="SuperHeading">
    <w:name w:val="SuperHeading"/>
    <w:basedOn w:val="Normal"/>
    <w:rsid w:val="00FF24EF"/>
    <w:pPr>
      <w:spacing w:before="240" w:after="120"/>
      <w:outlineLvl w:val="0"/>
    </w:pPr>
    <w:rPr>
      <w:rFonts w:ascii="Times New Roman" w:hAnsi="Times New Roman"/>
      <w:b/>
      <w:sz w:val="28"/>
    </w:rPr>
  </w:style>
  <w:style w:type="paragraph" w:customStyle="1" w:styleId="AllowPageBreak">
    <w:name w:val="AllowPageBreak"/>
    <w:rsid w:val="00FF24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24EF"/>
    <w:pPr>
      <w:numPr>
        <w:numId w:val="3"/>
      </w:numPr>
      <w:tabs>
        <w:tab w:val="clear" w:pos="1021"/>
      </w:tabs>
      <w:ind w:left="1037" w:hanging="357"/>
    </w:pPr>
  </w:style>
  <w:style w:type="character" w:customStyle="1" w:styleId="Heading2Char">
    <w:name w:val="Heading 2 Char"/>
    <w:basedOn w:val="DefaultParagraphFont"/>
    <w:link w:val="Heading2"/>
    <w:rsid w:val="00FF2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4EF"/>
    <w:rPr>
      <w:rFonts w:ascii="Courier New" w:eastAsia="Times New Roman" w:hAnsi="Courier New" w:cs="Times New Roman"/>
      <w:i/>
      <w:szCs w:val="20"/>
      <w:lang w:eastAsia="en-US"/>
    </w:rPr>
  </w:style>
  <w:style w:type="paragraph" w:customStyle="1" w:styleId="HeadingBase">
    <w:name w:val="Heading Base"/>
    <w:rsid w:val="00FF2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4EF"/>
    <w:pPr>
      <w:tabs>
        <w:tab w:val="right" w:leader="dot" w:pos="9072"/>
      </w:tabs>
      <w:ind w:left="567"/>
    </w:pPr>
    <w:rPr>
      <w:szCs w:val="22"/>
    </w:rPr>
  </w:style>
  <w:style w:type="paragraph" w:customStyle="1" w:styleId="TOCBase">
    <w:name w:val="TOC Base"/>
    <w:rsid w:val="00FF2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4EF"/>
    <w:pPr>
      <w:tabs>
        <w:tab w:val="right" w:leader="dot" w:pos="9072"/>
      </w:tabs>
      <w:spacing w:before="40" w:after="40"/>
      <w:ind w:left="284"/>
    </w:pPr>
    <w:rPr>
      <w:rFonts w:ascii="Times New Roman" w:hAnsi="Times New Roman"/>
    </w:rPr>
  </w:style>
  <w:style w:type="paragraph" w:styleId="TOC1">
    <w:name w:val="toc 1"/>
    <w:basedOn w:val="TOCBase"/>
    <w:next w:val="Normal"/>
    <w:rsid w:val="00FF24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24EF"/>
    <w:pPr>
      <w:spacing w:before="5040"/>
      <w:jc w:val="center"/>
    </w:pPr>
    <w:rPr>
      <w:sz w:val="48"/>
      <w:szCs w:val="72"/>
      <w:lang w:val="en-US"/>
    </w:rPr>
  </w:style>
  <w:style w:type="character" w:customStyle="1" w:styleId="TitleChar">
    <w:name w:val="Title Char"/>
    <w:basedOn w:val="DefaultParagraphFont"/>
    <w:link w:val="Title"/>
    <w:rsid w:val="00FF2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4EF"/>
    <w:pPr>
      <w:tabs>
        <w:tab w:val="left" w:pos="3600"/>
        <w:tab w:val="left" w:pos="3958"/>
      </w:tabs>
    </w:pPr>
  </w:style>
  <w:style w:type="paragraph" w:customStyle="1" w:styleId="Note">
    <w:name w:val="Note"/>
    <w:basedOn w:val="BodyText"/>
    <w:rsid w:val="00FF2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4EF"/>
    <w:pPr>
      <w:framePr w:wrap="auto" w:hAnchor="text" w:y="6049"/>
    </w:pPr>
    <w:rPr>
      <w:color w:val="000000"/>
      <w:sz w:val="40"/>
    </w:rPr>
  </w:style>
  <w:style w:type="paragraph" w:customStyle="1" w:styleId="TOCTitle">
    <w:name w:val="TOCTitle"/>
    <w:basedOn w:val="Heading1"/>
    <w:rsid w:val="00FF24EF"/>
    <w:pPr>
      <w:spacing w:after="240"/>
      <w:jc w:val="center"/>
      <w:outlineLvl w:val="9"/>
    </w:pPr>
    <w:rPr>
      <w:caps/>
    </w:rPr>
  </w:style>
  <w:style w:type="paragraph" w:customStyle="1" w:styleId="Version">
    <w:name w:val="Version"/>
    <w:rsid w:val="00FF24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4EF"/>
    <w:pPr>
      <w:keepNext w:val="0"/>
      <w:tabs>
        <w:tab w:val="right" w:pos="4176"/>
      </w:tabs>
      <w:ind w:left="198" w:hanging="198"/>
    </w:pPr>
    <w:rPr>
      <w:rFonts w:ascii="Garamond" w:hAnsi="Garamond"/>
    </w:rPr>
  </w:style>
  <w:style w:type="paragraph" w:styleId="IndexHeading">
    <w:name w:val="index heading"/>
    <w:basedOn w:val="Normal"/>
    <w:next w:val="Index1"/>
    <w:semiHidden/>
    <w:rsid w:val="00FF24EF"/>
    <w:pPr>
      <w:spacing w:before="120" w:after="120"/>
    </w:pPr>
    <w:rPr>
      <w:rFonts w:ascii="Arial" w:hAnsi="Arial"/>
      <w:b/>
      <w:color w:val="918585"/>
      <w:sz w:val="24"/>
    </w:rPr>
  </w:style>
  <w:style w:type="paragraph" w:styleId="Header">
    <w:name w:val="header"/>
    <w:basedOn w:val="Normal"/>
    <w:link w:val="HeaderChar"/>
    <w:rsid w:val="00FF2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4EF"/>
    <w:rPr>
      <w:rFonts w:ascii="Times New Roman" w:eastAsia="Times New Roman" w:hAnsi="Times New Roman" w:cs="Times New Roman"/>
      <w:sz w:val="16"/>
      <w:szCs w:val="20"/>
      <w:lang w:val="en-GB" w:eastAsia="en-US"/>
    </w:rPr>
  </w:style>
  <w:style w:type="paragraph" w:customStyle="1" w:styleId="Chapter">
    <w:name w:val="Chapter"/>
    <w:basedOn w:val="Normal"/>
    <w:rsid w:val="00FF24EF"/>
    <w:pPr>
      <w:spacing w:before="240"/>
    </w:pPr>
    <w:rPr>
      <w:rFonts w:ascii="Times New Roman" w:hAnsi="Times New Roman"/>
      <w:smallCaps/>
      <w:spacing w:val="80"/>
      <w:sz w:val="28"/>
    </w:rPr>
  </w:style>
  <w:style w:type="paragraph" w:customStyle="1" w:styleId="InChapter">
    <w:name w:val="InChapter"/>
    <w:basedOn w:val="Heading3"/>
    <w:rsid w:val="00FF24EF"/>
    <w:pPr>
      <w:spacing w:after="240"/>
      <w:outlineLvl w:val="9"/>
    </w:pPr>
    <w:rPr>
      <w:noProof/>
    </w:rPr>
  </w:style>
  <w:style w:type="paragraph" w:styleId="Index2">
    <w:name w:val="index 2"/>
    <w:basedOn w:val="Normal"/>
    <w:next w:val="Normal"/>
    <w:semiHidden/>
    <w:rsid w:val="00FF24EF"/>
    <w:pPr>
      <w:tabs>
        <w:tab w:val="right" w:pos="4176"/>
      </w:tabs>
      <w:ind w:left="568" w:hanging="284"/>
    </w:pPr>
    <w:rPr>
      <w:rFonts w:ascii="Garamond" w:hAnsi="Garamond"/>
    </w:rPr>
  </w:style>
  <w:style w:type="paragraph" w:customStyle="1" w:styleId="Byline">
    <w:name w:val="Byline"/>
    <w:rsid w:val="00FF2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4EF"/>
    <w:pPr>
      <w:tabs>
        <w:tab w:val="clear" w:pos="3600"/>
        <w:tab w:val="clear" w:pos="3958"/>
      </w:tabs>
      <w:jc w:val="right"/>
    </w:pPr>
  </w:style>
  <w:style w:type="paragraph" w:styleId="Caption">
    <w:name w:val="caption"/>
    <w:basedOn w:val="BodyText"/>
    <w:next w:val="Normal"/>
    <w:qFormat/>
    <w:rsid w:val="00FF24EF"/>
    <w:pPr>
      <w:framePr w:w="2268" w:hSpace="181" w:vSpace="181" w:wrap="around" w:vAnchor="text" w:hAnchor="page" w:x="1135" w:y="285" w:anchorLock="1"/>
    </w:pPr>
    <w:rPr>
      <w:i/>
    </w:rPr>
  </w:style>
  <w:style w:type="paragraph" w:customStyle="1" w:styleId="MiniTOCTitle">
    <w:name w:val="MiniTOCTitle"/>
    <w:basedOn w:val="Heading4"/>
    <w:rsid w:val="00FF24EF"/>
    <w:pPr>
      <w:spacing w:before="240"/>
      <w:outlineLvl w:val="9"/>
    </w:pPr>
    <w:rPr>
      <w:noProof/>
      <w:sz w:val="24"/>
    </w:rPr>
  </w:style>
  <w:style w:type="paragraph" w:customStyle="1" w:styleId="MiniTOCItem">
    <w:name w:val="MiniTOCItem"/>
    <w:basedOn w:val="ListBullet"/>
    <w:rsid w:val="00FF24EF"/>
    <w:pPr>
      <w:numPr>
        <w:numId w:val="0"/>
      </w:numPr>
      <w:tabs>
        <w:tab w:val="right" w:leader="dot" w:pos="6521"/>
      </w:tabs>
      <w:spacing w:before="0" w:after="0"/>
    </w:pPr>
  </w:style>
  <w:style w:type="paragraph" w:customStyle="1" w:styleId="TOFTitle">
    <w:name w:val="TOFTitle"/>
    <w:basedOn w:val="TOCTitle"/>
    <w:rsid w:val="00FF24EF"/>
  </w:style>
  <w:style w:type="paragraph" w:styleId="TableofFigures">
    <w:name w:val="table of figures"/>
    <w:basedOn w:val="Normal"/>
    <w:next w:val="Normal"/>
    <w:semiHidden/>
    <w:rsid w:val="00FF24EF"/>
    <w:pPr>
      <w:tabs>
        <w:tab w:val="right" w:leader="dot" w:pos="9072"/>
      </w:tabs>
      <w:ind w:left="970" w:hanging="403"/>
    </w:pPr>
    <w:rPr>
      <w:rFonts w:ascii="Times New Roman" w:hAnsi="Times New Roman"/>
      <w:b/>
    </w:rPr>
  </w:style>
  <w:style w:type="paragraph" w:styleId="ListNumber">
    <w:name w:val="List Number"/>
    <w:basedOn w:val="List"/>
    <w:rsid w:val="00FF24EF"/>
    <w:pPr>
      <w:numPr>
        <w:numId w:val="12"/>
      </w:numPr>
    </w:pPr>
  </w:style>
  <w:style w:type="character" w:customStyle="1" w:styleId="WingdingSymbols">
    <w:name w:val="Wingding Symbols"/>
    <w:rsid w:val="00FF24EF"/>
    <w:rPr>
      <w:rFonts w:ascii="Wingdings" w:hAnsi="Wingdings"/>
    </w:rPr>
  </w:style>
  <w:style w:type="paragraph" w:customStyle="1" w:styleId="TableHeading">
    <w:name w:val="Table Heading"/>
    <w:basedOn w:val="HeadingBase"/>
    <w:rsid w:val="00FF24EF"/>
    <w:pPr>
      <w:keepLines/>
      <w:pBdr>
        <w:bottom w:val="single" w:sz="6" w:space="1" w:color="918585"/>
      </w:pBdr>
      <w:spacing w:before="240"/>
    </w:pPr>
  </w:style>
  <w:style w:type="character" w:customStyle="1" w:styleId="HotSpot">
    <w:name w:val="HotSpot"/>
    <w:rsid w:val="00FF24EF"/>
    <w:rPr>
      <w:color w:val="0033CC"/>
      <w:u w:val="none"/>
    </w:rPr>
  </w:style>
  <w:style w:type="paragraph" w:customStyle="1" w:styleId="BodyTextRight">
    <w:name w:val="Body Text Right"/>
    <w:basedOn w:val="BodyText"/>
    <w:rsid w:val="00FF24EF"/>
    <w:pPr>
      <w:spacing w:before="0" w:after="0"/>
      <w:jc w:val="right"/>
    </w:pPr>
  </w:style>
  <w:style w:type="paragraph" w:styleId="Index3">
    <w:name w:val="index 3"/>
    <w:basedOn w:val="ListNumber2"/>
    <w:next w:val="Normal"/>
    <w:semiHidden/>
    <w:rsid w:val="00FF24EF"/>
    <w:pPr>
      <w:numPr>
        <w:numId w:val="0"/>
      </w:numPr>
      <w:tabs>
        <w:tab w:val="right" w:leader="dot" w:pos="4176"/>
      </w:tabs>
    </w:pPr>
  </w:style>
  <w:style w:type="paragraph" w:styleId="ListNumber2">
    <w:name w:val="List Number 2"/>
    <w:basedOn w:val="List2"/>
    <w:rsid w:val="00FF24EF"/>
    <w:pPr>
      <w:numPr>
        <w:numId w:val="11"/>
      </w:numPr>
      <w:tabs>
        <w:tab w:val="clear" w:pos="1060"/>
      </w:tabs>
    </w:pPr>
  </w:style>
  <w:style w:type="paragraph" w:customStyle="1" w:styleId="MarginNote">
    <w:name w:val="Margin Note"/>
    <w:basedOn w:val="BodyText"/>
    <w:rsid w:val="00FF2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4EF"/>
    <w:rPr>
      <w:sz w:val="32"/>
    </w:rPr>
  </w:style>
  <w:style w:type="paragraph" w:customStyle="1" w:styleId="HeadingProcedure">
    <w:name w:val="Heading Procedure"/>
    <w:basedOn w:val="HeadingBase"/>
    <w:next w:val="Normal"/>
    <w:rsid w:val="00FF24EF"/>
    <w:pPr>
      <w:tabs>
        <w:tab w:val="left" w:pos="0"/>
      </w:tabs>
      <w:spacing w:before="120" w:after="60"/>
    </w:pPr>
    <w:rPr>
      <w:i/>
      <w:color w:val="918585"/>
      <w:sz w:val="22"/>
    </w:rPr>
  </w:style>
  <w:style w:type="paragraph" w:customStyle="1" w:styleId="TableBodyText">
    <w:name w:val="Table Body Text"/>
    <w:basedOn w:val="BodyText"/>
    <w:rsid w:val="00FF24EF"/>
    <w:pPr>
      <w:spacing w:before="60" w:after="60"/>
    </w:pPr>
  </w:style>
  <w:style w:type="paragraph" w:styleId="ListContinue">
    <w:name w:val="List Continue"/>
    <w:basedOn w:val="List"/>
    <w:rsid w:val="00FF24EF"/>
    <w:pPr>
      <w:ind w:firstLine="0"/>
    </w:pPr>
  </w:style>
  <w:style w:type="paragraph" w:customStyle="1" w:styleId="ListNote">
    <w:name w:val="List Note"/>
    <w:basedOn w:val="List"/>
    <w:rsid w:val="00FF24EF"/>
    <w:pPr>
      <w:pBdr>
        <w:top w:val="single" w:sz="6" w:space="2" w:color="918585"/>
        <w:bottom w:val="single" w:sz="6" w:space="2" w:color="918585"/>
      </w:pBdr>
      <w:tabs>
        <w:tab w:val="left" w:pos="1021"/>
      </w:tabs>
      <w:ind w:firstLine="0"/>
    </w:pPr>
  </w:style>
  <w:style w:type="paragraph" w:customStyle="1" w:styleId="Warning">
    <w:name w:val="Warning"/>
    <w:basedOn w:val="BodyText"/>
    <w:rsid w:val="00FF24EF"/>
    <w:pPr>
      <w:shd w:val="clear" w:color="auto" w:fill="D9D9D9"/>
      <w:tabs>
        <w:tab w:val="left" w:pos="992"/>
      </w:tabs>
      <w:ind w:left="119" w:right="119"/>
    </w:pPr>
    <w:rPr>
      <w:sz w:val="20"/>
    </w:rPr>
  </w:style>
  <w:style w:type="paragraph" w:customStyle="1" w:styleId="MarginIcons">
    <w:name w:val="Margin Icons"/>
    <w:basedOn w:val="BodyText"/>
    <w:rsid w:val="00FF2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4EF"/>
    <w:rPr>
      <w:rFonts w:ascii="Courier New" w:hAnsi="Courier New"/>
    </w:rPr>
  </w:style>
  <w:style w:type="paragraph" w:customStyle="1" w:styleId="NoteBullet">
    <w:name w:val="Note Bullet"/>
    <w:basedOn w:val="Note"/>
    <w:rsid w:val="00FF24EF"/>
    <w:pPr>
      <w:tabs>
        <w:tab w:val="clear" w:pos="680"/>
      </w:tabs>
      <w:spacing w:before="60" w:after="60"/>
    </w:pPr>
  </w:style>
  <w:style w:type="paragraph" w:customStyle="1" w:styleId="SubHeading2">
    <w:name w:val="SubHeading2"/>
    <w:basedOn w:val="HeadingBase"/>
    <w:rsid w:val="00FF24EF"/>
    <w:pPr>
      <w:spacing w:before="240" w:after="60"/>
    </w:pPr>
    <w:rPr>
      <w:sz w:val="20"/>
    </w:rPr>
  </w:style>
  <w:style w:type="paragraph" w:customStyle="1" w:styleId="SubHeading1">
    <w:name w:val="SubHeading1"/>
    <w:basedOn w:val="HeadingBase"/>
    <w:rsid w:val="00FF24EF"/>
    <w:pPr>
      <w:spacing w:before="240" w:after="60"/>
    </w:pPr>
    <w:rPr>
      <w:color w:val="918585"/>
      <w:sz w:val="22"/>
    </w:rPr>
  </w:style>
  <w:style w:type="paragraph" w:customStyle="1" w:styleId="SideHeading">
    <w:name w:val="Side Heading"/>
    <w:basedOn w:val="HeadingBase"/>
    <w:rsid w:val="00FF2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4EF"/>
    <w:pPr>
      <w:numPr>
        <w:numId w:val="13"/>
      </w:numPr>
    </w:pPr>
  </w:style>
  <w:style w:type="paragraph" w:styleId="PlainText">
    <w:name w:val="Plain Text"/>
    <w:basedOn w:val="Normal"/>
    <w:link w:val="PlainTextChar"/>
    <w:rsid w:val="00FF24EF"/>
    <w:rPr>
      <w:sz w:val="20"/>
    </w:rPr>
  </w:style>
  <w:style w:type="character" w:customStyle="1" w:styleId="PlainTextChar">
    <w:name w:val="Plain Text Char"/>
    <w:basedOn w:val="DefaultParagraphFont"/>
    <w:link w:val="PlainText"/>
    <w:rsid w:val="00FF24EF"/>
    <w:rPr>
      <w:rFonts w:ascii="Courier New" w:eastAsia="Times New Roman" w:hAnsi="Courier New" w:cs="Times New Roman"/>
      <w:sz w:val="20"/>
      <w:szCs w:val="20"/>
      <w:lang w:eastAsia="en-US"/>
    </w:rPr>
  </w:style>
  <w:style w:type="character" w:customStyle="1" w:styleId="MenuOption">
    <w:name w:val="Menu Option"/>
    <w:basedOn w:val="DefaultParagraphFont"/>
    <w:rsid w:val="00FF24EF"/>
    <w:rPr>
      <w:b/>
      <w:smallCaps/>
    </w:rPr>
  </w:style>
  <w:style w:type="paragraph" w:customStyle="1" w:styleId="TableListNumber">
    <w:name w:val="Table List Number"/>
    <w:basedOn w:val="ListNumber"/>
    <w:rsid w:val="00FF24EF"/>
    <w:pPr>
      <w:numPr>
        <w:numId w:val="0"/>
      </w:numPr>
    </w:pPr>
  </w:style>
  <w:style w:type="paragraph" w:styleId="TOC4">
    <w:name w:val="toc 4"/>
    <w:basedOn w:val="TOCBase"/>
    <w:next w:val="Normal"/>
    <w:semiHidden/>
    <w:rsid w:val="00FF24EF"/>
    <w:pPr>
      <w:tabs>
        <w:tab w:val="right" w:leader="dot" w:pos="9071"/>
      </w:tabs>
      <w:ind w:left="1701"/>
    </w:pPr>
  </w:style>
  <w:style w:type="paragraph" w:customStyle="1" w:styleId="ListAlpha">
    <w:name w:val="List Alpha"/>
    <w:basedOn w:val="List"/>
    <w:rsid w:val="00FF24EF"/>
    <w:pPr>
      <w:numPr>
        <w:numId w:val="10"/>
      </w:numPr>
    </w:pPr>
  </w:style>
  <w:style w:type="paragraph" w:customStyle="1" w:styleId="ListAlpha2">
    <w:name w:val="List Alpha 2"/>
    <w:basedOn w:val="List2"/>
    <w:rsid w:val="00FF24EF"/>
    <w:pPr>
      <w:numPr>
        <w:numId w:val="9"/>
      </w:numPr>
    </w:pPr>
  </w:style>
  <w:style w:type="paragraph" w:styleId="List2">
    <w:name w:val="List 2"/>
    <w:basedOn w:val="BodyText"/>
    <w:rsid w:val="00FF24EF"/>
    <w:pPr>
      <w:tabs>
        <w:tab w:val="left" w:pos="680"/>
      </w:tabs>
      <w:spacing w:before="60" w:after="60"/>
      <w:ind w:left="680" w:hanging="340"/>
    </w:pPr>
  </w:style>
  <w:style w:type="paragraph" w:styleId="List3">
    <w:name w:val="List 3"/>
    <w:basedOn w:val="BodyText"/>
    <w:rsid w:val="00FF24EF"/>
    <w:pPr>
      <w:tabs>
        <w:tab w:val="left" w:pos="1021"/>
      </w:tabs>
      <w:spacing w:before="60" w:after="60"/>
      <w:ind w:left="1020" w:hanging="340"/>
    </w:pPr>
  </w:style>
  <w:style w:type="paragraph" w:styleId="List4">
    <w:name w:val="List 4"/>
    <w:basedOn w:val="BodyText"/>
    <w:rsid w:val="00FF24EF"/>
    <w:pPr>
      <w:tabs>
        <w:tab w:val="left" w:pos="1361"/>
      </w:tabs>
      <w:spacing w:before="60" w:after="60"/>
      <w:ind w:left="1361" w:hanging="340"/>
    </w:pPr>
  </w:style>
  <w:style w:type="paragraph" w:styleId="List5">
    <w:name w:val="List 5"/>
    <w:basedOn w:val="BodyText"/>
    <w:rsid w:val="00FF24EF"/>
    <w:pPr>
      <w:tabs>
        <w:tab w:val="left" w:pos="1701"/>
      </w:tabs>
      <w:spacing w:before="60" w:after="60"/>
      <w:ind w:left="1701" w:hanging="340"/>
    </w:pPr>
  </w:style>
  <w:style w:type="paragraph" w:styleId="ListBullet4">
    <w:name w:val="List Bullet 4"/>
    <w:basedOn w:val="List4"/>
    <w:rsid w:val="00FF24EF"/>
    <w:pPr>
      <w:numPr>
        <w:numId w:val="4"/>
      </w:numPr>
    </w:pPr>
  </w:style>
  <w:style w:type="paragraph" w:styleId="ListBullet5">
    <w:name w:val="List Bullet 5"/>
    <w:basedOn w:val="List5"/>
    <w:rsid w:val="00FF24EF"/>
    <w:pPr>
      <w:numPr>
        <w:numId w:val="5"/>
      </w:numPr>
    </w:pPr>
  </w:style>
  <w:style w:type="paragraph" w:styleId="ListContinue2">
    <w:name w:val="List Continue 2"/>
    <w:basedOn w:val="List2"/>
    <w:rsid w:val="00FF24EF"/>
    <w:pPr>
      <w:ind w:firstLine="0"/>
    </w:pPr>
  </w:style>
  <w:style w:type="paragraph" w:styleId="ListContinue3">
    <w:name w:val="List Continue 3"/>
    <w:basedOn w:val="List3"/>
    <w:rsid w:val="00FF24EF"/>
    <w:pPr>
      <w:ind w:left="1021" w:firstLine="0"/>
    </w:pPr>
  </w:style>
  <w:style w:type="paragraph" w:styleId="ListContinue4">
    <w:name w:val="List Continue 4"/>
    <w:basedOn w:val="List4"/>
    <w:rsid w:val="00FF24EF"/>
    <w:pPr>
      <w:ind w:firstLine="0"/>
    </w:pPr>
  </w:style>
  <w:style w:type="paragraph" w:styleId="ListContinue5">
    <w:name w:val="List Continue 5"/>
    <w:basedOn w:val="List5"/>
    <w:rsid w:val="00FF24EF"/>
    <w:pPr>
      <w:ind w:firstLine="0"/>
    </w:pPr>
  </w:style>
  <w:style w:type="paragraph" w:styleId="ListNumber3">
    <w:name w:val="List Number 3"/>
    <w:basedOn w:val="List3"/>
    <w:rsid w:val="00FF24EF"/>
    <w:pPr>
      <w:numPr>
        <w:numId w:val="6"/>
      </w:numPr>
    </w:pPr>
  </w:style>
  <w:style w:type="paragraph" w:styleId="ListNumber4">
    <w:name w:val="List Number 4"/>
    <w:basedOn w:val="List4"/>
    <w:rsid w:val="00FF24EF"/>
    <w:pPr>
      <w:numPr>
        <w:numId w:val="7"/>
      </w:numPr>
    </w:pPr>
  </w:style>
  <w:style w:type="paragraph" w:styleId="ListNumber5">
    <w:name w:val="List Number 5"/>
    <w:basedOn w:val="List5"/>
    <w:rsid w:val="00FF24EF"/>
    <w:pPr>
      <w:numPr>
        <w:numId w:val="8"/>
      </w:numPr>
    </w:pPr>
  </w:style>
  <w:style w:type="paragraph" w:styleId="BlockText">
    <w:name w:val="Block Text"/>
    <w:basedOn w:val="Normal"/>
    <w:rsid w:val="00FF24EF"/>
    <w:pPr>
      <w:spacing w:after="120"/>
      <w:ind w:left="1440" w:right="1440"/>
    </w:pPr>
  </w:style>
  <w:style w:type="character" w:customStyle="1" w:styleId="Subscript">
    <w:name w:val="Subscript"/>
    <w:basedOn w:val="DefaultParagraphFont"/>
    <w:rsid w:val="00FF24EF"/>
    <w:rPr>
      <w:sz w:val="16"/>
      <w:vertAlign w:val="subscript"/>
    </w:rPr>
  </w:style>
  <w:style w:type="character" w:customStyle="1" w:styleId="Superscript">
    <w:name w:val="Superscript"/>
    <w:basedOn w:val="DefaultParagraphFont"/>
    <w:rsid w:val="00FF24EF"/>
    <w:rPr>
      <w:sz w:val="16"/>
      <w:vertAlign w:val="superscript"/>
    </w:rPr>
  </w:style>
  <w:style w:type="character" w:customStyle="1" w:styleId="Symbols">
    <w:name w:val="Symbols"/>
    <w:basedOn w:val="DefaultParagraphFont"/>
    <w:rsid w:val="00FF24EF"/>
    <w:rPr>
      <w:rFonts w:ascii="Symbol" w:hAnsi="Symbol"/>
    </w:rPr>
  </w:style>
  <w:style w:type="character" w:customStyle="1" w:styleId="MenuOptions">
    <w:name w:val="Menu Options"/>
    <w:basedOn w:val="DefaultParagraphFont"/>
    <w:rsid w:val="00FF24EF"/>
    <w:rPr>
      <w:rFonts w:ascii="Arial Narrow" w:hAnsi="Arial Narrow"/>
      <w:smallCaps/>
    </w:rPr>
  </w:style>
  <w:style w:type="character" w:customStyle="1" w:styleId="Buttons">
    <w:name w:val="Buttons"/>
    <w:basedOn w:val="DefaultParagraphFont"/>
    <w:rsid w:val="00FF24EF"/>
    <w:rPr>
      <w:b/>
    </w:rPr>
  </w:style>
  <w:style w:type="character" w:customStyle="1" w:styleId="Underlined">
    <w:name w:val="Underlined"/>
    <w:basedOn w:val="DefaultParagraphFont"/>
    <w:rsid w:val="00FF24EF"/>
    <w:rPr>
      <w:u w:val="single"/>
    </w:rPr>
  </w:style>
  <w:style w:type="paragraph" w:customStyle="1" w:styleId="TableBodyTextRight">
    <w:name w:val="Table Body Text Right"/>
    <w:basedOn w:val="TableBodyText"/>
    <w:rsid w:val="00FF24EF"/>
    <w:pPr>
      <w:widowControl w:val="0"/>
      <w:autoSpaceDE w:val="0"/>
      <w:autoSpaceDN w:val="0"/>
      <w:adjustRightInd w:val="0"/>
      <w:jc w:val="right"/>
    </w:pPr>
    <w:rPr>
      <w:rFonts w:cs="Arial"/>
      <w:szCs w:val="18"/>
    </w:rPr>
  </w:style>
  <w:style w:type="paragraph" w:customStyle="1" w:styleId="CopyrightText">
    <w:name w:val="Copyright Text"/>
    <w:basedOn w:val="BodyText"/>
    <w:rsid w:val="00FF24EF"/>
    <w:rPr>
      <w:sz w:val="18"/>
    </w:rPr>
  </w:style>
  <w:style w:type="paragraph" w:customStyle="1" w:styleId="BodySmallRight">
    <w:name w:val="Body Small Right"/>
    <w:basedOn w:val="BodyTextRight"/>
    <w:rsid w:val="00FF24EF"/>
    <w:rPr>
      <w:sz w:val="18"/>
      <w:szCs w:val="18"/>
    </w:rPr>
  </w:style>
  <w:style w:type="paragraph" w:customStyle="1" w:styleId="MarginEdition">
    <w:name w:val="Margin Edition"/>
    <w:basedOn w:val="MarginNote"/>
    <w:rsid w:val="00FF24EF"/>
    <w:pPr>
      <w:spacing w:before="0" w:after="0"/>
    </w:pPr>
    <w:rPr>
      <w:rFonts w:ascii="Times New Roman" w:hAnsi="Times New Roman"/>
      <w:color w:val="999999"/>
    </w:rPr>
  </w:style>
  <w:style w:type="paragraph" w:customStyle="1" w:styleId="Spacer">
    <w:name w:val="Spacer"/>
    <w:basedOn w:val="Normal"/>
    <w:rsid w:val="00FF24EF"/>
    <w:rPr>
      <w:sz w:val="2"/>
      <w:szCs w:val="2"/>
    </w:rPr>
  </w:style>
  <w:style w:type="character" w:customStyle="1" w:styleId="Small">
    <w:name w:val="Small"/>
    <w:basedOn w:val="DefaultParagraphFont"/>
    <w:rsid w:val="00FF24EF"/>
    <w:rPr>
      <w:sz w:val="16"/>
    </w:rPr>
  </w:style>
  <w:style w:type="paragraph" w:customStyle="1" w:styleId="WideTable">
    <w:name w:val="Wide Table"/>
    <w:basedOn w:val="Normal"/>
    <w:rsid w:val="00FF24EF"/>
    <w:pPr>
      <w:ind w:left="-1418"/>
    </w:pPr>
    <w:rPr>
      <w:sz w:val="2"/>
      <w:szCs w:val="2"/>
    </w:rPr>
  </w:style>
  <w:style w:type="character" w:styleId="PageNumber">
    <w:name w:val="page number"/>
    <w:basedOn w:val="DefaultParagraphFont"/>
    <w:rsid w:val="00FF24EF"/>
  </w:style>
  <w:style w:type="paragraph" w:styleId="Quote">
    <w:name w:val="Quote"/>
    <w:basedOn w:val="Heading1"/>
    <w:link w:val="QuoteChar"/>
    <w:qFormat/>
    <w:rsid w:val="00FF24EF"/>
    <w:rPr>
      <w:b w:val="0"/>
      <w:sz w:val="72"/>
      <w:szCs w:val="72"/>
      <w:lang w:val="en-NZ"/>
    </w:rPr>
  </w:style>
  <w:style w:type="character" w:customStyle="1" w:styleId="QuoteChar">
    <w:name w:val="Quote Char"/>
    <w:basedOn w:val="DefaultParagraphFont"/>
    <w:link w:val="Quote"/>
    <w:rsid w:val="00FF2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4EF"/>
    <w:pPr>
      <w:pageBreakBefore/>
    </w:pPr>
  </w:style>
  <w:style w:type="paragraph" w:customStyle="1" w:styleId="Border">
    <w:name w:val="Border"/>
    <w:basedOn w:val="Normal"/>
    <w:qFormat/>
    <w:rsid w:val="00FF2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4EF"/>
    <w:rPr>
      <w:b/>
      <w:bCs/>
      <w:i/>
      <w:iCs/>
      <w:color w:val="auto"/>
    </w:rPr>
  </w:style>
  <w:style w:type="paragraph" w:styleId="IntenseQuote">
    <w:name w:val="Intense Quote"/>
    <w:basedOn w:val="Normal"/>
    <w:next w:val="Normal"/>
    <w:link w:val="IntenseQuoteChar"/>
    <w:uiPriority w:val="30"/>
    <w:qFormat/>
    <w:rsid w:val="00FF2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4EF"/>
    <w:rPr>
      <w:smallCaps/>
      <w:color w:val="auto"/>
      <w:u w:val="single"/>
    </w:rPr>
  </w:style>
  <w:style w:type="character" w:styleId="IntenseReference">
    <w:name w:val="Intense Reference"/>
    <w:basedOn w:val="DefaultParagraphFont"/>
    <w:uiPriority w:val="32"/>
    <w:qFormat/>
    <w:rsid w:val="00FF24EF"/>
    <w:rPr>
      <w:b/>
      <w:bCs/>
      <w:smallCaps/>
      <w:color w:val="auto"/>
      <w:spacing w:val="5"/>
      <w:u w:val="single"/>
    </w:rPr>
  </w:style>
  <w:style w:type="paragraph" w:customStyle="1" w:styleId="2ColumnHeading">
    <w:name w:val="2Column Heading"/>
    <w:basedOn w:val="BodyText"/>
    <w:qFormat/>
    <w:rsid w:val="00FF24EF"/>
    <w:pPr>
      <w:spacing w:after="60"/>
      <w:ind w:left="-2268"/>
    </w:pPr>
    <w:rPr>
      <w:b/>
    </w:rPr>
  </w:style>
  <w:style w:type="paragraph" w:customStyle="1" w:styleId="Heading1TOC">
    <w:name w:val="Heading1 TOC"/>
    <w:basedOn w:val="Normal"/>
    <w:qFormat/>
    <w:rsid w:val="00FF24EF"/>
    <w:pPr>
      <w:spacing w:before="240" w:after="120"/>
    </w:pPr>
    <w:rPr>
      <w:rFonts w:ascii="Times New Roman" w:hAnsi="Times New Roman"/>
      <w:b/>
      <w:sz w:val="32"/>
    </w:rPr>
  </w:style>
  <w:style w:type="paragraph" w:customStyle="1" w:styleId="Heading2TOC">
    <w:name w:val="Heading2 TOC"/>
    <w:basedOn w:val="Normal"/>
    <w:qFormat/>
    <w:rsid w:val="00FF24EF"/>
    <w:pPr>
      <w:spacing w:before="240" w:after="60"/>
    </w:pPr>
    <w:rPr>
      <w:rFonts w:ascii="Times New Roman" w:hAnsi="Times New Roman"/>
      <w:b/>
      <w:sz w:val="28"/>
    </w:rPr>
  </w:style>
  <w:style w:type="character" w:customStyle="1" w:styleId="Underline">
    <w:name w:val="Underline"/>
    <w:basedOn w:val="DefaultParagraphFont"/>
    <w:qFormat/>
    <w:rsid w:val="00FF24EF"/>
    <w:rPr>
      <w:u w:val="single"/>
    </w:rPr>
  </w:style>
  <w:style w:type="character" w:customStyle="1" w:styleId="BoldandItalics">
    <w:name w:val="Bold and Italics"/>
    <w:qFormat/>
    <w:rsid w:val="00FF24EF"/>
    <w:rPr>
      <w:b/>
      <w:i/>
      <w:u w:val="none"/>
    </w:rPr>
  </w:style>
  <w:style w:type="paragraph" w:styleId="BalloonText">
    <w:name w:val="Balloon Text"/>
    <w:basedOn w:val="Normal"/>
    <w:link w:val="BalloonTextChar"/>
    <w:rsid w:val="00FF24EF"/>
    <w:rPr>
      <w:rFonts w:ascii="Tahoma" w:hAnsi="Tahoma" w:cs="Tahoma"/>
      <w:sz w:val="16"/>
      <w:szCs w:val="16"/>
    </w:rPr>
  </w:style>
  <w:style w:type="character" w:customStyle="1" w:styleId="BalloonTextChar">
    <w:name w:val="Balloon Text Char"/>
    <w:basedOn w:val="DefaultParagraphFont"/>
    <w:link w:val="BalloonText"/>
    <w:rsid w:val="00FF2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4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4EF"/>
    <w:rPr>
      <w:b/>
      <w:color w:val="660033"/>
      <w:spacing w:val="0"/>
    </w:rPr>
  </w:style>
  <w:style w:type="paragraph" w:customStyle="1" w:styleId="Nameditemlist">
    <w:name w:val="Named item list"/>
    <w:basedOn w:val="BodyText"/>
    <w:qFormat/>
    <w:rsid w:val="00FF24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1517</Words>
  <Characters>9828</Characters>
  <Application>Microsoft Office Word</Application>
  <DocSecurity>0</DocSecurity>
  <Lines>363</Lines>
  <Paragraphs>206</Paragraphs>
  <ScaleCrop>false</ScaleCrop>
  <Company>Author-it Software Corporation Ltd.</Company>
  <LinksUpToDate>false</LinksUpToDate>
  <CharactersWithSpaces>11282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HLTHOM601C Apply homeopathic diagnostic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2012-10-05T06:11:00Z</dcterms:created>
  <dcterms:modified xsi:type="dcterms:W3CDTF">2012-10-05T06:11:00Z</dcterms:modified>
</cp:coreProperties>
</file>