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CC2" w:rsidP="004A5CC2">
      <w:pPr>
        <w:pStyle w:val="Title"/>
      </w:pPr>
      <w:r>
        <w:fldChar w:fldCharType="begin"/>
      </w:r>
      <w:r>
        <w:instrText xml:space="preserve"> TITLE   \* MERGEFORMAT </w:instrText>
      </w:r>
      <w:r>
        <w:fldChar w:fldCharType="separate"/>
      </w:r>
      <w:r>
        <w:t>HLTEN521B Determine the eligibility of aphoresis donors</w:t>
      </w:r>
      <w:r>
        <w:fldChar w:fldCharType="end"/>
      </w:r>
    </w:p>
    <w:p w:rsidR="004A5CC2" w:rsidP="004A5CC2">
      <w:pPr>
        <w:pStyle w:val="Version"/>
        <w:sectPr w:rsidSect="009A36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66D" w:rsidP="009A366D">
      <w:pPr>
        <w:pStyle w:val="SuperHeading"/>
      </w:pPr>
      <w:r w:rsidRPr="009A366D">
        <w:t>HLTEN521B Determine the eligibility of aphoresis donors</w:t>
      </w:r>
    </w:p>
    <w:p w:rsidR="00000000" w:rsidRPr="009A366D" w:rsidP="009A366D">
      <w:pPr>
        <w:pStyle w:val="Heading1"/>
      </w:pPr>
      <w:bookmarkStart w:id="1" w:name="O_271173"/>
      <w:bookmarkEnd w:id="1"/>
      <w:r w:rsidRPr="009A366D">
        <w:t>Modification History</w:t>
      </w:r>
    </w:p>
    <w:p w:rsidR="00000000" w:rsidRPr="009A366D" w:rsidP="009A366D">
      <w:pPr>
        <w:pStyle w:val="BodyText"/>
      </w:pPr>
      <w:r w:rsidRPr="009A366D">
        <w:t>Not Applicable</w:t>
      </w:r>
    </w:p>
    <w:p w:rsidR="00000000" w:rsidRPr="009A366D" w:rsidP="009A366D">
      <w:pPr>
        <w:pStyle w:val="AllowPageBreak"/>
      </w:pPr>
    </w:p>
    <w:p w:rsidR="00000000" w:rsidRPr="009A366D" w:rsidP="009A366D">
      <w:pPr>
        <w:pStyle w:val="Heading1"/>
      </w:pPr>
      <w:bookmarkStart w:id="2" w:name="O_205858"/>
      <w:bookmarkEnd w:id="2"/>
      <w:r w:rsidRPr="009A366D">
        <w:t>Unit Descriptor</w:t>
      </w:r>
    </w:p>
    <w:tbl>
      <w:tblPr>
        <w:tblW w:w="0" w:type="auto"/>
        <w:tblLayout w:type="fixed"/>
        <w:tblCellMar>
          <w:left w:w="62" w:type="dxa"/>
          <w:right w:w="62" w:type="dxa"/>
        </w:tblCellMar>
        <w:tblLook w:val="0000"/>
      </w:tblPr>
      <w:tblGrid>
        <w:gridCol w:w="3339"/>
        <w:gridCol w:w="5217"/>
      </w:tblGrid>
      <w:tr w:rsidTr="004A5CC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This unit of competency describes the skills and knowledge required to determine the e</w:t>
            </w:r>
            <w:r w:rsidRPr="009A366D">
              <w:t>ligibility of donors</w:t>
            </w:r>
          </w:p>
        </w:tc>
      </w:tr>
    </w:tbl>
    <w:p w:rsidR="004A5CC2" w:rsidP="009A366D">
      <w:pPr>
        <w:pStyle w:val="BodyText"/>
      </w:pPr>
    </w:p>
    <w:p w:rsidR="004A5CC2" w:rsidP="009A366D">
      <w:pPr>
        <w:pStyle w:val="BodyText"/>
      </w:pPr>
    </w:p>
    <w:p w:rsidR="00000000" w:rsidRPr="009A366D" w:rsidP="009A366D">
      <w:pPr>
        <w:pStyle w:val="Heading1"/>
      </w:pPr>
      <w:bookmarkStart w:id="3" w:name="O_205861"/>
      <w:bookmarkEnd w:id="3"/>
      <w:r w:rsidRPr="009A366D">
        <w:t>Application of the Unit</w:t>
      </w:r>
    </w:p>
    <w:tbl>
      <w:tblPr>
        <w:tblW w:w="0" w:type="auto"/>
        <w:tblLayout w:type="fixed"/>
        <w:tblCellMar>
          <w:left w:w="62" w:type="dxa"/>
          <w:right w:w="62" w:type="dxa"/>
        </w:tblCellMar>
        <w:tblLook w:val="0000"/>
      </w:tblPr>
      <w:tblGrid>
        <w:gridCol w:w="3329"/>
        <w:gridCol w:w="5227"/>
      </w:tblGrid>
      <w:tr w:rsidTr="004A5CC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Aphoresis is the process of 'skimming off' the stem cells from blood to be used for transplant or stored in frozen form until needed</w:t>
            </w:r>
          </w:p>
          <w:p w:rsidR="00000000" w:rsidRPr="009A366D" w:rsidP="009A366D">
            <w:pPr>
              <w:pStyle w:val="BodyText"/>
            </w:pPr>
            <w:r w:rsidRPr="009A366D">
              <w:t>This unit of competency applies to aphoresis donations and all types of donation session. Workers are expected to deal with new, lapsed and regular donors</w:t>
            </w:r>
          </w:p>
          <w:p w:rsidR="00000000" w:rsidRPr="009A366D" w:rsidP="009A366D">
            <w:pPr>
              <w:pStyle w:val="BodyText"/>
            </w:pPr>
            <w:r w:rsidRPr="009A366D">
              <w:t>Enrolled/Division 2 nursing work is to be carried out in consultation/collaboration with registered n</w:t>
            </w:r>
            <w:r w:rsidRPr="009A366D">
              <w:t>urses and under direct or indirect supervisory arrangements in line with jurisdictional regulatory requirements</w:t>
            </w:r>
          </w:p>
        </w:tc>
      </w:tr>
    </w:tbl>
    <w:p w:rsidR="004A5CC2" w:rsidP="009A366D">
      <w:pPr>
        <w:pStyle w:val="BodyText"/>
      </w:pPr>
    </w:p>
    <w:p w:rsidR="004A5CC2" w:rsidP="009A366D">
      <w:pPr>
        <w:pStyle w:val="BodyText"/>
      </w:pPr>
    </w:p>
    <w:p w:rsidR="00000000" w:rsidRPr="009A366D" w:rsidP="009A366D">
      <w:pPr>
        <w:pStyle w:val="Heading1"/>
      </w:pPr>
      <w:bookmarkStart w:id="4" w:name="O_279433"/>
      <w:bookmarkEnd w:id="4"/>
      <w:r w:rsidRPr="009A366D">
        <w:t>Licensing/Regulatory Information</w:t>
      </w:r>
    </w:p>
    <w:p w:rsidR="00000000" w:rsidRPr="009A366D" w:rsidP="009A366D">
      <w:pPr>
        <w:pStyle w:val="BodyText"/>
      </w:pPr>
      <w:r w:rsidRPr="009A366D">
        <w:t>Not Applicable</w:t>
      </w:r>
    </w:p>
    <w:p w:rsidR="00000000" w:rsidRPr="009A366D" w:rsidP="009A366D">
      <w:pPr>
        <w:pStyle w:val="AllowPageBreak"/>
      </w:pPr>
    </w:p>
    <w:p w:rsidR="00000000" w:rsidRPr="009A366D" w:rsidP="009A366D">
      <w:pPr>
        <w:pStyle w:val="Heading1"/>
      </w:pPr>
      <w:bookmarkStart w:id="5" w:name="O_205860"/>
      <w:bookmarkEnd w:id="5"/>
      <w:r w:rsidRPr="009A366D">
        <w:t>Pre-Requisites</w:t>
      </w:r>
    </w:p>
    <w:tbl>
      <w:tblPr>
        <w:tblW w:w="0" w:type="auto"/>
        <w:tblLayout w:type="fixed"/>
        <w:tblCellMar>
          <w:left w:w="62" w:type="dxa"/>
          <w:right w:w="62" w:type="dxa"/>
        </w:tblCellMar>
        <w:tblLook w:val="0000"/>
      </w:tblPr>
      <w:tblGrid>
        <w:gridCol w:w="3214"/>
        <w:gridCol w:w="5342"/>
      </w:tblGrid>
      <w:tr w:rsidTr="004A5CC2">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This unit must be assessed after successful achievement of pre-requisites:</w:t>
            </w:r>
          </w:p>
          <w:p w:rsidR="00000000" w:rsidRPr="009A366D" w:rsidP="009A366D">
            <w:pPr>
              <w:pStyle w:val="ListBullet"/>
            </w:pPr>
            <w:r w:rsidRPr="009A366D">
              <w:t>HLTEN522B Contribute to the registration and assessment of donors</w:t>
            </w:r>
          </w:p>
          <w:p w:rsidR="00000000" w:rsidRPr="009A366D" w:rsidP="009A366D">
            <w:pPr>
              <w:pStyle w:val="ListBullet"/>
            </w:pPr>
            <w:r w:rsidRPr="009A366D">
              <w:t>HLTPAT411C Perform blood collection for specialised testing</w:t>
            </w:r>
          </w:p>
        </w:tc>
      </w:tr>
    </w:tbl>
    <w:p w:rsidR="004A5CC2" w:rsidP="009A366D">
      <w:pPr>
        <w:pStyle w:val="BodyText"/>
      </w:pPr>
    </w:p>
    <w:p w:rsidR="004A5CC2" w:rsidP="009A366D">
      <w:pPr>
        <w:pStyle w:val="BodyText"/>
      </w:pPr>
    </w:p>
    <w:p w:rsidR="00000000" w:rsidRPr="009A366D" w:rsidP="009A366D">
      <w:pPr>
        <w:pStyle w:val="Heading1"/>
      </w:pPr>
      <w:bookmarkStart w:id="6" w:name="O_205859"/>
      <w:bookmarkEnd w:id="6"/>
      <w:r w:rsidRPr="009A366D">
        <w:t>Employability Skills Information</w:t>
      </w:r>
    </w:p>
    <w:tbl>
      <w:tblPr>
        <w:tblW w:w="0" w:type="auto"/>
        <w:tblLayout w:type="fixed"/>
        <w:tblCellMar>
          <w:left w:w="62" w:type="dxa"/>
          <w:right w:w="62" w:type="dxa"/>
        </w:tblCellMar>
        <w:tblLook w:val="0000"/>
      </w:tblPr>
      <w:tblGrid>
        <w:gridCol w:w="3320"/>
        <w:gridCol w:w="5236"/>
      </w:tblGrid>
      <w:tr w:rsidTr="004A5C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E</w:t>
            </w:r>
            <w:r w:rsidRPr="009A366D">
              <w:rPr>
                <w:rStyle w:val="SpecialBold"/>
              </w:rPr>
              <w:t>mployability Skills</w:t>
            </w:r>
          </w:p>
        </w:tc>
        <w:tc>
          <w:tcPr>
            <w:tcW w:w="5236"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This unit contains Employability Skills</w:t>
            </w:r>
          </w:p>
        </w:tc>
      </w:tr>
    </w:tbl>
    <w:p w:rsidR="004A5CC2" w:rsidP="009A366D">
      <w:pPr>
        <w:pStyle w:val="BodyText"/>
      </w:pPr>
    </w:p>
    <w:p w:rsidR="004A5CC2" w:rsidP="009A366D">
      <w:pPr>
        <w:pStyle w:val="BodyText"/>
      </w:pPr>
    </w:p>
    <w:p w:rsidR="00000000" w:rsidRPr="009A366D" w:rsidP="009A366D">
      <w:pPr>
        <w:pStyle w:val="Heading1"/>
      </w:pPr>
      <w:bookmarkStart w:id="7" w:name="O_289219"/>
      <w:bookmarkEnd w:id="7"/>
      <w:r w:rsidRPr="009A366D">
        <w:t>Elements and Performance Criteria Pre-Content</w:t>
      </w:r>
    </w:p>
    <w:tbl>
      <w:tblPr>
        <w:tblW w:w="0" w:type="auto"/>
        <w:tblLayout w:type="fixed"/>
        <w:tblCellMar>
          <w:left w:w="62" w:type="dxa"/>
          <w:right w:w="62" w:type="dxa"/>
        </w:tblCellMar>
        <w:tblLook w:val="0000"/>
      </w:tblPr>
      <w:tblGrid>
        <w:gridCol w:w="3369"/>
        <w:gridCol w:w="5702"/>
      </w:tblGrid>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 xml:space="preserve">The Performance Criteria specify the level of performance required to demonstrate achievement of the Element. Terms in italics are elaborated in the Range Statement. </w:t>
            </w:r>
          </w:p>
        </w:tc>
      </w:tr>
    </w:tbl>
    <w:p w:rsidR="00000000" w:rsidRPr="009A366D" w:rsidP="009A366D">
      <w:pPr>
        <w:pStyle w:val="BodyText"/>
      </w:pPr>
    </w:p>
    <w:p w:rsidR="00000000" w:rsidRPr="009A366D" w:rsidP="009A366D">
      <w:pPr>
        <w:pStyle w:val="AllowPageBreak"/>
      </w:pPr>
    </w:p>
    <w:p w:rsidR="00000000" w:rsidRPr="009A366D" w:rsidP="009A366D">
      <w:pPr>
        <w:pStyle w:val="Heading1"/>
      </w:pPr>
      <w:bookmarkStart w:id="8" w:name="O_235886"/>
      <w:bookmarkEnd w:id="8"/>
      <w:r w:rsidRPr="009A366D">
        <w:t>Elements and Performance Criteria</w:t>
      </w:r>
    </w:p>
    <w:tbl>
      <w:tblPr>
        <w:tblW w:w="0" w:type="auto"/>
        <w:tblLayout w:type="fixed"/>
        <w:tblCellMar>
          <w:left w:w="62" w:type="dxa"/>
          <w:right w:w="62" w:type="dxa"/>
        </w:tblCellMar>
        <w:tblLook w:val="0000"/>
      </w:tblPr>
      <w:tblGrid>
        <w:gridCol w:w="3369"/>
        <w:gridCol w:w="5702"/>
      </w:tblGrid>
      <w:tr w:rsidTr="004A5C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PERFORMANCE CRITERIA</w:t>
            </w: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66D">
            <w:pPr>
              <w:pStyle w:val="List"/>
              <w:rPr>
                <w:lang w:val="en-NZ"/>
              </w:rPr>
            </w:pPr>
            <w:r w:rsidRPr="009A366D">
              <w:t>1.</w:t>
            </w:r>
            <w:r w:rsidRPr="009A366D">
              <w:tab/>
            </w:r>
            <w:r w:rsidRPr="009A366D">
              <w:t>Assess general suitability to donate</w:t>
            </w: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1.1</w:t>
            </w:r>
            <w:r w:rsidRPr="009A366D">
              <w:tab/>
              <w:t>Determine general suitability using regular blood selection criteria</w:t>
            </w:r>
          </w:p>
          <w:p w:rsidR="00000000" w:rsidP="009A366D">
            <w:pPr>
              <w:pStyle w:val="BodyText"/>
              <w:rPr>
                <w:lang w:val="en-NZ"/>
              </w:rPr>
            </w:pPr>
            <w:r w:rsidRPr="009A366D">
              <w:t>1.2</w:t>
            </w:r>
            <w:r w:rsidRPr="009A366D">
              <w:tab/>
              <w:t xml:space="preserve">Check blood donation history to determine </w:t>
            </w:r>
            <w:r w:rsidRPr="009A366D">
              <w:rPr>
                <w:rStyle w:val="Emphasis"/>
              </w:rPr>
              <w:t>donor suitability</w:t>
            </w: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66D">
            <w:pPr>
              <w:pStyle w:val="List"/>
              <w:rPr>
                <w:lang w:val="en-NZ"/>
              </w:rPr>
            </w:pPr>
            <w:r w:rsidRPr="009A366D">
              <w:t>2.</w:t>
            </w:r>
            <w:r w:rsidRPr="009A366D">
              <w:tab/>
              <w:t>Assess suitability for aphoresis donation</w:t>
            </w: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2.1</w:t>
            </w:r>
            <w:r w:rsidRPr="009A366D">
              <w:tab/>
              <w:t>Determine age and weight limi</w:t>
            </w:r>
            <w:r w:rsidRPr="009A366D">
              <w:t>ts meet donor selection criteria</w:t>
            </w:r>
          </w:p>
          <w:p w:rsidR="00000000" w:rsidRPr="009A366D" w:rsidP="009A366D">
            <w:pPr>
              <w:pStyle w:val="BodyText"/>
            </w:pPr>
            <w:r w:rsidRPr="009A366D">
              <w:t>2.2</w:t>
            </w:r>
            <w:r w:rsidRPr="009A366D">
              <w:tab/>
              <w:t>Determine that platelet count, total protein and immunoglobulins meet donor selection criteria</w:t>
            </w:r>
          </w:p>
          <w:p w:rsidR="00000000" w:rsidRPr="009A366D" w:rsidP="009A366D">
            <w:pPr>
              <w:pStyle w:val="BodyText"/>
            </w:pPr>
            <w:r w:rsidRPr="009A366D">
              <w:t>2.3</w:t>
            </w:r>
            <w:r w:rsidRPr="009A366D">
              <w:tab/>
              <w:t>Determine that ante-cubital veins are easily accessible in both arms</w:t>
            </w:r>
          </w:p>
          <w:p w:rsidR="00000000" w:rsidRPr="009A366D" w:rsidP="009A366D">
            <w:pPr>
              <w:pStyle w:val="BodyText"/>
            </w:pPr>
            <w:r w:rsidRPr="009A366D">
              <w:t>2.4</w:t>
            </w:r>
            <w:r w:rsidRPr="009A366D">
              <w:tab/>
              <w:t>Check for haematological abnormality</w:t>
            </w:r>
          </w:p>
          <w:p w:rsidR="00000000" w:rsidP="009A366D">
            <w:pPr>
              <w:pStyle w:val="BodyText"/>
              <w:rPr>
                <w:lang w:val="en-NZ"/>
              </w:rPr>
            </w:pPr>
            <w:r w:rsidRPr="009A366D">
              <w:t>2.5</w:t>
            </w:r>
            <w:r w:rsidRPr="009A366D">
              <w:tab/>
              <w:t xml:space="preserve">Check </w:t>
            </w:r>
            <w:r w:rsidRPr="009A366D">
              <w:t>donor recent medical history or medications and take appropriate action</w:t>
            </w: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66D">
            <w:pPr>
              <w:pStyle w:val="List"/>
              <w:rPr>
                <w:lang w:val="en-NZ"/>
              </w:rPr>
            </w:pPr>
            <w:r w:rsidRPr="009A366D">
              <w:t>3.</w:t>
            </w:r>
            <w:r w:rsidRPr="009A366D">
              <w:tab/>
              <w:t>Assess suitability for platelet aphoresis donation</w:t>
            </w: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3.1</w:t>
            </w:r>
            <w:r w:rsidRPr="009A366D">
              <w:tab/>
              <w:t>Check that selection criteria for aphoresis donation are met</w:t>
            </w:r>
          </w:p>
          <w:p w:rsidR="00000000" w:rsidP="009A366D">
            <w:pPr>
              <w:pStyle w:val="BodyText"/>
              <w:rPr>
                <w:lang w:val="en-NZ"/>
              </w:rPr>
            </w:pPr>
            <w:r w:rsidRPr="009A366D">
              <w:t>3.2</w:t>
            </w:r>
            <w:r w:rsidRPr="009A366D">
              <w:tab/>
            </w:r>
            <w:r w:rsidRPr="009A366D">
              <w:t>Determine that peripheral blood platelet counts and lymphocyte counts meet donor selection criteria</w:t>
            </w: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366D">
            <w:pPr>
              <w:pStyle w:val="List"/>
              <w:rPr>
                <w:lang w:val="en-NZ"/>
              </w:rPr>
            </w:pPr>
            <w:r w:rsidRPr="009A366D">
              <w:t>4.</w:t>
            </w:r>
            <w:r w:rsidRPr="009A366D">
              <w:tab/>
              <w:t>Determine donor willingness/ability to donate</w:t>
            </w: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t>4.1</w:t>
            </w:r>
            <w:r w:rsidRPr="009A366D">
              <w:tab/>
              <w:t>Explain the donation process accurately and in a manner that meets donor needs</w:t>
            </w:r>
          </w:p>
          <w:p w:rsidR="00000000" w:rsidRPr="009A366D" w:rsidP="009A366D">
            <w:pPr>
              <w:pStyle w:val="BodyText"/>
            </w:pPr>
            <w:r w:rsidRPr="009A366D">
              <w:t>4.2</w:t>
            </w:r>
            <w:r w:rsidRPr="009A366D">
              <w:tab/>
              <w:t>Explain risks as</w:t>
            </w:r>
            <w:r w:rsidRPr="009A366D">
              <w:t>sociated with collection by aphoresis</w:t>
            </w:r>
          </w:p>
          <w:p w:rsidR="00000000" w:rsidRPr="009A366D" w:rsidP="009A366D">
            <w:pPr>
              <w:pStyle w:val="BodyText"/>
            </w:pPr>
            <w:r w:rsidRPr="009A366D">
              <w:t>4.3</w:t>
            </w:r>
            <w:r w:rsidRPr="009A366D">
              <w:tab/>
              <w:t>Determine donor understanding of the process and risks</w:t>
            </w:r>
          </w:p>
          <w:p w:rsidR="00000000" w:rsidRPr="009A366D" w:rsidP="009A366D">
            <w:pPr>
              <w:pStyle w:val="BodyText"/>
            </w:pPr>
            <w:r w:rsidRPr="009A366D">
              <w:t>4.4</w:t>
            </w:r>
            <w:r w:rsidRPr="009A366D">
              <w:tab/>
              <w:t>Explain timeframes</w:t>
            </w:r>
          </w:p>
          <w:p w:rsidR="00000000" w:rsidRPr="009A366D" w:rsidP="009A366D">
            <w:pPr>
              <w:pStyle w:val="BodyText"/>
            </w:pPr>
            <w:r w:rsidRPr="009A366D">
              <w:t>4.5</w:t>
            </w:r>
            <w:r w:rsidRPr="009A366D">
              <w:tab/>
              <w:t>Document donor decision</w:t>
            </w:r>
          </w:p>
          <w:p w:rsidR="00000000" w:rsidP="009A366D">
            <w:pPr>
              <w:pStyle w:val="BodyText"/>
              <w:rPr>
                <w:lang w:val="en-NZ"/>
              </w:rPr>
            </w:pPr>
            <w:r w:rsidRPr="009A366D">
              <w:t>4.6</w:t>
            </w:r>
            <w:r w:rsidRPr="009A366D">
              <w:tab/>
              <w:t>Obtain signed consent form</w:t>
            </w:r>
          </w:p>
        </w:tc>
      </w:tr>
      <w:tr w:rsidTr="004A5C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A366D" w:rsidP="009A366D">
            <w:pPr>
              <w:pStyle w:val="BodyText"/>
            </w:pPr>
          </w:p>
        </w:tc>
      </w:tr>
    </w:tbl>
    <w:p w:rsidR="004A5CC2" w:rsidP="009A366D">
      <w:pPr>
        <w:pStyle w:val="BodyText"/>
      </w:pPr>
    </w:p>
    <w:p w:rsidR="004A5CC2" w:rsidP="009A366D">
      <w:pPr>
        <w:pStyle w:val="BodyText"/>
      </w:pPr>
    </w:p>
    <w:p w:rsidR="00000000" w:rsidRPr="009A366D" w:rsidP="009A366D">
      <w:pPr>
        <w:pStyle w:val="Heading1"/>
      </w:pPr>
      <w:bookmarkStart w:id="9" w:name="O_259836"/>
      <w:bookmarkEnd w:id="9"/>
      <w:r w:rsidRPr="009A366D">
        <w:t>Required Skills and Knowledge</w:t>
      </w:r>
    </w:p>
    <w:tbl>
      <w:tblPr>
        <w:tblW w:w="0" w:type="auto"/>
        <w:tblLayout w:type="fixed"/>
        <w:tblCellMar>
          <w:left w:w="62" w:type="dxa"/>
          <w:right w:w="62" w:type="dxa"/>
        </w:tblCellMar>
        <w:tblLook w:val="0000"/>
      </w:tblPr>
      <w:tblGrid>
        <w:gridCol w:w="9072"/>
      </w:tblGrid>
      <w:tr w:rsidTr="004A5C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REQUIRED SKILLS AND KNOWLEDGE</w:t>
            </w: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t>This describes the essential skills and knowledge and their level required for this unit.</w:t>
            </w: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rPr>
                <w:rStyle w:val="Emphasis"/>
              </w:rPr>
              <w:t>Essential knowledge</w:t>
            </w:r>
            <w:r w:rsidRPr="009A366D">
              <w:t>:</w:t>
            </w:r>
          </w:p>
          <w:p w:rsidR="00000000" w:rsidRPr="009A366D" w:rsidP="009A366D">
            <w:pPr>
              <w:pStyle w:val="BodyText"/>
            </w:pPr>
            <w:r w:rsidRPr="009A36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366D" w:rsidP="009A366D">
            <w:pPr>
              <w:pStyle w:val="BodyText"/>
            </w:pPr>
            <w:r w:rsidRPr="009A366D">
              <w:t xml:space="preserve">This includes </w:t>
            </w:r>
            <w:r w:rsidRPr="009A366D">
              <w:t>knowledge of:</w:t>
            </w:r>
          </w:p>
          <w:p w:rsidR="00000000" w:rsidRPr="009A366D" w:rsidP="009A366D">
            <w:pPr>
              <w:pStyle w:val="ListBullet"/>
            </w:pPr>
            <w:r w:rsidRPr="009A366D">
              <w:t>Organisation procedures and policies, including SOPs</w:t>
            </w:r>
          </w:p>
          <w:p w:rsidR="00000000" w:rsidRPr="009A366D" w:rsidP="009A366D">
            <w:pPr>
              <w:pStyle w:val="ListBullet"/>
            </w:pPr>
            <w:r w:rsidRPr="009A366D">
              <w:t>Process of aphoresis donations</w:t>
            </w:r>
          </w:p>
          <w:p w:rsidR="00000000" w:rsidRPr="009A366D" w:rsidP="009A366D">
            <w:pPr>
              <w:pStyle w:val="ListBullet"/>
            </w:pPr>
            <w:r w:rsidRPr="009A366D">
              <w:t>Regulations, standards and guidelines, including</w:t>
            </w:r>
          </w:p>
          <w:p w:rsidR="00000000" w:rsidRPr="009A366D" w:rsidP="009A366D">
            <w:pPr>
              <w:pStyle w:val="ListBullet2"/>
            </w:pPr>
            <w:r w:rsidRPr="009A366D">
              <w:t>Australian Code of Good Manufacturing Practice For Therapeutic Goods - Blood and Blood Components</w:t>
            </w:r>
          </w:p>
          <w:p w:rsidR="00000000" w:rsidRPr="009A366D" w:rsidP="009A366D">
            <w:pPr>
              <w:pStyle w:val="ListBullet2"/>
            </w:pPr>
            <w:r w:rsidRPr="009A366D">
              <w:t>MIMS Index of Therapeutic Agents (Drugs)</w:t>
            </w:r>
          </w:p>
          <w:p w:rsidR="00000000" w:rsidRPr="009A366D" w:rsidP="009A366D">
            <w:pPr>
              <w:pStyle w:val="ListBullet2"/>
            </w:pPr>
            <w:r w:rsidRPr="009A366D">
              <w:t>International Travel and Health Vaccination Requirements and health Advice, World Health Organisation, Geneva, Current edition</w:t>
            </w:r>
          </w:p>
          <w:p w:rsidR="00000000" w:rsidRPr="009A366D" w:rsidP="009A366D">
            <w:pPr>
              <w:pStyle w:val="ListBullet"/>
            </w:pPr>
            <w:r w:rsidRPr="009A366D">
              <w:t>Uses of aphoresis donations</w:t>
            </w:r>
          </w:p>
          <w:p w:rsidR="00000000" w:rsidP="009A366D">
            <w:pPr>
              <w:pStyle w:val="ListBullet"/>
              <w:rPr>
                <w:lang w:val="en-NZ"/>
              </w:rPr>
            </w:pPr>
            <w:r w:rsidRPr="009A366D">
              <w:t>Timeframe requirements for aphoresis and platelet aphoresis</w:t>
            </w:r>
            <w:r w:rsidRPr="009A366D">
              <w:t xml:space="preserve"> donations</w:t>
            </w: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366D" w:rsidP="009A366D">
            <w:pPr>
              <w:pStyle w:val="BodyText"/>
            </w:pPr>
            <w:r w:rsidRPr="009A366D">
              <w:rPr>
                <w:rStyle w:val="Emphasis"/>
              </w:rPr>
              <w:t>Essential skills</w:t>
            </w:r>
            <w:r w:rsidRPr="009A366D">
              <w:t>:</w:t>
            </w:r>
          </w:p>
          <w:p w:rsidR="00000000" w:rsidRPr="009A366D" w:rsidP="009A366D">
            <w:pPr>
              <w:pStyle w:val="BodyText"/>
            </w:pPr>
            <w:r w:rsidRPr="009A366D">
              <w:t>It is critical that the candidate demonstrate the ability to effectively do the task outlined in elements and performance criteria of this unit, manage the task and manage contingencies in the context of the identified work role</w:t>
            </w:r>
          </w:p>
          <w:p w:rsidR="00000000" w:rsidRPr="009A366D" w:rsidP="009A366D">
            <w:pPr>
              <w:pStyle w:val="BodyText"/>
            </w:pPr>
            <w:r w:rsidRPr="009A366D">
              <w:t>This includes the ability t</w:t>
            </w:r>
            <w:r w:rsidRPr="009A366D">
              <w:t>o:</w:t>
            </w:r>
          </w:p>
          <w:p w:rsidR="00000000" w:rsidRPr="009A366D" w:rsidP="009A366D">
            <w:pPr>
              <w:pStyle w:val="ListBullet"/>
            </w:pPr>
            <w:r w:rsidRPr="009A366D">
              <w:t>Apply Professional Standards of Practice:</w:t>
            </w:r>
          </w:p>
          <w:p w:rsidR="00000000" w:rsidRPr="009A366D" w:rsidP="009A366D">
            <w:pPr>
              <w:pStyle w:val="ListBullet2"/>
            </w:pPr>
            <w:r w:rsidRPr="009A366D">
              <w:t>ANMC code of conduct</w:t>
            </w:r>
          </w:p>
          <w:p w:rsidR="00000000" w:rsidRPr="009A366D" w:rsidP="009A366D">
            <w:pPr>
              <w:pStyle w:val="ListBullet2"/>
            </w:pPr>
            <w:r w:rsidRPr="009A366D">
              <w:t>ANMC code of ethics</w:t>
            </w:r>
          </w:p>
          <w:p w:rsidR="00000000" w:rsidRPr="009A366D" w:rsidP="009A366D">
            <w:pPr>
              <w:pStyle w:val="ListBullet2"/>
            </w:pPr>
            <w:r w:rsidRPr="009A366D">
              <w:t>ANMC national Enrolled/Division 2 nurse competency standards</w:t>
            </w:r>
          </w:p>
          <w:p w:rsidR="00000000" w:rsidRPr="009A366D" w:rsidP="009A366D">
            <w:pPr>
              <w:pStyle w:val="ListBullet2"/>
            </w:pPr>
            <w:r w:rsidRPr="009A366D">
              <w:t>State/territory Nurse Regulatory Nurses Act</w:t>
            </w:r>
          </w:p>
          <w:p w:rsidR="00000000" w:rsidRPr="009A366D" w:rsidP="009A366D">
            <w:pPr>
              <w:pStyle w:val="ListBullet2"/>
            </w:pPr>
            <w:r w:rsidRPr="009A366D">
              <w:t>State/territory Nursing and Midwifery Regulatory Authority standards of practice</w:t>
            </w:r>
          </w:p>
          <w:p w:rsidR="00000000" w:rsidRPr="009A366D" w:rsidP="009A366D">
            <w:pPr>
              <w:pStyle w:val="ListBullet2"/>
            </w:pPr>
            <w:r w:rsidRPr="009A366D">
              <w:t>Scope of nursing practice decision making framework</w:t>
            </w:r>
          </w:p>
          <w:p w:rsidR="00000000" w:rsidRPr="009A366D" w:rsidP="009A366D">
            <w:pPr>
              <w:pStyle w:val="ListBullet"/>
            </w:pPr>
            <w:r w:rsidRPr="009A366D">
              <w:t>Conduct interviews to collect all required donor information in a manner that meets the needs of the potential donor</w:t>
            </w:r>
          </w:p>
          <w:p w:rsidR="00000000" w:rsidRPr="009A366D" w:rsidP="009A366D">
            <w:pPr>
              <w:pStyle w:val="ListBullet"/>
            </w:pPr>
            <w:r w:rsidRPr="009A366D">
              <w:t>Clear</w:t>
            </w:r>
            <w:r w:rsidRPr="009A366D">
              <w:t xml:space="preserve">ly explain procedure and associated risks </w:t>
            </w:r>
          </w:p>
          <w:p w:rsidR="00000000" w:rsidRPr="009A366D" w:rsidP="009A366D">
            <w:pPr>
              <w:pStyle w:val="ListBullet"/>
            </w:pPr>
            <w:r w:rsidRPr="009A366D">
              <w:t xml:space="preserve">Clearly explain timeframes and commitment </w:t>
            </w:r>
          </w:p>
          <w:p w:rsidR="00000000" w:rsidRPr="009A366D" w:rsidP="009A366D">
            <w:pPr>
              <w:pStyle w:val="ListBullet"/>
            </w:pPr>
            <w:r w:rsidRPr="009A366D">
              <w:t>Manage information to ensure all donor information is recorded accurately</w:t>
            </w:r>
          </w:p>
          <w:p w:rsidR="00000000" w:rsidRPr="009A366D" w:rsidP="009A366D">
            <w:pPr>
              <w:pStyle w:val="ListBullet"/>
            </w:pPr>
            <w:r w:rsidRPr="009A366D">
              <w:t>Refer to donor selection guidelines and other tools when necessary</w:t>
            </w:r>
          </w:p>
          <w:p w:rsidR="00000000" w:rsidRPr="009A366D" w:rsidP="009A366D">
            <w:pPr>
              <w:pStyle w:val="ListBullet"/>
            </w:pPr>
            <w:r w:rsidRPr="009A366D">
              <w:t>Use communication skills effe</w:t>
            </w:r>
            <w:r w:rsidRPr="009A366D">
              <w:t>ctively:</w:t>
            </w:r>
          </w:p>
          <w:p w:rsidR="00000000" w:rsidRPr="009A366D" w:rsidP="009A366D">
            <w:pPr>
              <w:pStyle w:val="ListBullet2"/>
            </w:pPr>
            <w:r w:rsidRPr="009A366D">
              <w:t>to explain the processes and requirements</w:t>
            </w:r>
          </w:p>
          <w:p w:rsidR="00000000" w:rsidRPr="009A366D" w:rsidP="009A366D">
            <w:pPr>
              <w:pStyle w:val="ListBullet2"/>
            </w:pPr>
            <w:r w:rsidRPr="009A366D">
              <w:t>particularly when dealing with people found not suitable to be donors</w:t>
            </w:r>
          </w:p>
        </w:tc>
      </w:tr>
    </w:tbl>
    <w:p w:rsidR="004A5CC2" w:rsidP="009A366D">
      <w:pPr>
        <w:pStyle w:val="BodyText"/>
      </w:pPr>
    </w:p>
    <w:p w:rsidR="004A5CC2" w:rsidP="009A366D">
      <w:pPr>
        <w:pStyle w:val="BodyText"/>
      </w:pPr>
    </w:p>
    <w:p w:rsidR="00000000" w:rsidRPr="009A366D" w:rsidP="009A366D">
      <w:pPr>
        <w:pStyle w:val="Heading1"/>
      </w:pPr>
      <w:bookmarkStart w:id="10" w:name="O_243870"/>
      <w:bookmarkEnd w:id="10"/>
      <w:r w:rsidRPr="009A366D">
        <w:t>Evidence Guide</w:t>
      </w:r>
    </w:p>
    <w:tbl>
      <w:tblPr>
        <w:tblW w:w="0" w:type="auto"/>
        <w:tblLayout w:type="fixed"/>
        <w:tblCellMar>
          <w:left w:w="62" w:type="dxa"/>
          <w:right w:w="62" w:type="dxa"/>
        </w:tblCellMar>
        <w:tblLook w:val="0000"/>
      </w:tblPr>
      <w:tblGrid>
        <w:gridCol w:w="3402"/>
        <w:gridCol w:w="5670"/>
      </w:tblGrid>
      <w:tr w:rsidTr="004A5C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EVIDENCE GUIDE</w:t>
            </w:r>
          </w:p>
        </w:tc>
      </w:tr>
      <w:tr w:rsidTr="004A5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t>The evidence guide provides advice on assessment and must be read in co</w:t>
            </w:r>
            <w:r w:rsidRPr="009A366D">
              <w:t>njunction with the Performance Criteria, Required Skills and Knowledge, the Range Statement and the Assessment Guidelines for this Training Package.</w:t>
            </w:r>
          </w:p>
        </w:tc>
      </w:tr>
      <w:tr w:rsidTr="004A5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Critical aspects for assessment and evidence required to demonstrate this competency unit</w:t>
            </w:r>
            <w:r w:rsidRPr="009A366D">
              <w:t xml:space="preserve">: </w:t>
            </w:r>
            <w:r w:rsidRPr="009A366D">
              <w:br/>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The indi</w:t>
            </w:r>
            <w:r w:rsidRPr="009A366D">
              <w:t>vidual being assessed must provide evidence of specified essential knowledge as well as skills</w:t>
            </w:r>
          </w:p>
          <w:p w:rsidR="00000000" w:rsidRPr="009A366D" w:rsidP="009A366D">
            <w:pPr>
              <w:pStyle w:val="ListBullet"/>
            </w:pPr>
            <w:r w:rsidRPr="009A366D">
              <w:t>Observation of performance in a work context is essential for assessment of this unit</w:t>
            </w:r>
          </w:p>
          <w:p w:rsidR="00000000" w:rsidRPr="009A366D" w:rsidP="009A366D">
            <w:pPr>
              <w:pStyle w:val="ListBullet"/>
            </w:pPr>
            <w:r w:rsidRPr="009A366D">
              <w:t>The assessment is performed in a manner that ensures privacy, relieves appr</w:t>
            </w:r>
            <w:r w:rsidRPr="009A366D">
              <w:t>ehension and allows time for any necessary discussion or explanation</w:t>
            </w:r>
          </w:p>
          <w:p w:rsidR="00000000" w:rsidP="009A366D">
            <w:pPr>
              <w:pStyle w:val="ListBullet"/>
              <w:rPr>
                <w:lang w:val="en-NZ"/>
              </w:rPr>
            </w:pPr>
            <w:r w:rsidRPr="009A366D">
              <w:t>Consistency of performance should be demonstrated over the required range of workplace situations and should occur on more than one occasion and be assessed by a registered nurse</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Method of assessment</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Observation in the work place (if possible)</w:t>
            </w:r>
          </w:p>
          <w:p w:rsidR="00000000" w:rsidRPr="009A366D" w:rsidP="009A366D">
            <w:pPr>
              <w:pStyle w:val="ListBullet"/>
            </w:pPr>
            <w:r w:rsidRPr="009A366D">
              <w:t>Written assignments/projects</w:t>
            </w:r>
          </w:p>
          <w:p w:rsidR="00000000" w:rsidRPr="009A366D" w:rsidP="009A366D">
            <w:pPr>
              <w:pStyle w:val="ListBullet"/>
            </w:pPr>
            <w:r w:rsidRPr="009A366D">
              <w:t>Case study and scenario as a basis for discussion of issues and strategies to contribute to best practice.</w:t>
            </w:r>
          </w:p>
          <w:p w:rsidR="00000000" w:rsidP="009A366D">
            <w:pPr>
              <w:pStyle w:val="ListBullet"/>
              <w:rPr>
                <w:lang w:val="en-NZ"/>
              </w:rPr>
            </w:pPr>
            <w:r w:rsidRPr="009A366D">
              <w:t>Questioning</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Access and equity considerations</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Al</w:t>
            </w:r>
            <w:r w:rsidRPr="009A366D">
              <w:t>l workers in the health industry should be aware of access and equity issues in relation to their own area of work</w:t>
            </w:r>
          </w:p>
          <w:p w:rsidR="00000000" w:rsidRPr="009A366D" w:rsidP="009A366D">
            <w:pPr>
              <w:pStyle w:val="ListBullet"/>
            </w:pPr>
            <w:r w:rsidRPr="009A366D">
              <w:t xml:space="preserve">All workers should develop their ability to work in a culturally diverse environment </w:t>
            </w:r>
          </w:p>
          <w:p w:rsidR="00000000" w:rsidRPr="009A366D" w:rsidP="009A366D">
            <w:pPr>
              <w:pStyle w:val="ListBullet"/>
            </w:pPr>
            <w:r w:rsidRPr="009A366D">
              <w:t>In recognition of particular health issues facing Aboriginal and Torres Strait Islander communities, workers should be aware of cultural, historical and current issues impacting on health of Aboriginal and Torres Strait Islander people</w:t>
            </w:r>
          </w:p>
          <w:p w:rsidR="00000000" w:rsidP="009A366D">
            <w:pPr>
              <w:pStyle w:val="ListBullet"/>
              <w:rPr>
                <w:lang w:val="en-NZ"/>
              </w:rPr>
            </w:pPr>
            <w:r w:rsidRPr="009A366D">
              <w:t>Assessors and traine</w:t>
            </w:r>
            <w:r w:rsidRPr="009A366D">
              <w:t>rs must take into account relevant access and equity issues, in particular relating to factors impacting on health of Aboriginal and/or Torres Strait Islander clients and communities</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BodyText"/>
            </w:pPr>
          </w:p>
        </w:tc>
      </w:tr>
    </w:tbl>
    <w:p w:rsidR="004A5CC2" w:rsidP="009A366D">
      <w:pPr>
        <w:pStyle w:val="BodyText"/>
      </w:pPr>
    </w:p>
    <w:p w:rsidR="004A5CC2" w:rsidP="009A366D">
      <w:pPr>
        <w:pStyle w:val="BodyText"/>
      </w:pPr>
    </w:p>
    <w:p w:rsidR="00000000" w:rsidRPr="009A366D" w:rsidP="009A366D">
      <w:pPr>
        <w:pStyle w:val="Heading1"/>
      </w:pPr>
      <w:bookmarkStart w:id="11" w:name="O_251853"/>
      <w:bookmarkEnd w:id="11"/>
      <w:r w:rsidRPr="009A366D">
        <w:t>Range Statement</w:t>
      </w:r>
    </w:p>
    <w:tbl>
      <w:tblPr>
        <w:tblW w:w="0" w:type="auto"/>
        <w:tblLayout w:type="fixed"/>
        <w:tblCellMar>
          <w:left w:w="62" w:type="dxa"/>
          <w:right w:w="62" w:type="dxa"/>
        </w:tblCellMar>
        <w:tblLook w:val="0000"/>
      </w:tblPr>
      <w:tblGrid>
        <w:gridCol w:w="3402"/>
        <w:gridCol w:w="5670"/>
      </w:tblGrid>
      <w:tr w:rsidTr="004A5C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SpecialBold"/>
              </w:rPr>
              <w:t>RANGE STATEMENT</w:t>
            </w:r>
          </w:p>
        </w:tc>
      </w:tr>
      <w:tr w:rsidTr="004A5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t>The Range Statement relates to the unit of competency as a whole. It allows for different work environments and situations that may affect performance. Add any essential operating conditions that may be present with training and assessment depending on the</w:t>
            </w:r>
            <w:r w:rsidRPr="009A366D">
              <w:t xml:space="preserve"> work situation, needs of the candidate, accessibility of the item, and local industry and regional contexts.</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Types of donation may include</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Plasma</w:t>
            </w:r>
          </w:p>
          <w:p w:rsidR="00000000" w:rsidRPr="009A366D" w:rsidP="009A366D">
            <w:pPr>
              <w:pStyle w:val="ListBullet"/>
            </w:pPr>
            <w:r w:rsidRPr="009A366D">
              <w:t>Platelet</w:t>
            </w:r>
          </w:p>
          <w:p w:rsidR="00000000" w:rsidP="009A366D">
            <w:pPr>
              <w:pStyle w:val="ListBullet"/>
              <w:rPr>
                <w:lang w:val="en-NZ"/>
              </w:rPr>
            </w:pPr>
            <w:r w:rsidRPr="009A366D">
              <w:t>Red blood cell plasma</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Donor status may include</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New</w:t>
            </w:r>
          </w:p>
          <w:p w:rsidR="00000000" w:rsidRPr="009A366D" w:rsidP="009A366D">
            <w:pPr>
              <w:pStyle w:val="ListBullet"/>
            </w:pPr>
            <w:r w:rsidRPr="009A366D">
              <w:t>Lapsed</w:t>
            </w:r>
          </w:p>
          <w:p w:rsidR="00000000" w:rsidP="009A366D">
            <w:pPr>
              <w:pStyle w:val="ListBullet"/>
              <w:rPr>
                <w:lang w:val="en-NZ"/>
              </w:rPr>
            </w:pPr>
            <w:r w:rsidRPr="009A366D">
              <w:t>Regular</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Donor records may include</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Paper-based records</w:t>
            </w:r>
          </w:p>
          <w:p w:rsidR="00000000" w:rsidP="009A366D">
            <w:pPr>
              <w:pStyle w:val="ListBullet"/>
              <w:rPr>
                <w:lang w:val="en-NZ"/>
              </w:rPr>
            </w:pPr>
            <w:r w:rsidRPr="009A366D">
              <w:t>Computerised records</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366D">
            <w:pPr>
              <w:pStyle w:val="BodyText"/>
              <w:rPr>
                <w:lang w:val="en-NZ"/>
              </w:rPr>
            </w:pPr>
            <w:r w:rsidRPr="009A366D">
              <w:rPr>
                <w:rStyle w:val="Emphasis"/>
              </w:rPr>
              <w:t>Regulations and standards may include</w:t>
            </w:r>
            <w:r w:rsidRPr="009A366D">
              <w:t>:</w:t>
            </w: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ListBullet"/>
            </w:pPr>
            <w:r w:rsidRPr="009A366D">
              <w:t>Australian Code of Good Manufacturing Practice For Therapeutic Goods - Blood and Blood Components</w:t>
            </w:r>
          </w:p>
          <w:p w:rsidR="00000000" w:rsidRPr="009A366D" w:rsidP="009A366D">
            <w:pPr>
              <w:pStyle w:val="ListBullet"/>
            </w:pPr>
            <w:r w:rsidRPr="009A366D">
              <w:t>MIMS Index of Therapeutic Agents (Drugs)</w:t>
            </w:r>
          </w:p>
          <w:p w:rsidR="00000000" w:rsidRPr="009A366D" w:rsidP="009A366D">
            <w:pPr>
              <w:pStyle w:val="ListBullet"/>
            </w:pPr>
            <w:r w:rsidRPr="009A366D">
              <w:t>Inte</w:t>
            </w:r>
            <w:r w:rsidRPr="009A366D">
              <w:t>rnational Travel and Health Vaccination Requirements and health Advice, World Health Organisation, Geneva, Current edition</w:t>
            </w:r>
          </w:p>
          <w:p w:rsidR="00000000" w:rsidP="009A366D">
            <w:pPr>
              <w:pStyle w:val="ListBullet"/>
              <w:rPr>
                <w:lang w:val="en-NZ"/>
              </w:rPr>
            </w:pPr>
            <w:r w:rsidRPr="009A366D">
              <w:t>Australian Red Cross, National Blood Transfusion Committee, Guidelines for the Selection of Blood Donors</w:t>
            </w:r>
          </w:p>
        </w:tc>
      </w:tr>
      <w:tr w:rsidTr="004A5C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366D" w:rsidP="009A366D">
            <w:pPr>
              <w:pStyle w:val="BodyText"/>
            </w:pPr>
          </w:p>
        </w:tc>
      </w:tr>
    </w:tbl>
    <w:p w:rsidR="004A5CC2" w:rsidP="009A366D">
      <w:pPr>
        <w:pStyle w:val="BodyText"/>
      </w:pPr>
    </w:p>
    <w:p w:rsidR="004A5CC2" w:rsidP="009A366D">
      <w:pPr>
        <w:pStyle w:val="BodyText"/>
      </w:pPr>
    </w:p>
    <w:p w:rsidR="00000000" w:rsidRPr="009A366D" w:rsidP="009A366D">
      <w:pPr>
        <w:pStyle w:val="Heading1"/>
      </w:pPr>
      <w:bookmarkStart w:id="12" w:name="O_295079"/>
      <w:bookmarkEnd w:id="12"/>
      <w:r w:rsidRPr="009A366D">
        <w:t>Unit Sector(s)</w:t>
      </w:r>
    </w:p>
    <w:p w:rsidR="00000000" w:rsidRPr="009A366D" w:rsidP="009A366D">
      <w:pPr>
        <w:pStyle w:val="BodyText"/>
      </w:pPr>
      <w:r w:rsidRPr="009A366D">
        <w:t>Not Applicable</w:t>
      </w:r>
    </w:p>
    <w:p w:rsidR="00000000" w:rsidRPr="009A366D" w:rsidP="009A366D"/>
    <w:sectPr w:rsidSect="009A36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CC2" w:rsidP="004A5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C2" w:rsidP="009A3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5CC2" w:rsidP="009A36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5CC2" w:rsidP="009A36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CC2" w:rsidP="004A5C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C2" w:rsidP="009A366D">
    <w:pPr>
      <w:pStyle w:val="Header"/>
      <w:framePr w:wrap="around"/>
    </w:pPr>
    <w:r>
      <w:fldChar w:fldCharType="begin"/>
    </w:r>
    <w:r>
      <w:instrText xml:space="preserve"> TITLE   \* MERGEFORMAT </w:instrText>
    </w:r>
    <w:r>
      <w:fldChar w:fldCharType="separate"/>
    </w:r>
    <w:r>
      <w:t>HLTEN521B Determine the eligibility of aphoresis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5CC2" w:rsidP="009A36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AD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A8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AC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6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66D"/>
    <w:pPr>
      <w:spacing w:before="360" w:after="60"/>
      <w:outlineLvl w:val="0"/>
    </w:pPr>
    <w:rPr>
      <w:sz w:val="32"/>
    </w:rPr>
  </w:style>
  <w:style w:type="paragraph" w:styleId="Heading2">
    <w:name w:val="heading 2"/>
    <w:basedOn w:val="HeadingBase"/>
    <w:next w:val="BodyText"/>
    <w:link w:val="Heading2Char"/>
    <w:qFormat/>
    <w:rsid w:val="009A366D"/>
    <w:pPr>
      <w:keepLines/>
      <w:spacing w:before="240" w:after="120"/>
      <w:outlineLvl w:val="1"/>
    </w:pPr>
    <w:rPr>
      <w:sz w:val="28"/>
      <w:szCs w:val="40"/>
    </w:rPr>
  </w:style>
  <w:style w:type="paragraph" w:styleId="Heading3">
    <w:name w:val="heading 3"/>
    <w:basedOn w:val="HeadingBase"/>
    <w:next w:val="BodyText"/>
    <w:link w:val="Heading3Char"/>
    <w:qFormat/>
    <w:rsid w:val="009A366D"/>
    <w:pPr>
      <w:spacing w:before="180" w:after="120"/>
      <w:outlineLvl w:val="2"/>
    </w:pPr>
    <w:rPr>
      <w:spacing w:val="-10"/>
      <w:kern w:val="32"/>
    </w:rPr>
  </w:style>
  <w:style w:type="paragraph" w:styleId="Heading4">
    <w:name w:val="heading 4"/>
    <w:basedOn w:val="HeadingBase"/>
    <w:next w:val="BodyText"/>
    <w:link w:val="Heading4Char"/>
    <w:qFormat/>
    <w:rsid w:val="009A366D"/>
    <w:pPr>
      <w:spacing w:before="160" w:after="120"/>
      <w:outlineLvl w:val="3"/>
    </w:pPr>
    <w:rPr>
      <w:sz w:val="22"/>
    </w:rPr>
  </w:style>
  <w:style w:type="paragraph" w:styleId="Heading5">
    <w:name w:val="heading 5"/>
    <w:basedOn w:val="HeadingBase"/>
    <w:next w:val="Normal"/>
    <w:link w:val="Heading5Char"/>
    <w:qFormat/>
    <w:rsid w:val="009A366D"/>
    <w:pPr>
      <w:spacing w:before="80"/>
      <w:outlineLvl w:val="4"/>
    </w:pPr>
    <w:rPr>
      <w:color w:val="918585"/>
      <w:sz w:val="20"/>
    </w:rPr>
  </w:style>
  <w:style w:type="paragraph" w:styleId="Heading6">
    <w:name w:val="heading 6"/>
    <w:basedOn w:val="HeadingBase"/>
    <w:next w:val="Normal"/>
    <w:link w:val="Heading6Char"/>
    <w:qFormat/>
    <w:rsid w:val="009A366D"/>
    <w:pPr>
      <w:spacing w:before="60"/>
      <w:outlineLvl w:val="5"/>
    </w:pPr>
    <w:rPr>
      <w:color w:val="918585"/>
      <w:sz w:val="20"/>
    </w:rPr>
  </w:style>
  <w:style w:type="paragraph" w:styleId="Heading7">
    <w:name w:val="heading 7"/>
    <w:basedOn w:val="Normal"/>
    <w:next w:val="Normal"/>
    <w:link w:val="Heading7Char"/>
    <w:qFormat/>
    <w:rsid w:val="009A366D"/>
    <w:pPr>
      <w:ind w:left="720"/>
      <w:outlineLvl w:val="6"/>
    </w:pPr>
    <w:rPr>
      <w:i/>
    </w:rPr>
  </w:style>
  <w:style w:type="paragraph" w:styleId="Heading8">
    <w:name w:val="heading 8"/>
    <w:basedOn w:val="Normal"/>
    <w:next w:val="Normal"/>
    <w:link w:val="Heading8Char"/>
    <w:qFormat/>
    <w:rsid w:val="009A366D"/>
    <w:pPr>
      <w:ind w:left="720"/>
      <w:outlineLvl w:val="7"/>
    </w:pPr>
    <w:rPr>
      <w:i/>
    </w:rPr>
  </w:style>
  <w:style w:type="paragraph" w:styleId="Heading9">
    <w:name w:val="heading 9"/>
    <w:basedOn w:val="Normal"/>
    <w:next w:val="Normal"/>
    <w:link w:val="Heading9Char"/>
    <w:qFormat/>
    <w:rsid w:val="009A366D"/>
    <w:pPr>
      <w:ind w:left="720"/>
      <w:outlineLvl w:val="8"/>
    </w:pPr>
    <w:rPr>
      <w:i/>
    </w:rPr>
  </w:style>
  <w:style w:type="character" w:default="1" w:styleId="DefaultParagraphFont">
    <w:name w:val="Default Paragraph Font"/>
    <w:uiPriority w:val="1"/>
    <w:unhideWhenUsed/>
    <w:rsid w:val="009A3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66D"/>
  </w:style>
  <w:style w:type="character" w:customStyle="1" w:styleId="Heading1Char">
    <w:name w:val="Heading 1 Char"/>
    <w:basedOn w:val="DefaultParagraphFont"/>
    <w:link w:val="Heading1"/>
    <w:rsid w:val="009A366D"/>
    <w:rPr>
      <w:rFonts w:ascii="Times New Roman" w:eastAsia="Times New Roman" w:hAnsi="Times New Roman" w:cs="Times New Roman"/>
      <w:b/>
      <w:sz w:val="32"/>
      <w:szCs w:val="20"/>
      <w:lang w:eastAsia="en-US"/>
    </w:rPr>
  </w:style>
  <w:style w:type="paragraph" w:styleId="BodyText">
    <w:name w:val="Body Text"/>
    <w:basedOn w:val="Normal"/>
    <w:link w:val="BodyTextChar"/>
    <w:rsid w:val="009A36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66D"/>
    <w:rPr>
      <w:rFonts w:ascii="Times New Roman" w:eastAsia="Times New Roman" w:hAnsi="Times New Roman" w:cs="Times New Roman"/>
      <w:sz w:val="24"/>
      <w:lang w:val="en-US" w:eastAsia="en-US"/>
    </w:rPr>
  </w:style>
  <w:style w:type="paragraph" w:styleId="Footer">
    <w:name w:val="footer"/>
    <w:basedOn w:val="Normal"/>
    <w:link w:val="FooterChar"/>
    <w:rsid w:val="009A3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66D"/>
    <w:rPr>
      <w:rFonts w:ascii="Times New Roman" w:eastAsia="Times New Roman" w:hAnsi="Times New Roman" w:cs="Times New Roman"/>
      <w:sz w:val="16"/>
      <w:lang w:val="en-US" w:eastAsia="en-US"/>
    </w:rPr>
  </w:style>
  <w:style w:type="paragraph" w:styleId="List">
    <w:name w:val="List"/>
    <w:basedOn w:val="BodyText"/>
    <w:next w:val="BodyText"/>
    <w:rsid w:val="009A366D"/>
    <w:pPr>
      <w:tabs>
        <w:tab w:val="left" w:pos="340"/>
      </w:tabs>
      <w:spacing w:before="60" w:after="60"/>
      <w:ind w:left="340" w:hanging="340"/>
    </w:pPr>
  </w:style>
  <w:style w:type="paragraph" w:styleId="ListBullet">
    <w:name w:val="List Bullet"/>
    <w:basedOn w:val="List"/>
    <w:rsid w:val="009A366D"/>
    <w:pPr>
      <w:numPr>
        <w:numId w:val="13"/>
      </w:numPr>
      <w:tabs>
        <w:tab w:val="clear" w:pos="340"/>
      </w:tabs>
      <w:spacing w:before="40" w:after="40"/>
    </w:pPr>
  </w:style>
  <w:style w:type="character" w:customStyle="1" w:styleId="SpecialBold">
    <w:name w:val="Special Bold"/>
    <w:basedOn w:val="DefaultParagraphFont"/>
    <w:rsid w:val="009A366D"/>
    <w:rPr>
      <w:b/>
      <w:spacing w:val="0"/>
    </w:rPr>
  </w:style>
  <w:style w:type="paragraph" w:styleId="ListBullet2">
    <w:name w:val="List Bullet 2"/>
    <w:basedOn w:val="List2"/>
    <w:rsid w:val="009A366D"/>
    <w:pPr>
      <w:numPr>
        <w:numId w:val="14"/>
      </w:numPr>
      <w:tabs>
        <w:tab w:val="clear" w:pos="680"/>
      </w:tabs>
    </w:pPr>
  </w:style>
  <w:style w:type="paragraph" w:styleId="Header">
    <w:name w:val="header"/>
    <w:basedOn w:val="Normal"/>
    <w:link w:val="HeaderChar"/>
    <w:rsid w:val="009A3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6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366D"/>
    <w:rPr>
      <w:i/>
    </w:rPr>
  </w:style>
  <w:style w:type="paragraph" w:customStyle="1" w:styleId="SuperHeading">
    <w:name w:val="SuperHeading"/>
    <w:basedOn w:val="Normal"/>
    <w:rsid w:val="009A366D"/>
    <w:pPr>
      <w:spacing w:before="240" w:after="120"/>
      <w:outlineLvl w:val="0"/>
    </w:pPr>
    <w:rPr>
      <w:rFonts w:ascii="Times New Roman" w:hAnsi="Times New Roman"/>
      <w:b/>
      <w:sz w:val="28"/>
    </w:rPr>
  </w:style>
  <w:style w:type="paragraph" w:customStyle="1" w:styleId="AllowPageBreak">
    <w:name w:val="AllowPageBreak"/>
    <w:rsid w:val="009A3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6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6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66D"/>
    <w:rPr>
      <w:rFonts w:ascii="Courier New" w:eastAsia="Times New Roman" w:hAnsi="Courier New" w:cs="Times New Roman"/>
      <w:i/>
      <w:szCs w:val="20"/>
      <w:lang w:val="en-US" w:eastAsia="en-US"/>
    </w:rPr>
  </w:style>
  <w:style w:type="paragraph" w:customStyle="1" w:styleId="HeadingBase">
    <w:name w:val="Heading Base"/>
    <w:rsid w:val="009A3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66D"/>
    <w:pPr>
      <w:tabs>
        <w:tab w:val="right" w:leader="dot" w:pos="9072"/>
      </w:tabs>
      <w:ind w:left="567"/>
    </w:pPr>
    <w:rPr>
      <w:szCs w:val="22"/>
    </w:rPr>
  </w:style>
  <w:style w:type="paragraph" w:customStyle="1" w:styleId="TOCBase">
    <w:name w:val="TOC Base"/>
    <w:rsid w:val="009A3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66D"/>
    <w:pPr>
      <w:tabs>
        <w:tab w:val="right" w:leader="dot" w:pos="9072"/>
      </w:tabs>
      <w:spacing w:before="40" w:after="40"/>
      <w:ind w:left="284"/>
    </w:pPr>
    <w:rPr>
      <w:rFonts w:ascii="Times New Roman" w:hAnsi="Times New Roman"/>
    </w:rPr>
  </w:style>
  <w:style w:type="paragraph" w:styleId="TOC1">
    <w:name w:val="toc 1"/>
    <w:basedOn w:val="TOCBase"/>
    <w:next w:val="Normal"/>
    <w:rsid w:val="009A36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66D"/>
    <w:pPr>
      <w:spacing w:before="5040"/>
      <w:jc w:val="center"/>
    </w:pPr>
    <w:rPr>
      <w:sz w:val="48"/>
      <w:szCs w:val="72"/>
      <w:lang w:val="en-US"/>
    </w:rPr>
  </w:style>
  <w:style w:type="character" w:customStyle="1" w:styleId="TitleChar">
    <w:name w:val="Title Char"/>
    <w:basedOn w:val="DefaultParagraphFont"/>
    <w:link w:val="Title"/>
    <w:rsid w:val="009A3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66D"/>
    <w:pPr>
      <w:tabs>
        <w:tab w:val="left" w:pos="3600"/>
        <w:tab w:val="left" w:pos="3958"/>
      </w:tabs>
    </w:pPr>
  </w:style>
  <w:style w:type="paragraph" w:customStyle="1" w:styleId="Note">
    <w:name w:val="Note"/>
    <w:basedOn w:val="BodyText"/>
    <w:rsid w:val="009A3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66D"/>
    <w:pPr>
      <w:framePr w:wrap="auto" w:hAnchor="text" w:y="6049"/>
    </w:pPr>
    <w:rPr>
      <w:color w:val="000000"/>
      <w:sz w:val="40"/>
    </w:rPr>
  </w:style>
  <w:style w:type="paragraph" w:customStyle="1" w:styleId="TOCTitle">
    <w:name w:val="TOCTitle"/>
    <w:basedOn w:val="Heading1"/>
    <w:rsid w:val="009A366D"/>
    <w:pPr>
      <w:spacing w:after="240"/>
      <w:jc w:val="center"/>
      <w:outlineLvl w:val="9"/>
    </w:pPr>
    <w:rPr>
      <w:caps/>
    </w:rPr>
  </w:style>
  <w:style w:type="paragraph" w:customStyle="1" w:styleId="Version">
    <w:name w:val="Version"/>
    <w:rsid w:val="009A3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66D"/>
    <w:pPr>
      <w:keepNext w:val="0"/>
      <w:tabs>
        <w:tab w:val="right" w:pos="4176"/>
      </w:tabs>
      <w:ind w:left="198" w:hanging="198"/>
    </w:pPr>
    <w:rPr>
      <w:rFonts w:ascii="Garamond" w:hAnsi="Garamond"/>
    </w:rPr>
  </w:style>
  <w:style w:type="paragraph" w:styleId="IndexHeading">
    <w:name w:val="index heading"/>
    <w:basedOn w:val="Normal"/>
    <w:next w:val="Index1"/>
    <w:semiHidden/>
    <w:rsid w:val="009A366D"/>
    <w:pPr>
      <w:spacing w:before="120" w:after="120"/>
    </w:pPr>
    <w:rPr>
      <w:rFonts w:ascii="Arial" w:hAnsi="Arial"/>
      <w:b/>
      <w:color w:val="918585"/>
      <w:sz w:val="24"/>
    </w:rPr>
  </w:style>
  <w:style w:type="paragraph" w:customStyle="1" w:styleId="Chapter">
    <w:name w:val="Chapter"/>
    <w:basedOn w:val="Normal"/>
    <w:rsid w:val="009A366D"/>
    <w:pPr>
      <w:spacing w:before="240"/>
    </w:pPr>
    <w:rPr>
      <w:rFonts w:ascii="Times New Roman" w:hAnsi="Times New Roman"/>
      <w:smallCaps/>
      <w:spacing w:val="80"/>
      <w:sz w:val="28"/>
    </w:rPr>
  </w:style>
  <w:style w:type="paragraph" w:customStyle="1" w:styleId="InChapter">
    <w:name w:val="InChapter"/>
    <w:basedOn w:val="Heading3"/>
    <w:rsid w:val="009A366D"/>
    <w:pPr>
      <w:spacing w:after="240"/>
      <w:outlineLvl w:val="9"/>
    </w:pPr>
    <w:rPr>
      <w:noProof/>
    </w:rPr>
  </w:style>
  <w:style w:type="paragraph" w:styleId="Index2">
    <w:name w:val="index 2"/>
    <w:basedOn w:val="Normal"/>
    <w:next w:val="Normal"/>
    <w:semiHidden/>
    <w:rsid w:val="009A366D"/>
    <w:pPr>
      <w:tabs>
        <w:tab w:val="right" w:pos="4176"/>
      </w:tabs>
      <w:ind w:left="568" w:hanging="284"/>
    </w:pPr>
    <w:rPr>
      <w:rFonts w:ascii="Garamond" w:hAnsi="Garamond"/>
    </w:rPr>
  </w:style>
  <w:style w:type="paragraph" w:customStyle="1" w:styleId="Byline">
    <w:name w:val="Byline"/>
    <w:rsid w:val="009A3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66D"/>
    <w:pPr>
      <w:tabs>
        <w:tab w:val="clear" w:pos="3600"/>
        <w:tab w:val="clear" w:pos="3958"/>
      </w:tabs>
      <w:jc w:val="right"/>
    </w:pPr>
  </w:style>
  <w:style w:type="paragraph" w:styleId="Caption">
    <w:name w:val="caption"/>
    <w:basedOn w:val="BodyText"/>
    <w:next w:val="Normal"/>
    <w:qFormat/>
    <w:rsid w:val="009A366D"/>
    <w:pPr>
      <w:framePr w:w="2268" w:hSpace="181" w:vSpace="181" w:wrap="around" w:vAnchor="text" w:hAnchor="page" w:x="1135" w:y="285" w:anchorLock="1"/>
    </w:pPr>
    <w:rPr>
      <w:i/>
    </w:rPr>
  </w:style>
  <w:style w:type="paragraph" w:customStyle="1" w:styleId="MiniTOCTitle">
    <w:name w:val="MiniTOCTitle"/>
    <w:basedOn w:val="Heading4"/>
    <w:rsid w:val="009A366D"/>
    <w:pPr>
      <w:spacing w:before="240"/>
      <w:outlineLvl w:val="9"/>
    </w:pPr>
    <w:rPr>
      <w:noProof/>
      <w:sz w:val="24"/>
    </w:rPr>
  </w:style>
  <w:style w:type="paragraph" w:customStyle="1" w:styleId="MiniTOCItem">
    <w:name w:val="MiniTOCItem"/>
    <w:basedOn w:val="ListBullet"/>
    <w:rsid w:val="009A366D"/>
    <w:pPr>
      <w:numPr>
        <w:numId w:val="0"/>
      </w:numPr>
      <w:tabs>
        <w:tab w:val="right" w:leader="dot" w:pos="6521"/>
      </w:tabs>
      <w:spacing w:before="0" w:after="0"/>
    </w:pPr>
  </w:style>
  <w:style w:type="paragraph" w:customStyle="1" w:styleId="TOFTitle">
    <w:name w:val="TOFTitle"/>
    <w:basedOn w:val="TOCTitle"/>
    <w:rsid w:val="009A366D"/>
  </w:style>
  <w:style w:type="paragraph" w:styleId="TableofFigures">
    <w:name w:val="table of figures"/>
    <w:basedOn w:val="Normal"/>
    <w:next w:val="Normal"/>
    <w:semiHidden/>
    <w:rsid w:val="009A366D"/>
    <w:pPr>
      <w:tabs>
        <w:tab w:val="right" w:leader="dot" w:pos="9072"/>
      </w:tabs>
      <w:ind w:left="970" w:hanging="403"/>
    </w:pPr>
    <w:rPr>
      <w:rFonts w:ascii="Times New Roman" w:hAnsi="Times New Roman"/>
      <w:b/>
    </w:rPr>
  </w:style>
  <w:style w:type="paragraph" w:styleId="ListNumber">
    <w:name w:val="List Number"/>
    <w:basedOn w:val="List"/>
    <w:rsid w:val="009A366D"/>
    <w:pPr>
      <w:numPr>
        <w:numId w:val="11"/>
      </w:numPr>
    </w:pPr>
  </w:style>
  <w:style w:type="character" w:customStyle="1" w:styleId="WingdingSymbols">
    <w:name w:val="Wingding Symbols"/>
    <w:rsid w:val="009A366D"/>
    <w:rPr>
      <w:rFonts w:ascii="Wingdings" w:hAnsi="Wingdings"/>
    </w:rPr>
  </w:style>
  <w:style w:type="paragraph" w:customStyle="1" w:styleId="TableHeading">
    <w:name w:val="Table Heading"/>
    <w:basedOn w:val="HeadingBase"/>
    <w:rsid w:val="009A366D"/>
    <w:pPr>
      <w:keepLines/>
      <w:pBdr>
        <w:bottom w:val="single" w:sz="6" w:space="1" w:color="918585"/>
      </w:pBdr>
      <w:spacing w:before="240"/>
    </w:pPr>
  </w:style>
  <w:style w:type="character" w:customStyle="1" w:styleId="HotSpot">
    <w:name w:val="HotSpot"/>
    <w:rsid w:val="009A366D"/>
    <w:rPr>
      <w:color w:val="0033CC"/>
      <w:u w:val="none"/>
    </w:rPr>
  </w:style>
  <w:style w:type="paragraph" w:customStyle="1" w:styleId="BodyTextRight">
    <w:name w:val="Body Text Right"/>
    <w:basedOn w:val="BodyText"/>
    <w:rsid w:val="009A366D"/>
    <w:pPr>
      <w:spacing w:before="0" w:after="0"/>
      <w:jc w:val="right"/>
    </w:pPr>
  </w:style>
  <w:style w:type="paragraph" w:styleId="Index3">
    <w:name w:val="index 3"/>
    <w:basedOn w:val="ListNumber2"/>
    <w:next w:val="Normal"/>
    <w:semiHidden/>
    <w:rsid w:val="009A366D"/>
    <w:pPr>
      <w:numPr>
        <w:numId w:val="0"/>
      </w:numPr>
      <w:tabs>
        <w:tab w:val="right" w:leader="dot" w:pos="4176"/>
      </w:tabs>
    </w:pPr>
  </w:style>
  <w:style w:type="paragraph" w:styleId="ListNumber2">
    <w:name w:val="List Number 2"/>
    <w:basedOn w:val="List2"/>
    <w:rsid w:val="009A366D"/>
    <w:pPr>
      <w:numPr>
        <w:numId w:val="10"/>
      </w:numPr>
      <w:tabs>
        <w:tab w:val="clear" w:pos="1060"/>
      </w:tabs>
    </w:pPr>
  </w:style>
  <w:style w:type="paragraph" w:customStyle="1" w:styleId="MarginNote">
    <w:name w:val="Margin Note"/>
    <w:basedOn w:val="BodyText"/>
    <w:rsid w:val="009A3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6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66D"/>
    <w:rPr>
      <w:sz w:val="32"/>
    </w:rPr>
  </w:style>
  <w:style w:type="paragraph" w:customStyle="1" w:styleId="HeadingProcedure">
    <w:name w:val="Heading Procedure"/>
    <w:basedOn w:val="HeadingBase"/>
    <w:next w:val="Normal"/>
    <w:rsid w:val="009A366D"/>
    <w:pPr>
      <w:tabs>
        <w:tab w:val="left" w:pos="0"/>
      </w:tabs>
      <w:spacing w:before="120" w:after="60"/>
    </w:pPr>
    <w:rPr>
      <w:i/>
      <w:color w:val="918585"/>
      <w:sz w:val="22"/>
    </w:rPr>
  </w:style>
  <w:style w:type="paragraph" w:customStyle="1" w:styleId="TableBodyText">
    <w:name w:val="Table Body Text"/>
    <w:basedOn w:val="BodyText"/>
    <w:rsid w:val="009A366D"/>
    <w:pPr>
      <w:spacing w:before="60" w:after="60"/>
    </w:pPr>
  </w:style>
  <w:style w:type="paragraph" w:styleId="ListContinue">
    <w:name w:val="List Continue"/>
    <w:basedOn w:val="List"/>
    <w:rsid w:val="009A366D"/>
    <w:pPr>
      <w:ind w:firstLine="0"/>
    </w:pPr>
  </w:style>
  <w:style w:type="paragraph" w:customStyle="1" w:styleId="ListNote">
    <w:name w:val="List Note"/>
    <w:basedOn w:val="List"/>
    <w:rsid w:val="009A366D"/>
    <w:pPr>
      <w:pBdr>
        <w:top w:val="single" w:sz="6" w:space="2" w:color="918585"/>
        <w:bottom w:val="single" w:sz="6" w:space="2" w:color="918585"/>
      </w:pBdr>
      <w:tabs>
        <w:tab w:val="left" w:pos="1021"/>
      </w:tabs>
      <w:ind w:firstLine="0"/>
    </w:pPr>
  </w:style>
  <w:style w:type="paragraph" w:customStyle="1" w:styleId="Warning">
    <w:name w:val="Warning"/>
    <w:basedOn w:val="BodyText"/>
    <w:rsid w:val="009A366D"/>
    <w:pPr>
      <w:shd w:val="clear" w:color="auto" w:fill="D9D9D9"/>
      <w:tabs>
        <w:tab w:val="left" w:pos="992"/>
      </w:tabs>
      <w:ind w:left="119" w:right="119"/>
    </w:pPr>
    <w:rPr>
      <w:sz w:val="20"/>
    </w:rPr>
  </w:style>
  <w:style w:type="paragraph" w:customStyle="1" w:styleId="MarginIcons">
    <w:name w:val="Margin Icons"/>
    <w:basedOn w:val="BodyText"/>
    <w:rsid w:val="009A3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66D"/>
    <w:rPr>
      <w:rFonts w:ascii="Courier New" w:hAnsi="Courier New"/>
    </w:rPr>
  </w:style>
  <w:style w:type="paragraph" w:customStyle="1" w:styleId="NoteBullet">
    <w:name w:val="Note Bullet"/>
    <w:basedOn w:val="Note"/>
    <w:rsid w:val="009A366D"/>
    <w:pPr>
      <w:tabs>
        <w:tab w:val="clear" w:pos="680"/>
      </w:tabs>
      <w:spacing w:before="60" w:after="60"/>
    </w:pPr>
  </w:style>
  <w:style w:type="paragraph" w:customStyle="1" w:styleId="SubHeading2">
    <w:name w:val="SubHeading2"/>
    <w:basedOn w:val="HeadingBase"/>
    <w:rsid w:val="009A366D"/>
    <w:pPr>
      <w:spacing w:before="240" w:after="60"/>
    </w:pPr>
    <w:rPr>
      <w:sz w:val="20"/>
    </w:rPr>
  </w:style>
  <w:style w:type="paragraph" w:customStyle="1" w:styleId="SubHeading1">
    <w:name w:val="SubHeading1"/>
    <w:basedOn w:val="HeadingBase"/>
    <w:rsid w:val="009A366D"/>
    <w:pPr>
      <w:spacing w:before="240" w:after="60"/>
    </w:pPr>
    <w:rPr>
      <w:color w:val="918585"/>
      <w:sz w:val="22"/>
    </w:rPr>
  </w:style>
  <w:style w:type="paragraph" w:customStyle="1" w:styleId="SideHeading">
    <w:name w:val="Side Heading"/>
    <w:basedOn w:val="HeadingBase"/>
    <w:rsid w:val="009A3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66D"/>
    <w:pPr>
      <w:numPr>
        <w:numId w:val="12"/>
      </w:numPr>
    </w:pPr>
  </w:style>
  <w:style w:type="paragraph" w:styleId="PlainText">
    <w:name w:val="Plain Text"/>
    <w:basedOn w:val="Normal"/>
    <w:link w:val="PlainTextChar"/>
    <w:rsid w:val="009A366D"/>
    <w:rPr>
      <w:sz w:val="20"/>
    </w:rPr>
  </w:style>
  <w:style w:type="character" w:customStyle="1" w:styleId="PlainTextChar">
    <w:name w:val="Plain Text Char"/>
    <w:basedOn w:val="DefaultParagraphFont"/>
    <w:link w:val="PlainText"/>
    <w:rsid w:val="009A36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366D"/>
    <w:rPr>
      <w:b/>
      <w:smallCaps/>
    </w:rPr>
  </w:style>
  <w:style w:type="paragraph" w:customStyle="1" w:styleId="TableListNumber">
    <w:name w:val="Table List Number"/>
    <w:basedOn w:val="ListNumber"/>
    <w:rsid w:val="009A366D"/>
    <w:pPr>
      <w:numPr>
        <w:numId w:val="0"/>
      </w:numPr>
    </w:pPr>
  </w:style>
  <w:style w:type="paragraph" w:styleId="TOC4">
    <w:name w:val="toc 4"/>
    <w:basedOn w:val="TOCBase"/>
    <w:next w:val="Normal"/>
    <w:semiHidden/>
    <w:rsid w:val="009A366D"/>
    <w:pPr>
      <w:tabs>
        <w:tab w:val="right" w:leader="dot" w:pos="9071"/>
      </w:tabs>
      <w:ind w:left="1701"/>
    </w:pPr>
  </w:style>
  <w:style w:type="paragraph" w:customStyle="1" w:styleId="ListAlpha">
    <w:name w:val="List Alpha"/>
    <w:basedOn w:val="List"/>
    <w:rsid w:val="009A366D"/>
    <w:pPr>
      <w:numPr>
        <w:numId w:val="9"/>
      </w:numPr>
    </w:pPr>
  </w:style>
  <w:style w:type="paragraph" w:customStyle="1" w:styleId="ListAlpha2">
    <w:name w:val="List Alpha 2"/>
    <w:basedOn w:val="List2"/>
    <w:rsid w:val="009A366D"/>
    <w:pPr>
      <w:numPr>
        <w:numId w:val="8"/>
      </w:numPr>
    </w:pPr>
  </w:style>
  <w:style w:type="paragraph" w:styleId="List2">
    <w:name w:val="List 2"/>
    <w:basedOn w:val="BodyText"/>
    <w:rsid w:val="009A366D"/>
    <w:pPr>
      <w:tabs>
        <w:tab w:val="left" w:pos="680"/>
      </w:tabs>
      <w:spacing w:before="60" w:after="60"/>
      <w:ind w:left="680" w:hanging="340"/>
    </w:pPr>
  </w:style>
  <w:style w:type="paragraph" w:styleId="List3">
    <w:name w:val="List 3"/>
    <w:basedOn w:val="BodyText"/>
    <w:rsid w:val="009A366D"/>
    <w:pPr>
      <w:tabs>
        <w:tab w:val="left" w:pos="1021"/>
      </w:tabs>
      <w:spacing w:before="60" w:after="60"/>
      <w:ind w:left="1020" w:hanging="340"/>
    </w:pPr>
  </w:style>
  <w:style w:type="paragraph" w:styleId="List4">
    <w:name w:val="List 4"/>
    <w:basedOn w:val="BodyText"/>
    <w:rsid w:val="009A366D"/>
    <w:pPr>
      <w:tabs>
        <w:tab w:val="left" w:pos="1361"/>
      </w:tabs>
      <w:spacing w:before="60" w:after="60"/>
      <w:ind w:left="1361" w:hanging="340"/>
    </w:pPr>
  </w:style>
  <w:style w:type="paragraph" w:styleId="List5">
    <w:name w:val="List 5"/>
    <w:basedOn w:val="BodyText"/>
    <w:rsid w:val="009A366D"/>
    <w:pPr>
      <w:tabs>
        <w:tab w:val="left" w:pos="1701"/>
      </w:tabs>
      <w:spacing w:before="60" w:after="60"/>
      <w:ind w:left="1701" w:hanging="340"/>
    </w:pPr>
  </w:style>
  <w:style w:type="paragraph" w:styleId="ListBullet3">
    <w:name w:val="List Bullet 3"/>
    <w:basedOn w:val="List3"/>
    <w:rsid w:val="009A366D"/>
    <w:pPr>
      <w:numPr>
        <w:numId w:val="15"/>
      </w:numPr>
      <w:tabs>
        <w:tab w:val="clear" w:pos="1021"/>
      </w:tabs>
      <w:ind w:left="1037" w:hanging="357"/>
    </w:pPr>
  </w:style>
  <w:style w:type="paragraph" w:styleId="ListBullet4">
    <w:name w:val="List Bullet 4"/>
    <w:basedOn w:val="List4"/>
    <w:rsid w:val="009A366D"/>
    <w:pPr>
      <w:numPr>
        <w:numId w:val="3"/>
      </w:numPr>
    </w:pPr>
  </w:style>
  <w:style w:type="paragraph" w:styleId="ListBullet5">
    <w:name w:val="List Bullet 5"/>
    <w:basedOn w:val="List5"/>
    <w:rsid w:val="009A366D"/>
    <w:pPr>
      <w:numPr>
        <w:numId w:val="4"/>
      </w:numPr>
    </w:pPr>
  </w:style>
  <w:style w:type="paragraph" w:styleId="ListContinue2">
    <w:name w:val="List Continue 2"/>
    <w:basedOn w:val="List2"/>
    <w:rsid w:val="009A366D"/>
    <w:pPr>
      <w:ind w:firstLine="0"/>
    </w:pPr>
  </w:style>
  <w:style w:type="paragraph" w:styleId="ListContinue3">
    <w:name w:val="List Continue 3"/>
    <w:basedOn w:val="List3"/>
    <w:rsid w:val="009A366D"/>
    <w:pPr>
      <w:ind w:left="1021" w:firstLine="0"/>
    </w:pPr>
  </w:style>
  <w:style w:type="paragraph" w:styleId="ListContinue4">
    <w:name w:val="List Continue 4"/>
    <w:basedOn w:val="List4"/>
    <w:rsid w:val="009A366D"/>
    <w:pPr>
      <w:ind w:firstLine="0"/>
    </w:pPr>
  </w:style>
  <w:style w:type="paragraph" w:styleId="ListContinue5">
    <w:name w:val="List Continue 5"/>
    <w:basedOn w:val="List5"/>
    <w:rsid w:val="009A366D"/>
    <w:pPr>
      <w:ind w:firstLine="0"/>
    </w:pPr>
  </w:style>
  <w:style w:type="paragraph" w:styleId="ListNumber3">
    <w:name w:val="List Number 3"/>
    <w:basedOn w:val="List3"/>
    <w:rsid w:val="009A366D"/>
    <w:pPr>
      <w:numPr>
        <w:numId w:val="5"/>
      </w:numPr>
    </w:pPr>
  </w:style>
  <w:style w:type="paragraph" w:styleId="ListNumber4">
    <w:name w:val="List Number 4"/>
    <w:basedOn w:val="List4"/>
    <w:rsid w:val="009A366D"/>
    <w:pPr>
      <w:numPr>
        <w:numId w:val="6"/>
      </w:numPr>
    </w:pPr>
  </w:style>
  <w:style w:type="paragraph" w:styleId="ListNumber5">
    <w:name w:val="List Number 5"/>
    <w:basedOn w:val="List5"/>
    <w:rsid w:val="009A366D"/>
    <w:pPr>
      <w:numPr>
        <w:numId w:val="7"/>
      </w:numPr>
    </w:pPr>
  </w:style>
  <w:style w:type="paragraph" w:styleId="BlockText">
    <w:name w:val="Block Text"/>
    <w:basedOn w:val="Normal"/>
    <w:rsid w:val="009A366D"/>
    <w:pPr>
      <w:spacing w:after="120"/>
      <w:ind w:left="1440" w:right="1440"/>
    </w:pPr>
  </w:style>
  <w:style w:type="character" w:customStyle="1" w:styleId="Subscript">
    <w:name w:val="Subscript"/>
    <w:basedOn w:val="DefaultParagraphFont"/>
    <w:rsid w:val="009A366D"/>
    <w:rPr>
      <w:sz w:val="16"/>
      <w:vertAlign w:val="subscript"/>
    </w:rPr>
  </w:style>
  <w:style w:type="character" w:customStyle="1" w:styleId="Superscript">
    <w:name w:val="Superscript"/>
    <w:basedOn w:val="DefaultParagraphFont"/>
    <w:rsid w:val="009A366D"/>
    <w:rPr>
      <w:sz w:val="16"/>
      <w:vertAlign w:val="superscript"/>
    </w:rPr>
  </w:style>
  <w:style w:type="character" w:customStyle="1" w:styleId="Symbols">
    <w:name w:val="Symbols"/>
    <w:basedOn w:val="DefaultParagraphFont"/>
    <w:rsid w:val="009A366D"/>
    <w:rPr>
      <w:rFonts w:ascii="Symbol" w:hAnsi="Symbol"/>
    </w:rPr>
  </w:style>
  <w:style w:type="character" w:customStyle="1" w:styleId="MenuOptions">
    <w:name w:val="Menu Options"/>
    <w:basedOn w:val="DefaultParagraphFont"/>
    <w:rsid w:val="009A366D"/>
    <w:rPr>
      <w:rFonts w:ascii="Arial Narrow" w:hAnsi="Arial Narrow"/>
      <w:smallCaps/>
    </w:rPr>
  </w:style>
  <w:style w:type="character" w:customStyle="1" w:styleId="Buttons">
    <w:name w:val="Buttons"/>
    <w:basedOn w:val="DefaultParagraphFont"/>
    <w:rsid w:val="009A366D"/>
    <w:rPr>
      <w:b/>
    </w:rPr>
  </w:style>
  <w:style w:type="character" w:customStyle="1" w:styleId="Underlined">
    <w:name w:val="Underlined"/>
    <w:basedOn w:val="DefaultParagraphFont"/>
    <w:rsid w:val="009A366D"/>
    <w:rPr>
      <w:u w:val="single"/>
    </w:rPr>
  </w:style>
  <w:style w:type="paragraph" w:customStyle="1" w:styleId="TableBodyTextRight">
    <w:name w:val="Table Body Text Right"/>
    <w:basedOn w:val="TableBodyText"/>
    <w:rsid w:val="009A366D"/>
    <w:pPr>
      <w:widowControl w:val="0"/>
      <w:autoSpaceDE w:val="0"/>
      <w:autoSpaceDN w:val="0"/>
      <w:adjustRightInd w:val="0"/>
      <w:jc w:val="right"/>
    </w:pPr>
    <w:rPr>
      <w:rFonts w:cs="Arial"/>
      <w:szCs w:val="18"/>
    </w:rPr>
  </w:style>
  <w:style w:type="paragraph" w:customStyle="1" w:styleId="CopyrightText">
    <w:name w:val="Copyright Text"/>
    <w:basedOn w:val="BodyText"/>
    <w:rsid w:val="009A366D"/>
    <w:rPr>
      <w:sz w:val="18"/>
    </w:rPr>
  </w:style>
  <w:style w:type="paragraph" w:customStyle="1" w:styleId="BodySmallRight">
    <w:name w:val="Body Small Right"/>
    <w:basedOn w:val="BodyTextRight"/>
    <w:rsid w:val="009A366D"/>
    <w:rPr>
      <w:sz w:val="18"/>
      <w:szCs w:val="18"/>
    </w:rPr>
  </w:style>
  <w:style w:type="paragraph" w:customStyle="1" w:styleId="MarginEdition">
    <w:name w:val="Margin Edition"/>
    <w:basedOn w:val="MarginNote"/>
    <w:rsid w:val="009A366D"/>
    <w:pPr>
      <w:spacing w:before="0" w:after="0"/>
    </w:pPr>
    <w:rPr>
      <w:rFonts w:ascii="Times New Roman" w:hAnsi="Times New Roman"/>
      <w:color w:val="999999"/>
    </w:rPr>
  </w:style>
  <w:style w:type="paragraph" w:customStyle="1" w:styleId="Spacer">
    <w:name w:val="Spacer"/>
    <w:basedOn w:val="Normal"/>
    <w:rsid w:val="009A366D"/>
    <w:rPr>
      <w:sz w:val="2"/>
      <w:szCs w:val="2"/>
    </w:rPr>
  </w:style>
  <w:style w:type="character" w:customStyle="1" w:styleId="Small">
    <w:name w:val="Small"/>
    <w:basedOn w:val="DefaultParagraphFont"/>
    <w:rsid w:val="009A366D"/>
    <w:rPr>
      <w:sz w:val="16"/>
    </w:rPr>
  </w:style>
  <w:style w:type="paragraph" w:customStyle="1" w:styleId="WideTable">
    <w:name w:val="Wide Table"/>
    <w:basedOn w:val="Normal"/>
    <w:rsid w:val="009A366D"/>
    <w:pPr>
      <w:ind w:left="-1418"/>
    </w:pPr>
    <w:rPr>
      <w:sz w:val="2"/>
      <w:szCs w:val="2"/>
    </w:rPr>
  </w:style>
  <w:style w:type="character" w:styleId="PageNumber">
    <w:name w:val="page number"/>
    <w:basedOn w:val="DefaultParagraphFont"/>
    <w:rsid w:val="009A366D"/>
  </w:style>
  <w:style w:type="paragraph" w:styleId="Quote">
    <w:name w:val="Quote"/>
    <w:basedOn w:val="Heading1"/>
    <w:link w:val="QuoteChar"/>
    <w:qFormat/>
    <w:rsid w:val="009A366D"/>
    <w:rPr>
      <w:b w:val="0"/>
      <w:sz w:val="72"/>
      <w:szCs w:val="72"/>
      <w:lang w:val="en-NZ"/>
    </w:rPr>
  </w:style>
  <w:style w:type="character" w:customStyle="1" w:styleId="QuoteChar">
    <w:name w:val="Quote Char"/>
    <w:basedOn w:val="DefaultParagraphFont"/>
    <w:link w:val="Quote"/>
    <w:rsid w:val="009A3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66D"/>
    <w:pPr>
      <w:pageBreakBefore/>
    </w:pPr>
  </w:style>
  <w:style w:type="paragraph" w:customStyle="1" w:styleId="Border">
    <w:name w:val="Border"/>
    <w:basedOn w:val="Normal"/>
    <w:qFormat/>
    <w:rsid w:val="009A3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66D"/>
    <w:rPr>
      <w:b/>
      <w:bCs/>
      <w:i/>
      <w:iCs/>
      <w:color w:val="auto"/>
    </w:rPr>
  </w:style>
  <w:style w:type="paragraph" w:styleId="IntenseQuote">
    <w:name w:val="Intense Quote"/>
    <w:basedOn w:val="Normal"/>
    <w:next w:val="Normal"/>
    <w:link w:val="IntenseQuoteChar"/>
    <w:uiPriority w:val="30"/>
    <w:qFormat/>
    <w:rsid w:val="009A3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6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366D"/>
    <w:rPr>
      <w:smallCaps/>
      <w:color w:val="auto"/>
      <w:u w:val="single"/>
    </w:rPr>
  </w:style>
  <w:style w:type="character" w:styleId="IntenseReference">
    <w:name w:val="Intense Reference"/>
    <w:basedOn w:val="DefaultParagraphFont"/>
    <w:uiPriority w:val="32"/>
    <w:qFormat/>
    <w:rsid w:val="009A366D"/>
    <w:rPr>
      <w:b/>
      <w:bCs/>
      <w:smallCaps/>
      <w:color w:val="auto"/>
      <w:spacing w:val="5"/>
      <w:u w:val="single"/>
    </w:rPr>
  </w:style>
  <w:style w:type="paragraph" w:customStyle="1" w:styleId="2ColumnHeading">
    <w:name w:val="2Column Heading"/>
    <w:basedOn w:val="BodyText"/>
    <w:qFormat/>
    <w:rsid w:val="009A366D"/>
    <w:pPr>
      <w:spacing w:after="60"/>
      <w:ind w:left="-2268"/>
    </w:pPr>
    <w:rPr>
      <w:b/>
    </w:rPr>
  </w:style>
  <w:style w:type="paragraph" w:customStyle="1" w:styleId="Heading1TOC">
    <w:name w:val="Heading1 TOC"/>
    <w:basedOn w:val="Normal"/>
    <w:qFormat/>
    <w:rsid w:val="009A366D"/>
    <w:pPr>
      <w:spacing w:before="240" w:after="120"/>
    </w:pPr>
    <w:rPr>
      <w:rFonts w:ascii="Times New Roman" w:hAnsi="Times New Roman"/>
      <w:b/>
      <w:sz w:val="32"/>
    </w:rPr>
  </w:style>
  <w:style w:type="paragraph" w:customStyle="1" w:styleId="Heading2TOC">
    <w:name w:val="Heading2 TOC"/>
    <w:basedOn w:val="Normal"/>
    <w:qFormat/>
    <w:rsid w:val="009A366D"/>
    <w:pPr>
      <w:spacing w:before="240" w:after="60"/>
    </w:pPr>
    <w:rPr>
      <w:rFonts w:ascii="Times New Roman" w:hAnsi="Times New Roman"/>
      <w:b/>
      <w:sz w:val="28"/>
    </w:rPr>
  </w:style>
  <w:style w:type="character" w:customStyle="1" w:styleId="Underline">
    <w:name w:val="Underline"/>
    <w:basedOn w:val="DefaultParagraphFont"/>
    <w:qFormat/>
    <w:rsid w:val="009A366D"/>
    <w:rPr>
      <w:u w:val="single"/>
    </w:rPr>
  </w:style>
  <w:style w:type="character" w:customStyle="1" w:styleId="BoldandItalics">
    <w:name w:val="Bold and Italics"/>
    <w:qFormat/>
    <w:rsid w:val="009A366D"/>
    <w:rPr>
      <w:b/>
      <w:i/>
      <w:u w:val="none"/>
    </w:rPr>
  </w:style>
  <w:style w:type="paragraph" w:styleId="BalloonText">
    <w:name w:val="Balloon Text"/>
    <w:basedOn w:val="Normal"/>
    <w:link w:val="BalloonTextChar"/>
    <w:rsid w:val="009A366D"/>
    <w:rPr>
      <w:rFonts w:ascii="Tahoma" w:hAnsi="Tahoma" w:cs="Tahoma"/>
      <w:sz w:val="16"/>
      <w:szCs w:val="16"/>
    </w:rPr>
  </w:style>
  <w:style w:type="character" w:customStyle="1" w:styleId="BalloonTextChar">
    <w:name w:val="Balloon Text Char"/>
    <w:basedOn w:val="DefaultParagraphFont"/>
    <w:link w:val="BalloonText"/>
    <w:rsid w:val="009A36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6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6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6472</Characters>
  <Application>Microsoft Office Word</Application>
  <DocSecurity>0</DocSecurity>
  <Lines>246</Lines>
  <Paragraphs>119</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HLTEN521B Determine the eligibility of aphoresis donors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2012-05-27T00:24:00Z</dcterms:created>
  <dcterms:modified xsi:type="dcterms:W3CDTF">2012-05-27T00:24:00Z</dcterms:modified>
</cp:coreProperties>
</file>