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70ECC" w:rsidP="00F70ECC">
      <w:pPr>
        <w:pStyle w:val="Title"/>
      </w:pPr>
      <w:bookmarkStart w:id="0" w:name="_GoBack"/>
      <w:bookmarkEnd w:id="0"/>
      <w:r>
        <w:fldChar w:fldCharType="begin"/>
      </w:r>
      <w:r>
        <w:instrText xml:space="preserve"> TITLE   \* MERGEFORMAT </w:instrText>
      </w:r>
      <w:r>
        <w:fldChar w:fldCharType="separate"/>
      </w:r>
      <w:r>
        <w:t>HLTEN519C Administer and monitor intravenous medication in the nursing environment</w:t>
      </w:r>
      <w:r>
        <w:fldChar w:fldCharType="end"/>
      </w:r>
    </w:p>
    <w:p w:rsidR="00F70ECC" w:rsidP="00F70ECC">
      <w:pPr>
        <w:pStyle w:val="Version"/>
        <w:sectPr w:rsidSect="00511DA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11DA9" w:rsidP="00511DA9">
      <w:pPr>
        <w:pStyle w:val="SuperHeading"/>
      </w:pPr>
      <w:r w:rsidRPr="00511DA9">
        <w:t>HLTEN519C Administer and monitor intravenous medication in the nursing environment</w:t>
      </w:r>
    </w:p>
    <w:p w:rsidR="00000000" w:rsidRPr="00511DA9" w:rsidP="00511DA9">
      <w:pPr>
        <w:pStyle w:val="Heading1"/>
      </w:pPr>
      <w:bookmarkStart w:id="1" w:name="O_425625"/>
      <w:bookmarkEnd w:id="1"/>
      <w:r w:rsidRPr="00511DA9">
        <w:t>Modification History</w:t>
      </w:r>
    </w:p>
    <w:tbl>
      <w:tblPr>
        <w:tblW w:w="0" w:type="auto"/>
        <w:tblCellMar>
          <w:left w:w="62" w:type="dxa"/>
          <w:right w:w="62" w:type="dxa"/>
        </w:tblCellMar>
        <w:tblLook w:val="0000"/>
      </w:tblPr>
      <w:tblGrid>
        <w:gridCol w:w="2335"/>
        <w:gridCol w:w="2814"/>
        <w:gridCol w:w="4047"/>
      </w:tblGrid>
      <w:tr w:rsidTr="00F70EC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11DA9">
            <w:pPr>
              <w:pStyle w:val="BodyText"/>
              <w:rPr>
                <w:lang w:val="en-NZ"/>
              </w:rPr>
            </w:pPr>
            <w:r w:rsidRPr="00511DA9">
              <w:t>HLT07 Version 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11DA9">
            <w:pPr>
              <w:pStyle w:val="BodyText"/>
              <w:rPr>
                <w:lang w:val="en-NZ"/>
              </w:rPr>
            </w:pPr>
            <w:r w:rsidRPr="00511DA9">
              <w:t>HLT07 Version 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11DA9">
            <w:pPr>
              <w:pStyle w:val="BodyText"/>
              <w:rPr>
                <w:lang w:val="en-NZ"/>
              </w:rPr>
            </w:pPr>
            <w:r w:rsidRPr="00511DA9">
              <w:t>Comments</w:t>
            </w:r>
          </w:p>
        </w:tc>
      </w:tr>
      <w:tr w:rsidTr="00F70ECC">
        <w:tblPrEx>
          <w:tblW w:w="0" w:type="auto"/>
          <w:tblCellMar>
            <w:left w:w="62" w:type="dxa"/>
            <w:right w:w="62" w:type="dxa"/>
          </w:tblCellMar>
          <w:tblLook w:val="0000"/>
        </w:tblPrEx>
        <w:trPr>
          <w:trHeight w:val="858"/>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11DA9">
            <w:pPr>
              <w:pStyle w:val="BodyText"/>
              <w:rPr>
                <w:lang w:val="en-NZ"/>
              </w:rPr>
            </w:pPr>
            <w:r w:rsidRPr="00511DA9">
              <w:t>HLTE</w:t>
            </w:r>
            <w:r w:rsidRPr="00511DA9">
              <w:t>N519B Administer and monitor intravenous medication in the nursing environment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11DA9">
            <w:pPr>
              <w:pStyle w:val="BodyText"/>
              <w:rPr>
                <w:lang w:val="en-NZ"/>
              </w:rPr>
            </w:pPr>
            <w:r w:rsidRPr="00511DA9">
              <w:t>HLTEN519C Administer and monitor intravenous medication in the nursing environment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11DA9" w:rsidP="00511DA9">
            <w:pPr>
              <w:pStyle w:val="BodyText"/>
            </w:pPr>
            <w:r w:rsidRPr="00511DA9">
              <w:t>Updated pre-requisite units. No change to competency outcome.</w:t>
            </w:r>
          </w:p>
        </w:tc>
      </w:tr>
    </w:tbl>
    <w:p w:rsidR="00F70ECC" w:rsidP="00511DA9">
      <w:pPr>
        <w:pStyle w:val="BodyText"/>
      </w:pPr>
    </w:p>
    <w:p w:rsidR="00F70ECC" w:rsidP="00511DA9">
      <w:pPr>
        <w:pStyle w:val="BodyText"/>
      </w:pPr>
    </w:p>
    <w:p w:rsidR="00000000" w:rsidRPr="00511DA9" w:rsidP="00511DA9">
      <w:pPr>
        <w:pStyle w:val="Heading1"/>
      </w:pPr>
      <w:bookmarkStart w:id="2" w:name="O_425623"/>
      <w:bookmarkEnd w:id="2"/>
      <w:r w:rsidRPr="00511DA9">
        <w:t>Unit Descriptor</w:t>
      </w:r>
    </w:p>
    <w:tbl>
      <w:tblPr>
        <w:tblW w:w="0" w:type="auto"/>
        <w:tblLayout w:type="fixed"/>
        <w:tblCellMar>
          <w:left w:w="62" w:type="dxa"/>
          <w:right w:w="62" w:type="dxa"/>
        </w:tblCellMar>
        <w:tblLook w:val="0000"/>
      </w:tblPr>
      <w:tblGrid>
        <w:gridCol w:w="3331"/>
        <w:gridCol w:w="5225"/>
      </w:tblGrid>
      <w:tr w:rsidTr="00F70ECC">
        <w:tblPrEx>
          <w:tblW w:w="0" w:type="auto"/>
          <w:tblLayout w:type="fixed"/>
          <w:tblCellMar>
            <w:left w:w="62" w:type="dxa"/>
            <w:right w:w="62" w:type="dxa"/>
          </w:tblCellMar>
          <w:tblLook w:val="0000"/>
        </w:tblPrEx>
        <w:trPr>
          <w:tblHeader/>
        </w:trPr>
        <w:tc>
          <w:tcPr>
            <w:tcW w:w="3331" w:type="dxa"/>
            <w:tcBorders>
              <w:top w:val="nil"/>
              <w:left w:val="nil"/>
              <w:bottom w:val="nil"/>
              <w:right w:val="nil"/>
            </w:tcBorders>
            <w:tcMar>
              <w:top w:w="0" w:type="dxa"/>
              <w:left w:w="62" w:type="dxa"/>
              <w:bottom w:w="0" w:type="dxa"/>
              <w:right w:w="62" w:type="dxa"/>
            </w:tcMar>
          </w:tcPr>
          <w:p w:rsidR="00000000" w:rsidP="00511DA9">
            <w:pPr>
              <w:pStyle w:val="BodyText"/>
              <w:rPr>
                <w:lang w:val="en-NZ"/>
              </w:rPr>
            </w:pPr>
            <w:r w:rsidRPr="00511DA9">
              <w:rPr>
                <w:rStyle w:val="SpecialBold"/>
              </w:rPr>
              <w:t>Descriptor</w:t>
            </w:r>
          </w:p>
        </w:tc>
        <w:tc>
          <w:tcPr>
            <w:tcW w:w="5225" w:type="dxa"/>
            <w:tcBorders>
              <w:top w:val="nil"/>
              <w:left w:val="nil"/>
              <w:bottom w:val="nil"/>
              <w:right w:val="nil"/>
            </w:tcBorders>
            <w:tcMar>
              <w:top w:w="0" w:type="dxa"/>
              <w:left w:w="62" w:type="dxa"/>
              <w:bottom w:w="0" w:type="dxa"/>
              <w:right w:w="62" w:type="dxa"/>
            </w:tcMar>
          </w:tcPr>
          <w:p w:rsidR="00000000" w:rsidRPr="00511DA9" w:rsidP="00511DA9">
            <w:pPr>
              <w:pStyle w:val="BodyText"/>
            </w:pPr>
            <w:r w:rsidRPr="00511DA9">
              <w:t>This unit of competency describes the skills and knowledge required of Enrolled/Division 2 nurses to administer and monitor intravenous medications and their effectiveness for clients within the nursing context.</w:t>
            </w:r>
          </w:p>
        </w:tc>
      </w:tr>
    </w:tbl>
    <w:p w:rsidR="00F70ECC" w:rsidP="00511DA9">
      <w:pPr>
        <w:pStyle w:val="BodyText"/>
      </w:pPr>
    </w:p>
    <w:p w:rsidR="00F70ECC" w:rsidP="00511DA9">
      <w:pPr>
        <w:pStyle w:val="BodyText"/>
      </w:pPr>
    </w:p>
    <w:p w:rsidR="00000000" w:rsidRPr="00511DA9" w:rsidP="00511DA9">
      <w:pPr>
        <w:pStyle w:val="Heading1"/>
      </w:pPr>
      <w:bookmarkStart w:id="3" w:name="O_425613"/>
      <w:bookmarkEnd w:id="3"/>
      <w:r w:rsidRPr="00511DA9">
        <w:t>Application of the Unit</w:t>
      </w:r>
    </w:p>
    <w:tbl>
      <w:tblPr>
        <w:tblW w:w="0" w:type="auto"/>
        <w:tblLayout w:type="fixed"/>
        <w:tblCellMar>
          <w:left w:w="62" w:type="dxa"/>
          <w:right w:w="62" w:type="dxa"/>
        </w:tblCellMar>
        <w:tblLook w:val="0000"/>
      </w:tblPr>
      <w:tblGrid>
        <w:gridCol w:w="3329"/>
        <w:gridCol w:w="5227"/>
      </w:tblGrid>
      <w:tr w:rsidTr="00F70ECC">
        <w:tblPrEx>
          <w:tblW w:w="0" w:type="auto"/>
          <w:tblLayout w:type="fixed"/>
          <w:tblCellMar>
            <w:left w:w="62" w:type="dxa"/>
            <w:right w:w="62" w:type="dxa"/>
          </w:tblCellMar>
          <w:tblLook w:val="0000"/>
        </w:tblPrEx>
        <w:tc>
          <w:tcPr>
            <w:tcW w:w="3329" w:type="dxa"/>
            <w:tcBorders>
              <w:top w:val="nil"/>
              <w:left w:val="nil"/>
              <w:bottom w:val="nil"/>
              <w:right w:val="nil"/>
            </w:tcBorders>
            <w:tcMar>
              <w:top w:w="0" w:type="dxa"/>
              <w:left w:w="62" w:type="dxa"/>
              <w:bottom w:w="0" w:type="dxa"/>
              <w:right w:w="62" w:type="dxa"/>
            </w:tcMar>
          </w:tcPr>
          <w:p w:rsidR="00000000" w:rsidP="00511DA9">
            <w:pPr>
              <w:pStyle w:val="BodyText"/>
              <w:rPr>
                <w:lang w:val="en-NZ"/>
              </w:rPr>
            </w:pPr>
            <w:r w:rsidRPr="00511DA9">
              <w:rPr>
                <w:rStyle w:val="SpecialBold"/>
              </w:rPr>
              <w:t>Application</w:t>
            </w:r>
          </w:p>
        </w:tc>
        <w:tc>
          <w:tcPr>
            <w:tcW w:w="5227" w:type="dxa"/>
            <w:tcBorders>
              <w:top w:val="nil"/>
              <w:left w:val="nil"/>
              <w:bottom w:val="nil"/>
              <w:right w:val="nil"/>
            </w:tcBorders>
            <w:tcMar>
              <w:top w:w="0" w:type="dxa"/>
              <w:left w:w="62" w:type="dxa"/>
              <w:bottom w:w="0" w:type="dxa"/>
              <w:right w:w="62" w:type="dxa"/>
            </w:tcMar>
          </w:tcPr>
          <w:p w:rsidR="00000000" w:rsidRPr="00511DA9" w:rsidP="00511DA9">
            <w:pPr>
              <w:pStyle w:val="BodyText"/>
            </w:pPr>
            <w:r w:rsidRPr="00511DA9">
              <w:t>The knowledge and skills described in this competency unit are to be applied within jurisdictional nursing and midwifery regulatory authority legislative requirements</w:t>
            </w:r>
          </w:p>
          <w:p w:rsidR="00000000" w:rsidRPr="00511DA9" w:rsidP="00511DA9">
            <w:pPr>
              <w:pStyle w:val="BodyText"/>
            </w:pPr>
            <w:r w:rsidRPr="00511DA9">
              <w:t>Enrolled/Division 2 nursing work is to be carried out in consultation/collaboration with registered nurses and under direct or indirect supervisory arrangements in line with jurisdictional regulatory requirements</w:t>
            </w:r>
          </w:p>
        </w:tc>
      </w:tr>
    </w:tbl>
    <w:p w:rsidR="00F70ECC" w:rsidP="00511DA9">
      <w:pPr>
        <w:pStyle w:val="BodyText"/>
      </w:pPr>
    </w:p>
    <w:p w:rsidR="00F70ECC" w:rsidP="00511DA9">
      <w:pPr>
        <w:pStyle w:val="BodyText"/>
      </w:pPr>
    </w:p>
    <w:p w:rsidR="00000000" w:rsidRPr="00511DA9" w:rsidP="00511DA9">
      <w:pPr>
        <w:pStyle w:val="Heading1"/>
      </w:pPr>
      <w:bookmarkStart w:id="4" w:name="O_425619"/>
      <w:bookmarkEnd w:id="4"/>
      <w:r w:rsidRPr="00511DA9">
        <w:t>Licensing/Regulatory</w:t>
      </w:r>
      <w:r w:rsidRPr="00511DA9">
        <w:t xml:space="preserve"> Information</w:t>
      </w:r>
    </w:p>
    <w:p w:rsidR="00000000" w:rsidRPr="00511DA9" w:rsidP="00511DA9">
      <w:pPr>
        <w:pStyle w:val="BodyText"/>
      </w:pPr>
      <w:r w:rsidRPr="00511DA9">
        <w:t>Not Applicable</w:t>
      </w:r>
    </w:p>
    <w:p w:rsidR="00000000" w:rsidRPr="00511DA9" w:rsidP="00511DA9">
      <w:pPr>
        <w:pStyle w:val="AllowPageBreak"/>
      </w:pPr>
    </w:p>
    <w:p w:rsidR="00000000" w:rsidRPr="00511DA9" w:rsidP="00511DA9">
      <w:pPr>
        <w:pStyle w:val="Heading1"/>
      </w:pPr>
      <w:bookmarkStart w:id="5" w:name="O_425620"/>
      <w:bookmarkEnd w:id="5"/>
      <w:r w:rsidRPr="00511DA9">
        <w:t>Pre-Requisites</w:t>
      </w:r>
    </w:p>
    <w:tbl>
      <w:tblPr>
        <w:tblW w:w="0" w:type="auto"/>
        <w:tblLayout w:type="fixed"/>
        <w:tblCellMar>
          <w:left w:w="62" w:type="dxa"/>
          <w:right w:w="62" w:type="dxa"/>
        </w:tblCellMar>
        <w:tblLook w:val="0000"/>
      </w:tblPr>
      <w:tblGrid>
        <w:gridCol w:w="3213"/>
        <w:gridCol w:w="5343"/>
      </w:tblGrid>
      <w:tr w:rsidTr="00F70ECC">
        <w:tblPrEx>
          <w:tblW w:w="0" w:type="auto"/>
          <w:tblLayout w:type="fixed"/>
          <w:tblCellMar>
            <w:left w:w="62" w:type="dxa"/>
            <w:right w:w="62" w:type="dxa"/>
          </w:tblCellMar>
          <w:tblLook w:val="0000"/>
        </w:tblPrEx>
        <w:tc>
          <w:tcPr>
            <w:tcW w:w="3213" w:type="dxa"/>
            <w:tcBorders>
              <w:top w:val="nil"/>
              <w:left w:val="nil"/>
              <w:bottom w:val="nil"/>
              <w:right w:val="nil"/>
            </w:tcBorders>
            <w:tcMar>
              <w:top w:w="0" w:type="dxa"/>
              <w:left w:w="62" w:type="dxa"/>
              <w:bottom w:w="0" w:type="dxa"/>
              <w:right w:w="62" w:type="dxa"/>
            </w:tcMar>
          </w:tcPr>
          <w:p w:rsidR="00000000" w:rsidP="00511DA9">
            <w:pPr>
              <w:pStyle w:val="BodyText"/>
              <w:rPr>
                <w:lang w:val="en-NZ"/>
              </w:rPr>
            </w:pPr>
            <w:r w:rsidRPr="00511DA9">
              <w:rPr>
                <w:rStyle w:val="SpecialBold"/>
              </w:rPr>
              <w:t>Pre-requisite units</w:t>
            </w:r>
          </w:p>
        </w:tc>
        <w:tc>
          <w:tcPr>
            <w:tcW w:w="5343" w:type="dxa"/>
            <w:tcBorders>
              <w:top w:val="nil"/>
              <w:left w:val="nil"/>
              <w:bottom w:val="nil"/>
              <w:right w:val="nil"/>
            </w:tcBorders>
            <w:tcMar>
              <w:top w:w="0" w:type="dxa"/>
              <w:left w:w="62" w:type="dxa"/>
              <w:bottom w:w="0" w:type="dxa"/>
              <w:right w:w="62" w:type="dxa"/>
            </w:tcMar>
          </w:tcPr>
          <w:p w:rsidR="00000000" w:rsidRPr="00511DA9" w:rsidP="00511DA9">
            <w:pPr>
              <w:pStyle w:val="BodyText"/>
            </w:pPr>
            <w:r w:rsidRPr="00511DA9">
              <w:t>This unit must be assessed after successful achievement of pre-requisites:</w:t>
            </w:r>
          </w:p>
          <w:p w:rsidR="00000000" w:rsidRPr="00511DA9" w:rsidP="00511DA9">
            <w:pPr>
              <w:pStyle w:val="ListBullet"/>
            </w:pPr>
            <w:r w:rsidRPr="00511DA9">
              <w:t xml:space="preserve">HLTWHS300A Contribute to WHS processes </w:t>
            </w:r>
          </w:p>
          <w:p w:rsidR="00000000" w:rsidRPr="00511DA9" w:rsidP="00511DA9">
            <w:pPr>
              <w:pStyle w:val="ListBullet"/>
            </w:pPr>
            <w:r w:rsidRPr="00511DA9">
              <w:t xml:space="preserve">HLTIN301C Comply with infection control policies and procedures </w:t>
            </w:r>
          </w:p>
          <w:p w:rsidR="00000000" w:rsidRPr="00511DA9" w:rsidP="00511DA9">
            <w:pPr>
              <w:pStyle w:val="ListBullet"/>
            </w:pPr>
            <w:r w:rsidRPr="00511DA9">
              <w:t xml:space="preserve">HLTAP501C Analyse health information </w:t>
            </w:r>
          </w:p>
          <w:p w:rsidR="00000000" w:rsidRPr="00511DA9" w:rsidP="00511DA9">
            <w:pPr>
              <w:pStyle w:val="ListBullet"/>
            </w:pPr>
            <w:r w:rsidRPr="00511DA9">
              <w:t>HLTEN505C Contribute to the complex nursing care of clients</w:t>
            </w:r>
          </w:p>
          <w:p w:rsidR="00000000" w:rsidRPr="00511DA9" w:rsidP="00511DA9">
            <w:pPr>
              <w:pStyle w:val="ListBullet"/>
            </w:pPr>
            <w:r w:rsidRPr="00511DA9">
              <w:t>HLTEN507C Administer and monitor medication in the work environment</w:t>
            </w:r>
          </w:p>
        </w:tc>
      </w:tr>
    </w:tbl>
    <w:p w:rsidR="00F70ECC" w:rsidP="00511DA9">
      <w:pPr>
        <w:pStyle w:val="BodyText"/>
      </w:pPr>
    </w:p>
    <w:p w:rsidR="00F70ECC" w:rsidP="00511DA9">
      <w:pPr>
        <w:pStyle w:val="BodyText"/>
      </w:pPr>
    </w:p>
    <w:p w:rsidR="00000000" w:rsidRPr="00511DA9" w:rsidP="00511DA9">
      <w:pPr>
        <w:pStyle w:val="Heading1"/>
      </w:pPr>
      <w:bookmarkStart w:id="6" w:name="O_425616"/>
      <w:bookmarkEnd w:id="6"/>
      <w:r w:rsidRPr="00511DA9">
        <w:t>Emplo</w:t>
      </w:r>
      <w:r w:rsidRPr="00511DA9">
        <w:t>yability Skills Information</w:t>
      </w:r>
    </w:p>
    <w:tbl>
      <w:tblPr>
        <w:tblW w:w="0" w:type="auto"/>
        <w:tblLayout w:type="fixed"/>
        <w:tblCellMar>
          <w:left w:w="62" w:type="dxa"/>
          <w:right w:w="62" w:type="dxa"/>
        </w:tblCellMar>
        <w:tblLook w:val="0000"/>
      </w:tblPr>
      <w:tblGrid>
        <w:gridCol w:w="3320"/>
        <w:gridCol w:w="5236"/>
      </w:tblGrid>
      <w:tr w:rsidTr="00F70ECC">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511DA9">
            <w:pPr>
              <w:pStyle w:val="BodyText"/>
              <w:rPr>
                <w:lang w:val="en-NZ"/>
              </w:rPr>
            </w:pPr>
            <w:r w:rsidRPr="00511DA9">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511DA9" w:rsidP="00511DA9">
            <w:pPr>
              <w:pStyle w:val="BodyText"/>
            </w:pPr>
            <w:r w:rsidRPr="00511DA9">
              <w:t>This unit contains Employability Skills</w:t>
            </w:r>
          </w:p>
        </w:tc>
      </w:tr>
    </w:tbl>
    <w:p w:rsidR="00F70ECC" w:rsidP="00511DA9">
      <w:pPr>
        <w:pStyle w:val="BodyText"/>
      </w:pPr>
    </w:p>
    <w:p w:rsidR="00F70ECC" w:rsidP="00511DA9">
      <w:pPr>
        <w:pStyle w:val="BodyText"/>
      </w:pPr>
    </w:p>
    <w:p w:rsidR="00000000" w:rsidRPr="00511DA9" w:rsidP="00511DA9">
      <w:pPr>
        <w:pStyle w:val="Heading1"/>
      </w:pPr>
      <w:bookmarkStart w:id="7" w:name="O_425615"/>
      <w:bookmarkEnd w:id="7"/>
      <w:r w:rsidRPr="00511DA9">
        <w:t>Elements and Performance Criteria Pre-Content</w:t>
      </w:r>
    </w:p>
    <w:tbl>
      <w:tblPr>
        <w:tblW w:w="0" w:type="auto"/>
        <w:tblLayout w:type="fixed"/>
        <w:tblCellMar>
          <w:left w:w="62" w:type="dxa"/>
          <w:right w:w="62" w:type="dxa"/>
        </w:tblCellMar>
        <w:tblLook w:val="0000"/>
      </w:tblPr>
      <w:tblGrid>
        <w:gridCol w:w="3369"/>
        <w:gridCol w:w="5702"/>
      </w:tblGrid>
      <w:tr w:rsidTr="00F70EC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11DA9">
            <w:pPr>
              <w:pStyle w:val="BodyText"/>
              <w:rPr>
                <w:lang w:val="en-NZ"/>
              </w:rPr>
            </w:pPr>
            <w:r w:rsidRPr="00511DA9">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511DA9" w:rsidP="00511DA9">
            <w:pPr>
              <w:pStyle w:val="BodyText"/>
            </w:pPr>
            <w:r w:rsidRPr="00511DA9">
              <w:t xml:space="preserve">The Performance Criteria specify the level of performance required to demonstrate achievement of the Element.  Terms in italics are elaborated in the Range Statement. </w:t>
            </w:r>
          </w:p>
        </w:tc>
      </w:tr>
    </w:tbl>
    <w:p w:rsidR="00000000" w:rsidRPr="00511DA9" w:rsidP="00511DA9">
      <w:pPr>
        <w:pStyle w:val="BodyText"/>
      </w:pPr>
    </w:p>
    <w:p w:rsidR="00000000" w:rsidRPr="00511DA9" w:rsidP="00511DA9">
      <w:pPr>
        <w:pStyle w:val="AllowPageBreak"/>
      </w:pPr>
    </w:p>
    <w:p w:rsidR="00000000" w:rsidRPr="00511DA9" w:rsidP="00511DA9">
      <w:pPr>
        <w:pStyle w:val="Heading1"/>
      </w:pPr>
      <w:bookmarkStart w:id="8" w:name="O_425614"/>
      <w:bookmarkEnd w:id="8"/>
      <w:r w:rsidRPr="00511DA9">
        <w:t>Elements and Performance Criteria</w:t>
      </w:r>
    </w:p>
    <w:tbl>
      <w:tblPr>
        <w:tblW w:w="0" w:type="auto"/>
        <w:tblLayout w:type="fixed"/>
        <w:tblCellMar>
          <w:left w:w="62" w:type="dxa"/>
          <w:right w:w="62" w:type="dxa"/>
        </w:tblCellMar>
        <w:tblLook w:val="0000"/>
      </w:tblPr>
      <w:tblGrid>
        <w:gridCol w:w="3369"/>
        <w:gridCol w:w="5702"/>
      </w:tblGrid>
      <w:tr w:rsidTr="00F70ECC">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511DA9" w:rsidP="00511DA9">
            <w:pPr>
              <w:pStyle w:val="BodyText"/>
            </w:pPr>
            <w:r w:rsidRPr="00511DA9">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511DA9">
            <w:pPr>
              <w:pStyle w:val="BodyText"/>
              <w:rPr>
                <w:lang w:val="en-NZ"/>
              </w:rPr>
            </w:pPr>
            <w:r w:rsidRPr="00511DA9">
              <w:rPr>
                <w:rStyle w:val="SpecialBold"/>
              </w:rPr>
              <w:t>PERFORMANCE CRITERIA</w:t>
            </w:r>
          </w:p>
        </w:tc>
      </w:tr>
      <w:tr w:rsidTr="00F70EC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511DA9">
            <w:pPr>
              <w:pStyle w:val="BodyText"/>
              <w:rPr>
                <w:lang w:val="en-NZ"/>
              </w:rPr>
            </w:pPr>
          </w:p>
        </w:tc>
      </w:tr>
      <w:tr w:rsidTr="00F70EC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11DA9">
            <w:pPr>
              <w:pStyle w:val="List"/>
              <w:rPr>
                <w:lang w:val="en-NZ"/>
              </w:rPr>
            </w:pPr>
            <w:r w:rsidRPr="00511DA9">
              <w:t>1.</w:t>
            </w:r>
            <w:r w:rsidRPr="00511DA9">
              <w:tab/>
              <w:t xml:space="preserve">Minimise risk to the safe </w:t>
            </w:r>
            <w:r w:rsidRPr="00511DA9">
              <w:rPr>
                <w:rStyle w:val="Emphasis"/>
              </w:rPr>
              <w:t>administration of intravenous medication</w:t>
            </w:r>
          </w:p>
        </w:tc>
        <w:tc>
          <w:tcPr>
            <w:tcW w:w="5702" w:type="dxa"/>
            <w:tcBorders>
              <w:top w:val="nil"/>
              <w:left w:val="nil"/>
              <w:bottom w:val="nil"/>
              <w:right w:val="nil"/>
            </w:tcBorders>
            <w:tcMar>
              <w:top w:w="0" w:type="dxa"/>
              <w:left w:w="62" w:type="dxa"/>
              <w:bottom w:w="0" w:type="dxa"/>
              <w:right w:w="62" w:type="dxa"/>
            </w:tcMar>
          </w:tcPr>
          <w:p w:rsidR="00000000" w:rsidRPr="00511DA9" w:rsidP="00511DA9">
            <w:pPr>
              <w:pStyle w:val="BodyText"/>
            </w:pPr>
            <w:r w:rsidRPr="00511DA9">
              <w:t>1.1</w:t>
            </w:r>
            <w:r w:rsidRPr="00511DA9">
              <w:tab/>
              <w:t>Check for pharmacology and substance incompatibilities</w:t>
            </w:r>
          </w:p>
          <w:p w:rsidR="00000000" w:rsidRPr="00511DA9" w:rsidP="00511DA9">
            <w:pPr>
              <w:pStyle w:val="BodyText"/>
            </w:pPr>
            <w:r w:rsidRPr="00511DA9">
              <w:t>1.2</w:t>
            </w:r>
            <w:r w:rsidRPr="00511DA9">
              <w:tab/>
              <w:t>Review issues related to drug administration with registered nurse</w:t>
            </w:r>
          </w:p>
          <w:p w:rsidR="00000000" w:rsidRPr="00511DA9" w:rsidP="00511DA9">
            <w:pPr>
              <w:pStyle w:val="BodyText"/>
            </w:pPr>
            <w:r w:rsidRPr="00511DA9">
              <w:t>1.3</w:t>
            </w:r>
            <w:r w:rsidRPr="00511DA9">
              <w:tab/>
              <w:t>Identify common contraindications and adverse reaction</w:t>
            </w:r>
            <w:r w:rsidRPr="00511DA9">
              <w:t>s of prescribed intravenous medications</w:t>
            </w:r>
          </w:p>
          <w:p w:rsidR="00000000" w:rsidRPr="00511DA9" w:rsidP="00511DA9">
            <w:pPr>
              <w:pStyle w:val="BodyText"/>
            </w:pPr>
            <w:r w:rsidRPr="00511DA9">
              <w:t>1.4</w:t>
            </w:r>
            <w:r w:rsidRPr="00511DA9">
              <w:tab/>
              <w:t xml:space="preserve">Confirm client identity and check for any known allergies </w:t>
            </w:r>
          </w:p>
          <w:p w:rsidR="00000000" w:rsidRPr="00511DA9" w:rsidP="00511DA9">
            <w:pPr>
              <w:pStyle w:val="BodyText"/>
            </w:pPr>
            <w:r w:rsidRPr="00511DA9">
              <w:t>1.5</w:t>
            </w:r>
            <w:r w:rsidRPr="00511DA9">
              <w:tab/>
              <w:t>Maintain knowledge of drug schedules and classifications as determined by legislation</w:t>
            </w:r>
          </w:p>
          <w:p w:rsidR="00000000" w:rsidRPr="00511DA9" w:rsidP="00511DA9">
            <w:pPr>
              <w:pStyle w:val="BodyText"/>
            </w:pPr>
            <w:r w:rsidRPr="00511DA9">
              <w:t>1.6</w:t>
            </w:r>
            <w:r w:rsidRPr="00511DA9">
              <w:tab/>
              <w:t>Work with a knowledge of various forms of intravenous medic</w:t>
            </w:r>
            <w:r w:rsidRPr="00511DA9">
              <w:t>ation administration</w:t>
            </w:r>
          </w:p>
          <w:p w:rsidR="00000000" w:rsidP="00511DA9">
            <w:pPr>
              <w:pStyle w:val="BodyText"/>
              <w:rPr>
                <w:lang w:val="en-NZ"/>
              </w:rPr>
            </w:pPr>
            <w:r w:rsidRPr="00511DA9">
              <w:t>1.7</w:t>
            </w:r>
            <w:r w:rsidRPr="00511DA9">
              <w:tab/>
              <w:t>Assess the intravenous cannula site for any problems</w:t>
            </w:r>
          </w:p>
        </w:tc>
      </w:tr>
      <w:tr w:rsidTr="00F70EC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511DA9">
            <w:pPr>
              <w:pStyle w:val="BodyText"/>
              <w:rPr>
                <w:lang w:val="en-NZ"/>
              </w:rPr>
            </w:pPr>
          </w:p>
        </w:tc>
      </w:tr>
      <w:tr w:rsidTr="00F70EC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11DA9">
            <w:pPr>
              <w:pStyle w:val="List"/>
              <w:rPr>
                <w:lang w:val="en-NZ"/>
              </w:rPr>
            </w:pPr>
            <w:r w:rsidRPr="00511DA9">
              <w:t>2.</w:t>
            </w:r>
            <w:r w:rsidRPr="00511DA9">
              <w:tab/>
              <w:t xml:space="preserve">Prepare intravenous medications for administration to client </w:t>
            </w:r>
          </w:p>
        </w:tc>
        <w:tc>
          <w:tcPr>
            <w:tcW w:w="5702" w:type="dxa"/>
            <w:tcBorders>
              <w:top w:val="nil"/>
              <w:left w:val="nil"/>
              <w:bottom w:val="nil"/>
              <w:right w:val="nil"/>
            </w:tcBorders>
            <w:tcMar>
              <w:top w:w="0" w:type="dxa"/>
              <w:left w:w="62" w:type="dxa"/>
              <w:bottom w:w="0" w:type="dxa"/>
              <w:right w:w="62" w:type="dxa"/>
            </w:tcMar>
          </w:tcPr>
          <w:p w:rsidR="00000000" w:rsidRPr="00511DA9" w:rsidP="00511DA9">
            <w:pPr>
              <w:pStyle w:val="BodyText"/>
            </w:pPr>
            <w:r w:rsidRPr="00511DA9">
              <w:t>2.1</w:t>
            </w:r>
            <w:r w:rsidRPr="00511DA9">
              <w:tab/>
              <w:t xml:space="preserve">Work with a knowledge of all </w:t>
            </w:r>
            <w:r w:rsidRPr="00511DA9">
              <w:rPr>
                <w:rStyle w:val="Emphasis"/>
              </w:rPr>
              <w:t>intravenous administration routes and associated terminology</w:t>
            </w:r>
          </w:p>
          <w:p w:rsidR="00000000" w:rsidRPr="00511DA9" w:rsidP="00511DA9">
            <w:pPr>
              <w:pStyle w:val="BodyText"/>
            </w:pPr>
            <w:r w:rsidRPr="00511DA9">
              <w:t>2.2</w:t>
            </w:r>
            <w:r w:rsidRPr="00511DA9">
              <w:tab/>
            </w:r>
            <w:r w:rsidRPr="00511DA9">
              <w:t>Identify the purpose and function of prescribed intravenous medications for administration</w:t>
            </w:r>
          </w:p>
          <w:p w:rsidR="00000000" w:rsidRPr="00511DA9" w:rsidP="00511DA9">
            <w:pPr>
              <w:pStyle w:val="BodyText"/>
            </w:pPr>
            <w:r w:rsidRPr="00511DA9">
              <w:t>2.3</w:t>
            </w:r>
            <w:r w:rsidRPr="00511DA9">
              <w:tab/>
              <w:t>Identify common contraindications and adverse reactions of prescribed intravenous medications</w:t>
            </w:r>
          </w:p>
          <w:p w:rsidR="00000000" w:rsidRPr="00511DA9" w:rsidP="00511DA9">
            <w:pPr>
              <w:pStyle w:val="BodyText"/>
            </w:pPr>
            <w:r w:rsidRPr="00511DA9">
              <w:t>2.4</w:t>
            </w:r>
            <w:r w:rsidRPr="00511DA9">
              <w:tab/>
              <w:t xml:space="preserve">Accurately calculate dosages for administration of intravenous </w:t>
            </w:r>
            <w:r w:rsidRPr="00511DA9">
              <w:t>drugs</w:t>
            </w:r>
          </w:p>
          <w:p w:rsidR="00000000" w:rsidRPr="00511DA9" w:rsidP="00511DA9">
            <w:pPr>
              <w:pStyle w:val="BodyText"/>
            </w:pPr>
            <w:r w:rsidRPr="00511DA9">
              <w:t>2.5</w:t>
            </w:r>
            <w:r w:rsidRPr="00511DA9">
              <w:tab/>
              <w:t>Work with a knowledge of how intravenous medications are prepared in line with legislative requirements and environmental guidelines</w:t>
            </w:r>
          </w:p>
          <w:p w:rsidR="00000000" w:rsidP="00511DA9">
            <w:pPr>
              <w:pStyle w:val="BodyText"/>
              <w:rPr>
                <w:lang w:val="en-NZ"/>
              </w:rPr>
            </w:pPr>
            <w:r w:rsidRPr="00511DA9">
              <w:t>2.6</w:t>
            </w:r>
            <w:r w:rsidRPr="00511DA9">
              <w:tab/>
              <w:t>Use correct intravenous medication administration techniques and precautions specific to each client as per m</w:t>
            </w:r>
            <w:r w:rsidRPr="00511DA9">
              <w:t>edication orders</w:t>
            </w:r>
          </w:p>
        </w:tc>
      </w:tr>
      <w:tr w:rsidTr="00F70EC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511DA9">
            <w:pPr>
              <w:pStyle w:val="BodyText"/>
              <w:rPr>
                <w:lang w:val="en-NZ"/>
              </w:rPr>
            </w:pPr>
          </w:p>
        </w:tc>
      </w:tr>
      <w:tr w:rsidTr="00F70EC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11DA9">
            <w:pPr>
              <w:pStyle w:val="List"/>
              <w:rPr>
                <w:lang w:val="en-NZ"/>
              </w:rPr>
            </w:pPr>
            <w:r w:rsidRPr="00511DA9">
              <w:t>3.</w:t>
            </w:r>
            <w:r w:rsidRPr="00511DA9">
              <w:tab/>
              <w:t>Administer intravenous medications within legal parameters</w:t>
            </w:r>
          </w:p>
        </w:tc>
        <w:tc>
          <w:tcPr>
            <w:tcW w:w="5702" w:type="dxa"/>
            <w:tcBorders>
              <w:top w:val="nil"/>
              <w:left w:val="nil"/>
              <w:bottom w:val="nil"/>
              <w:right w:val="nil"/>
            </w:tcBorders>
            <w:tcMar>
              <w:top w:w="0" w:type="dxa"/>
              <w:left w:w="62" w:type="dxa"/>
              <w:bottom w:w="0" w:type="dxa"/>
              <w:right w:w="62" w:type="dxa"/>
            </w:tcMar>
          </w:tcPr>
          <w:p w:rsidR="00000000" w:rsidRPr="00511DA9" w:rsidP="00511DA9">
            <w:pPr>
              <w:pStyle w:val="BodyText"/>
            </w:pPr>
            <w:r w:rsidRPr="00511DA9">
              <w:t>3.1</w:t>
            </w:r>
            <w:r w:rsidRPr="00511DA9">
              <w:tab/>
              <w:t>Work with a knowledge of legal parameters for the administration of intravenous medications</w:t>
            </w:r>
          </w:p>
          <w:p w:rsidR="00000000" w:rsidRPr="00511DA9" w:rsidP="00511DA9">
            <w:pPr>
              <w:pStyle w:val="BodyText"/>
            </w:pPr>
            <w:r w:rsidRPr="00511DA9">
              <w:t>3.2</w:t>
            </w:r>
            <w:r w:rsidRPr="00511DA9">
              <w:tab/>
              <w:t xml:space="preserve">Administer intravenous medications within role responsibility accordance </w:t>
            </w:r>
            <w:r w:rsidRPr="00511DA9">
              <w:t>with the legislative requirements and organisation policy</w:t>
            </w:r>
          </w:p>
          <w:p w:rsidR="00000000" w:rsidRPr="00511DA9" w:rsidP="00511DA9">
            <w:pPr>
              <w:pStyle w:val="BodyText"/>
            </w:pPr>
            <w:r w:rsidRPr="00511DA9">
              <w:t>3.3</w:t>
            </w:r>
            <w:r w:rsidRPr="00511DA9">
              <w:tab/>
              <w:t>Store intravenous medications in a safe manner according to legislative requirements and health care organisation policy</w:t>
            </w:r>
          </w:p>
          <w:p w:rsidR="00000000" w:rsidP="00511DA9">
            <w:pPr>
              <w:pStyle w:val="BodyText"/>
              <w:rPr>
                <w:lang w:val="en-NZ"/>
              </w:rPr>
            </w:pPr>
            <w:r w:rsidRPr="00511DA9">
              <w:t>3.4</w:t>
            </w:r>
            <w:r w:rsidRPr="00511DA9">
              <w:tab/>
              <w:t>Work with a knowledge of organisation processes for quality managemen</w:t>
            </w:r>
            <w:r w:rsidRPr="00511DA9">
              <w:t>t and risk assessment of administration of intravenous medication</w:t>
            </w:r>
          </w:p>
        </w:tc>
      </w:tr>
      <w:tr w:rsidTr="00F70EC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511DA9">
            <w:pPr>
              <w:pStyle w:val="BodyText"/>
              <w:rPr>
                <w:lang w:val="en-NZ"/>
              </w:rPr>
            </w:pPr>
          </w:p>
        </w:tc>
      </w:tr>
      <w:tr w:rsidTr="00F70EC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11DA9">
            <w:pPr>
              <w:pStyle w:val="List"/>
              <w:rPr>
                <w:lang w:val="en-NZ"/>
              </w:rPr>
            </w:pPr>
            <w:r w:rsidRPr="00511DA9">
              <w:t>4.</w:t>
            </w:r>
            <w:r w:rsidRPr="00511DA9">
              <w:tab/>
              <w:t>Monitor client response to administered intravenous medication</w:t>
            </w:r>
          </w:p>
        </w:tc>
        <w:tc>
          <w:tcPr>
            <w:tcW w:w="5702" w:type="dxa"/>
            <w:tcBorders>
              <w:top w:val="nil"/>
              <w:left w:val="nil"/>
              <w:bottom w:val="nil"/>
              <w:right w:val="nil"/>
            </w:tcBorders>
            <w:tcMar>
              <w:top w:w="0" w:type="dxa"/>
              <w:left w:w="62" w:type="dxa"/>
              <w:bottom w:w="0" w:type="dxa"/>
              <w:right w:w="62" w:type="dxa"/>
            </w:tcMar>
          </w:tcPr>
          <w:p w:rsidR="00000000" w:rsidRPr="00511DA9" w:rsidP="00511DA9">
            <w:pPr>
              <w:pStyle w:val="BodyText"/>
            </w:pPr>
            <w:r w:rsidRPr="00511DA9">
              <w:t>4.1</w:t>
            </w:r>
            <w:r w:rsidRPr="00511DA9">
              <w:tab/>
              <w:t>Record administration of intravenous mediations in accordance with organisation policy</w:t>
            </w:r>
          </w:p>
          <w:p w:rsidR="00000000" w:rsidRPr="00511DA9" w:rsidP="00511DA9">
            <w:pPr>
              <w:pStyle w:val="BodyText"/>
            </w:pPr>
            <w:r w:rsidRPr="00511DA9">
              <w:t>4.2</w:t>
            </w:r>
            <w:r w:rsidRPr="00511DA9">
              <w:tab/>
            </w:r>
            <w:r w:rsidRPr="00511DA9">
              <w:t>Contribute to information provided to clients and carers on intravenous medication administration (including possible side effects)</w:t>
            </w:r>
          </w:p>
          <w:p w:rsidR="00000000" w:rsidRPr="00511DA9" w:rsidP="00511DA9">
            <w:pPr>
              <w:pStyle w:val="BodyText"/>
            </w:pPr>
            <w:r w:rsidRPr="00511DA9">
              <w:t>4.3</w:t>
            </w:r>
            <w:r w:rsidRPr="00511DA9">
              <w:tab/>
              <w:t>Recognise acute and delayed adverse reactions to intravenous medications and respond within role responsibility</w:t>
            </w:r>
          </w:p>
          <w:p w:rsidR="00000000" w:rsidRPr="00511DA9" w:rsidP="00511DA9">
            <w:pPr>
              <w:pStyle w:val="BodyText"/>
            </w:pPr>
            <w:r w:rsidRPr="00511DA9">
              <w:t>4.4</w:t>
            </w:r>
            <w:r w:rsidRPr="00511DA9">
              <w:tab/>
              <w:t>Impl</w:t>
            </w:r>
            <w:r w:rsidRPr="00511DA9">
              <w:t>ement emergency actions for identified acute and delayed adverse reactions within role responsibility</w:t>
            </w:r>
          </w:p>
          <w:p w:rsidR="00000000" w:rsidRPr="00511DA9" w:rsidP="00511DA9">
            <w:pPr>
              <w:pStyle w:val="BodyText"/>
            </w:pPr>
            <w:r w:rsidRPr="00511DA9">
              <w:t>4.5</w:t>
            </w:r>
            <w:r w:rsidRPr="00511DA9">
              <w:tab/>
              <w:t>Record and report response to emergency strategies</w:t>
            </w:r>
          </w:p>
          <w:p w:rsidR="00000000" w:rsidP="00511DA9">
            <w:pPr>
              <w:pStyle w:val="BodyText"/>
              <w:rPr>
                <w:lang w:val="en-NZ"/>
              </w:rPr>
            </w:pPr>
            <w:r w:rsidRPr="00511DA9">
              <w:t>4.6</w:t>
            </w:r>
            <w:r w:rsidRPr="00511DA9">
              <w:tab/>
              <w:t>Implement organisation procedures in the event of an intravenous medication incident</w:t>
            </w:r>
          </w:p>
        </w:tc>
      </w:tr>
      <w:tr w:rsidTr="00F70EC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511DA9" w:rsidP="00511DA9">
            <w:pPr>
              <w:pStyle w:val="BodyText"/>
            </w:pPr>
          </w:p>
        </w:tc>
      </w:tr>
    </w:tbl>
    <w:p w:rsidR="00F70ECC" w:rsidP="00511DA9">
      <w:pPr>
        <w:pStyle w:val="BodyText"/>
      </w:pPr>
    </w:p>
    <w:p w:rsidR="00F70ECC" w:rsidP="00511DA9">
      <w:pPr>
        <w:pStyle w:val="BodyText"/>
      </w:pPr>
    </w:p>
    <w:p w:rsidR="00000000" w:rsidRPr="00511DA9" w:rsidP="00511DA9">
      <w:pPr>
        <w:pStyle w:val="Heading1"/>
      </w:pPr>
      <w:bookmarkStart w:id="9" w:name="O_425622"/>
      <w:bookmarkEnd w:id="9"/>
      <w:r w:rsidRPr="00511DA9">
        <w:t>Required Skills and Knowledge</w:t>
      </w:r>
    </w:p>
    <w:tbl>
      <w:tblPr>
        <w:tblW w:w="0" w:type="auto"/>
        <w:tblLayout w:type="fixed"/>
        <w:tblCellMar>
          <w:left w:w="62" w:type="dxa"/>
          <w:right w:w="62" w:type="dxa"/>
        </w:tblCellMar>
        <w:tblLook w:val="0000"/>
      </w:tblPr>
      <w:tblGrid>
        <w:gridCol w:w="9072"/>
      </w:tblGrid>
      <w:tr w:rsidTr="00F70ECC">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511DA9">
            <w:pPr>
              <w:pStyle w:val="BodyText"/>
              <w:rPr>
                <w:lang w:val="en-NZ"/>
              </w:rPr>
            </w:pPr>
            <w:r w:rsidRPr="00511DA9">
              <w:rPr>
                <w:rStyle w:val="SpecialBold"/>
              </w:rPr>
              <w:t>REQUIRED SKILLS AND KNOWLEDGE</w:t>
            </w:r>
          </w:p>
        </w:tc>
      </w:tr>
      <w:tr w:rsidTr="00F70EC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511DA9">
            <w:pPr>
              <w:pStyle w:val="BodyText"/>
              <w:rPr>
                <w:lang w:val="en-NZ"/>
              </w:rPr>
            </w:pPr>
          </w:p>
        </w:tc>
      </w:tr>
      <w:tr w:rsidTr="00F70EC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511DA9">
            <w:pPr>
              <w:pStyle w:val="BodyText"/>
              <w:rPr>
                <w:lang w:val="en-NZ"/>
              </w:rPr>
            </w:pPr>
            <w:r w:rsidRPr="00511DA9">
              <w:t>This describes the essential skills and knowledge and their level required for this unit.</w:t>
            </w:r>
          </w:p>
        </w:tc>
      </w:tr>
      <w:tr w:rsidTr="00F70EC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511DA9">
            <w:pPr>
              <w:pStyle w:val="BodyText"/>
              <w:rPr>
                <w:lang w:val="en-NZ"/>
              </w:rPr>
            </w:pPr>
          </w:p>
        </w:tc>
      </w:tr>
      <w:tr w:rsidTr="00F70EC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511DA9" w:rsidP="00511DA9">
            <w:pPr>
              <w:pStyle w:val="BodyText"/>
            </w:pPr>
            <w:r w:rsidRPr="00511DA9">
              <w:rPr>
                <w:rStyle w:val="Emphasis"/>
              </w:rPr>
              <w:t>Essential knowledge</w:t>
            </w:r>
            <w:r w:rsidRPr="00511DA9">
              <w:t>:</w:t>
            </w:r>
          </w:p>
          <w:p w:rsidR="00000000" w:rsidRPr="00511DA9" w:rsidP="00511DA9">
            <w:pPr>
              <w:pStyle w:val="BodyText"/>
            </w:pPr>
            <w:r w:rsidRPr="00511DA9">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511DA9" w:rsidP="00511DA9">
            <w:pPr>
              <w:pStyle w:val="BodyText"/>
            </w:pPr>
            <w:r w:rsidRPr="00511DA9">
              <w:t xml:space="preserve">This includes </w:t>
            </w:r>
            <w:r w:rsidRPr="00511DA9">
              <w:t>knowledge of:</w:t>
            </w:r>
          </w:p>
          <w:p w:rsidR="00000000" w:rsidRPr="00511DA9" w:rsidP="00511DA9">
            <w:pPr>
              <w:pStyle w:val="ListBullet"/>
            </w:pPr>
            <w:r w:rsidRPr="00511DA9">
              <w:t>Approved intravenous medication abbreviations</w:t>
            </w:r>
          </w:p>
          <w:p w:rsidR="00000000" w:rsidRPr="00511DA9" w:rsidP="00511DA9">
            <w:pPr>
              <w:pStyle w:val="ListBullet"/>
            </w:pPr>
            <w:r w:rsidRPr="00511DA9">
              <w:t>Documentation associated with intravenous medication administration</w:t>
            </w:r>
          </w:p>
          <w:p w:rsidR="00000000" w:rsidRPr="00511DA9" w:rsidP="00511DA9">
            <w:pPr>
              <w:pStyle w:val="ListBullet"/>
            </w:pPr>
            <w:r w:rsidRPr="00511DA9">
              <w:t>Factors influencing intravenous medication actions</w:t>
            </w:r>
          </w:p>
          <w:p w:rsidR="00000000" w:rsidRPr="00511DA9" w:rsidP="00511DA9">
            <w:pPr>
              <w:pStyle w:val="ListBullet"/>
            </w:pPr>
            <w:r w:rsidRPr="00511DA9">
              <w:t>Legal requirements for practice parameters of Enrolled/Division 2 nurse</w:t>
            </w:r>
          </w:p>
          <w:p w:rsidR="00000000" w:rsidRPr="00511DA9" w:rsidP="00511DA9">
            <w:pPr>
              <w:pStyle w:val="ListBullet"/>
            </w:pPr>
            <w:r w:rsidRPr="00511DA9">
              <w:t>Major intravenous medication groups</w:t>
            </w:r>
          </w:p>
          <w:p w:rsidR="00000000" w:rsidRPr="00511DA9" w:rsidP="00511DA9">
            <w:pPr>
              <w:pStyle w:val="ListBullet"/>
            </w:pPr>
            <w:r w:rsidRPr="00511DA9">
              <w:t>Methods of storage, handling and usage of intravenous medications</w:t>
            </w:r>
          </w:p>
          <w:p w:rsidR="00000000" w:rsidRPr="00511DA9" w:rsidP="00511DA9">
            <w:pPr>
              <w:pStyle w:val="ListBullet"/>
            </w:pPr>
            <w:r w:rsidRPr="00511DA9">
              <w:t xml:space="preserve">Relevant medical/medication terminology </w:t>
            </w:r>
          </w:p>
          <w:p w:rsidR="00000000" w:rsidRPr="00511DA9" w:rsidP="00511DA9">
            <w:pPr>
              <w:pStyle w:val="ListBullet"/>
            </w:pPr>
            <w:r w:rsidRPr="00511DA9">
              <w:t>Relevant pathophysiology</w:t>
            </w:r>
          </w:p>
          <w:p w:rsidR="00000000" w:rsidRPr="00511DA9" w:rsidP="00511DA9">
            <w:pPr>
              <w:pStyle w:val="ListBullet"/>
            </w:pPr>
            <w:r w:rsidRPr="00511DA9">
              <w:t>Relevant workplace health and safety policies to ensure safe practice eg management of s</w:t>
            </w:r>
            <w:r w:rsidRPr="00511DA9">
              <w:t>harps</w:t>
            </w:r>
          </w:p>
          <w:p w:rsidR="00000000" w:rsidRPr="00511DA9" w:rsidP="00511DA9">
            <w:pPr>
              <w:pStyle w:val="ListBullet"/>
            </w:pPr>
            <w:r w:rsidRPr="00511DA9">
              <w:t>Role of the health care team in the administration of intravenous medications</w:t>
            </w:r>
          </w:p>
          <w:p w:rsidR="00000000" w:rsidRPr="00511DA9" w:rsidP="00511DA9">
            <w:pPr>
              <w:pStyle w:val="ListBullet"/>
            </w:pPr>
            <w:r w:rsidRPr="00511DA9">
              <w:t xml:space="preserve">Systems of intravenous medication delivery </w:t>
            </w:r>
          </w:p>
          <w:p w:rsidR="00000000" w:rsidRPr="00511DA9" w:rsidP="00511DA9">
            <w:pPr>
              <w:pStyle w:val="ListBullet"/>
            </w:pPr>
            <w:r w:rsidRPr="00511DA9">
              <w:t>Scheduling of medications, including:</w:t>
            </w:r>
          </w:p>
          <w:p w:rsidR="00000000" w:rsidRPr="00511DA9" w:rsidP="00511DA9">
            <w:pPr>
              <w:pStyle w:val="ListBullet2"/>
            </w:pPr>
            <w:r w:rsidRPr="00511DA9">
              <w:t>Schedule 2</w:t>
            </w:r>
          </w:p>
          <w:p w:rsidR="00000000" w:rsidRPr="00511DA9" w:rsidP="00511DA9">
            <w:pPr>
              <w:pStyle w:val="ListBullet2"/>
            </w:pPr>
            <w:r w:rsidRPr="00511DA9">
              <w:t>Schedule 3</w:t>
            </w:r>
          </w:p>
          <w:p w:rsidR="00000000" w:rsidRPr="00511DA9" w:rsidP="00511DA9">
            <w:pPr>
              <w:pStyle w:val="ListBullet2"/>
            </w:pPr>
            <w:r w:rsidRPr="00511DA9">
              <w:t>Schedule 4</w:t>
            </w:r>
          </w:p>
          <w:p w:rsidR="00000000" w:rsidRPr="00511DA9" w:rsidP="00511DA9">
            <w:pPr>
              <w:pStyle w:val="ListBullet2"/>
            </w:pPr>
            <w:r w:rsidRPr="00511DA9">
              <w:t>Schedule 8</w:t>
            </w:r>
          </w:p>
          <w:p w:rsidR="00000000" w:rsidRPr="00511DA9" w:rsidP="00511DA9">
            <w:pPr>
              <w:pStyle w:val="ListBullet"/>
            </w:pPr>
            <w:r w:rsidRPr="00511DA9">
              <w:t>Substance incompatibilities may include:</w:t>
            </w:r>
          </w:p>
          <w:p w:rsidR="00000000" w:rsidRPr="00511DA9" w:rsidP="00511DA9">
            <w:pPr>
              <w:pStyle w:val="ListBullet2"/>
            </w:pPr>
            <w:r w:rsidRPr="00511DA9">
              <w:t>anaphylactic reactions</w:t>
            </w:r>
          </w:p>
          <w:p w:rsidR="00000000" w:rsidRPr="00511DA9" w:rsidP="00511DA9">
            <w:pPr>
              <w:pStyle w:val="ListBullet2"/>
            </w:pPr>
            <w:r w:rsidRPr="00511DA9">
              <w:t>adverse reactions</w:t>
            </w:r>
          </w:p>
          <w:p w:rsidR="00000000" w:rsidRPr="00511DA9" w:rsidP="00511DA9">
            <w:pPr>
              <w:pStyle w:val="ListBullet2"/>
            </w:pPr>
            <w:r w:rsidRPr="00511DA9">
              <w:t>contraindications</w:t>
            </w:r>
          </w:p>
          <w:p w:rsidR="00000000" w:rsidRPr="00511DA9" w:rsidP="00511DA9">
            <w:pPr>
              <w:pStyle w:val="ListBullet2"/>
            </w:pPr>
            <w:r w:rsidRPr="00511DA9">
              <w:t>precautions</w:t>
            </w:r>
          </w:p>
          <w:p w:rsidR="00000000" w:rsidRPr="00511DA9" w:rsidP="00511DA9">
            <w:pPr>
              <w:pStyle w:val="ListBullet2"/>
            </w:pPr>
            <w:r w:rsidRPr="00511DA9">
              <w:t>side effects</w:t>
            </w:r>
          </w:p>
          <w:p w:rsidR="00000000" w:rsidRPr="00511DA9" w:rsidP="00511DA9">
            <w:pPr>
              <w:pStyle w:val="ListBullet"/>
            </w:pPr>
            <w:r w:rsidRPr="00511DA9">
              <w:t>Understanding of the pharmacology of intravenous medications including:</w:t>
            </w:r>
          </w:p>
          <w:p w:rsidR="00000000" w:rsidRPr="00511DA9" w:rsidP="00511DA9">
            <w:pPr>
              <w:pStyle w:val="ListBullet2"/>
            </w:pPr>
            <w:r w:rsidRPr="00511DA9">
              <w:t xml:space="preserve">principles of pharmacokinetics and pharmacodynamics related to major drug groups </w:t>
            </w:r>
          </w:p>
          <w:p w:rsidR="00000000" w:rsidRPr="00511DA9" w:rsidP="00511DA9">
            <w:pPr>
              <w:pStyle w:val="ListBullet2"/>
            </w:pPr>
            <w:r w:rsidRPr="00511DA9">
              <w:t>toxicology</w:t>
            </w:r>
          </w:p>
          <w:p w:rsidR="00000000" w:rsidRPr="00511DA9" w:rsidP="00511DA9">
            <w:pPr>
              <w:pStyle w:val="ListBullet"/>
            </w:pPr>
            <w:r w:rsidRPr="00511DA9">
              <w:t>Unde</w:t>
            </w:r>
            <w:r w:rsidRPr="00511DA9">
              <w:t>rstanding the legal requirements of each route of intravenous administration</w:t>
            </w:r>
          </w:p>
          <w:p w:rsidR="00000000" w:rsidP="00511DA9">
            <w:pPr>
              <w:pStyle w:val="ListBullet"/>
              <w:rPr>
                <w:lang w:val="en-NZ"/>
              </w:rPr>
            </w:pPr>
            <w:r w:rsidRPr="00511DA9">
              <w:t>Understanding of role in medical emergency</w:t>
            </w:r>
          </w:p>
        </w:tc>
      </w:tr>
      <w:tr w:rsidTr="00F70EC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511DA9" w:rsidP="00511DA9">
            <w:pPr>
              <w:pStyle w:val="BodyText"/>
            </w:pPr>
            <w:r w:rsidRPr="00511DA9">
              <w:rPr>
                <w:rStyle w:val="Emphasis"/>
              </w:rPr>
              <w:t>Essential skills</w:t>
            </w:r>
            <w:r w:rsidRPr="00511DA9">
              <w:t>:</w:t>
            </w:r>
          </w:p>
          <w:p w:rsidR="00000000" w:rsidRPr="00511DA9" w:rsidP="00511DA9">
            <w:pPr>
              <w:pStyle w:val="BodyText"/>
            </w:pPr>
            <w:r w:rsidRPr="00511DA9">
              <w:t>It is critical that the candidate demonstrate the ability to effectively do the task outlined in elements and performance criteria of this unit, manage the task and manage contingencies in the context of the identified work role</w:t>
            </w:r>
          </w:p>
          <w:p w:rsidR="00000000" w:rsidRPr="00511DA9" w:rsidP="00511DA9">
            <w:pPr>
              <w:pStyle w:val="BodyText"/>
            </w:pPr>
            <w:r w:rsidRPr="00511DA9">
              <w:t>This includes the ability t</w:t>
            </w:r>
            <w:r w:rsidRPr="00511DA9">
              <w:t>o:</w:t>
            </w:r>
          </w:p>
          <w:p w:rsidR="00000000" w:rsidRPr="00511DA9" w:rsidP="00511DA9">
            <w:pPr>
              <w:pStyle w:val="ListBullet"/>
            </w:pPr>
            <w:r w:rsidRPr="00511DA9">
              <w:t>Apply formulae for intravenous drug calculation for:</w:t>
            </w:r>
          </w:p>
          <w:p w:rsidR="00000000" w:rsidRPr="00511DA9" w:rsidP="00511DA9">
            <w:pPr>
              <w:pStyle w:val="ListBullet2"/>
            </w:pPr>
            <w:r w:rsidRPr="00511DA9">
              <w:t>adult clients</w:t>
            </w:r>
          </w:p>
          <w:p w:rsidR="00000000" w:rsidRPr="00511DA9" w:rsidP="00511DA9">
            <w:pPr>
              <w:pStyle w:val="ListBullet2"/>
            </w:pPr>
            <w:r w:rsidRPr="00511DA9">
              <w:t>intravenous therapy</w:t>
            </w:r>
          </w:p>
          <w:p w:rsidR="00000000" w:rsidRPr="00511DA9" w:rsidP="00511DA9">
            <w:pPr>
              <w:pStyle w:val="ListBullet2"/>
            </w:pPr>
            <w:r w:rsidRPr="00511DA9">
              <w:t>older clients</w:t>
            </w:r>
          </w:p>
          <w:p w:rsidR="00000000" w:rsidRPr="00511DA9" w:rsidP="00511DA9">
            <w:pPr>
              <w:pStyle w:val="ListBullet2"/>
            </w:pPr>
            <w:r w:rsidRPr="00511DA9">
              <w:t>paediatric clients</w:t>
            </w:r>
          </w:p>
          <w:p w:rsidR="00000000" w:rsidRPr="00511DA9" w:rsidP="00511DA9">
            <w:pPr>
              <w:pStyle w:val="ListBullet"/>
            </w:pPr>
            <w:r w:rsidRPr="00511DA9">
              <w:t>Apply Professional Standards of Practice:</w:t>
            </w:r>
          </w:p>
          <w:p w:rsidR="00000000" w:rsidRPr="00511DA9" w:rsidP="00511DA9">
            <w:pPr>
              <w:pStyle w:val="ListBullet2"/>
            </w:pPr>
            <w:r w:rsidRPr="00511DA9">
              <w:t>ANMC code of conduct</w:t>
            </w:r>
          </w:p>
          <w:p w:rsidR="00000000" w:rsidRPr="00511DA9" w:rsidP="00511DA9">
            <w:pPr>
              <w:pStyle w:val="ListBullet2"/>
            </w:pPr>
            <w:r w:rsidRPr="00511DA9">
              <w:t>ANMC code of ethics</w:t>
            </w:r>
          </w:p>
          <w:p w:rsidR="00000000" w:rsidRPr="00511DA9" w:rsidP="00511DA9">
            <w:pPr>
              <w:pStyle w:val="ListBullet2"/>
            </w:pPr>
            <w:r w:rsidRPr="00511DA9">
              <w:t>ANMC national E</w:t>
            </w:r>
            <w:r w:rsidRPr="00511DA9">
              <w:t>nrolled/Division 2 nurse competency standards</w:t>
            </w:r>
          </w:p>
          <w:p w:rsidR="00000000" w:rsidRPr="00511DA9" w:rsidP="00511DA9">
            <w:pPr>
              <w:pStyle w:val="ListBullet2"/>
            </w:pPr>
            <w:r w:rsidRPr="00511DA9">
              <w:t>state/territory Nurse Regulatory Nurses Act</w:t>
            </w:r>
          </w:p>
          <w:p w:rsidR="00000000" w:rsidRPr="00511DA9" w:rsidP="00511DA9">
            <w:pPr>
              <w:pStyle w:val="ListBullet2"/>
            </w:pPr>
            <w:r w:rsidRPr="00511DA9">
              <w:t>state/territory Nursing and Midwifery Regulatory Authority standards of practice</w:t>
            </w:r>
          </w:p>
          <w:p w:rsidR="00000000" w:rsidRPr="00511DA9" w:rsidP="00511DA9">
            <w:pPr>
              <w:pStyle w:val="ListBullet2"/>
            </w:pPr>
            <w:r w:rsidRPr="00511DA9">
              <w:t>state/territory Drugs and Poisons Act</w:t>
            </w:r>
          </w:p>
          <w:p w:rsidR="00000000" w:rsidRPr="00511DA9" w:rsidP="00511DA9">
            <w:pPr>
              <w:pStyle w:val="ListBullet2"/>
            </w:pPr>
            <w:r w:rsidRPr="00511DA9">
              <w:t>scope of nursing practice decision making frame</w:t>
            </w:r>
            <w:r w:rsidRPr="00511DA9">
              <w:t>work</w:t>
            </w:r>
          </w:p>
          <w:p w:rsidR="00000000" w:rsidRPr="00511DA9" w:rsidP="00511DA9">
            <w:pPr>
              <w:pStyle w:val="ListBullet2"/>
            </w:pPr>
            <w:r w:rsidRPr="00511DA9">
              <w:t>Department of Health Guidelines</w:t>
            </w:r>
          </w:p>
          <w:p w:rsidR="00000000" w:rsidRPr="00511DA9" w:rsidP="00511DA9">
            <w:pPr>
              <w:pStyle w:val="ListBullet2"/>
            </w:pPr>
            <w:r w:rsidRPr="00511DA9">
              <w:t>O</w:t>
            </w:r>
            <w:r w:rsidRPr="00511DA9">
              <w:rPr>
                <w:rStyle w:val="Subscript"/>
              </w:rPr>
              <w:t>2</w:t>
            </w:r>
            <w:r w:rsidRPr="00511DA9">
              <w:t xml:space="preserve"> Therapy</w:t>
            </w:r>
          </w:p>
          <w:p w:rsidR="00000000" w:rsidRPr="00511DA9" w:rsidP="00511DA9">
            <w:pPr>
              <w:pStyle w:val="ListBullet2"/>
            </w:pPr>
            <w:r w:rsidRPr="00511DA9">
              <w:t>nurse initiated medication</w:t>
            </w:r>
          </w:p>
          <w:p w:rsidR="00000000" w:rsidRPr="00511DA9" w:rsidP="00511DA9">
            <w:pPr>
              <w:pStyle w:val="ListBullet"/>
            </w:pPr>
            <w:r w:rsidRPr="00511DA9">
              <w:t>Calculate volumes for administration of intravenous medications</w:t>
            </w:r>
          </w:p>
          <w:p w:rsidR="00000000" w:rsidRPr="00511DA9" w:rsidP="00511DA9">
            <w:pPr>
              <w:pStyle w:val="ListBullet"/>
            </w:pPr>
            <w:r w:rsidRPr="00511DA9">
              <w:t>Check intravenous cannula site</w:t>
            </w:r>
          </w:p>
          <w:p w:rsidR="00000000" w:rsidRPr="00511DA9" w:rsidP="00511DA9">
            <w:pPr>
              <w:pStyle w:val="ListBullet"/>
            </w:pPr>
            <w:r w:rsidRPr="00511DA9">
              <w:t>Demonstrate preparation, administration and recording of medication/s via intravenous routes</w:t>
            </w:r>
          </w:p>
          <w:p w:rsidR="00000000" w:rsidRPr="00511DA9" w:rsidP="00511DA9">
            <w:pPr>
              <w:pStyle w:val="ListBullet"/>
            </w:pPr>
            <w:r w:rsidRPr="00511DA9">
              <w:t>Demonstrate professional conduct, skills and knowledge</w:t>
            </w:r>
          </w:p>
          <w:p w:rsidR="00000000" w:rsidRPr="00511DA9" w:rsidP="00511DA9">
            <w:pPr>
              <w:pStyle w:val="ListBullet"/>
            </w:pPr>
            <w:r w:rsidRPr="00511DA9">
              <w:t>Perform emergency management for a client experiencing an adverse intravenous medication reaction</w:t>
            </w:r>
          </w:p>
          <w:p w:rsidR="00000000" w:rsidRPr="00511DA9" w:rsidP="00511DA9">
            <w:pPr>
              <w:pStyle w:val="ListBullet"/>
            </w:pPr>
            <w:r w:rsidRPr="00511DA9">
              <w:t>Use interp</w:t>
            </w:r>
            <w:r w:rsidRPr="00511DA9">
              <w:t>ersonal skills, including working with others, using sensitivity when dealing with people and relating to persons from differing cultural, social and religious backgrounds</w:t>
            </w:r>
          </w:p>
          <w:p w:rsidR="00000000" w:rsidRPr="00511DA9" w:rsidP="00511DA9">
            <w:pPr>
              <w:pStyle w:val="ListBullet"/>
            </w:pPr>
            <w:r w:rsidRPr="00511DA9">
              <w:t>Use language, literacy and numeracy competence required for intravenous drug calcula</w:t>
            </w:r>
            <w:r w:rsidRPr="00511DA9">
              <w:t>tion, administration and documentation</w:t>
            </w:r>
          </w:p>
          <w:p w:rsidR="00000000" w:rsidRPr="00511DA9" w:rsidP="00511DA9">
            <w:pPr>
              <w:pStyle w:val="ListBullet"/>
            </w:pPr>
            <w:r w:rsidRPr="00511DA9">
              <w:t>Use oral communication skills (language competence) required to fulfil job roles as specified by the organisation/service, including:</w:t>
            </w:r>
          </w:p>
          <w:p w:rsidR="00000000" w:rsidRPr="00511DA9" w:rsidP="00511DA9">
            <w:pPr>
              <w:pStyle w:val="ListBullet2"/>
            </w:pPr>
            <w:r w:rsidRPr="00511DA9">
              <w:t xml:space="preserve"> interviewing techniques</w:t>
            </w:r>
          </w:p>
          <w:p w:rsidR="00000000" w:rsidRPr="00511DA9" w:rsidP="00511DA9">
            <w:pPr>
              <w:pStyle w:val="ListBullet2"/>
            </w:pPr>
            <w:r w:rsidRPr="00511DA9">
              <w:t>asking questions</w:t>
            </w:r>
          </w:p>
          <w:p w:rsidR="00000000" w:rsidRPr="00511DA9" w:rsidP="00511DA9">
            <w:pPr>
              <w:pStyle w:val="ListBullet2"/>
            </w:pPr>
            <w:r w:rsidRPr="00511DA9">
              <w:t>active listening</w:t>
            </w:r>
          </w:p>
          <w:p w:rsidR="00000000" w:rsidRPr="00511DA9" w:rsidP="00511DA9">
            <w:pPr>
              <w:pStyle w:val="ListBullet2"/>
            </w:pPr>
            <w:r w:rsidRPr="00511DA9">
              <w:t>asking for clarificatio</w:t>
            </w:r>
            <w:r w:rsidRPr="00511DA9">
              <w:t>n</w:t>
            </w:r>
          </w:p>
        </w:tc>
      </w:tr>
    </w:tbl>
    <w:p w:rsidR="00F70ECC" w:rsidP="00511DA9">
      <w:pPr>
        <w:pStyle w:val="BodyText"/>
      </w:pPr>
    </w:p>
    <w:p w:rsidR="00F70ECC" w:rsidP="00511DA9">
      <w:pPr>
        <w:pStyle w:val="BodyText"/>
      </w:pPr>
    </w:p>
    <w:p w:rsidR="00000000" w:rsidRPr="00511DA9" w:rsidP="00511DA9">
      <w:pPr>
        <w:pStyle w:val="Heading1"/>
      </w:pPr>
      <w:bookmarkStart w:id="10" w:name="O_425617"/>
      <w:bookmarkEnd w:id="10"/>
      <w:r w:rsidRPr="00511DA9">
        <w:t>Evidence Guide</w:t>
      </w:r>
    </w:p>
    <w:tbl>
      <w:tblPr>
        <w:tblW w:w="0" w:type="auto"/>
        <w:tblLayout w:type="fixed"/>
        <w:tblCellMar>
          <w:left w:w="62" w:type="dxa"/>
          <w:right w:w="62" w:type="dxa"/>
        </w:tblCellMar>
        <w:tblLook w:val="0000"/>
      </w:tblPr>
      <w:tblGrid>
        <w:gridCol w:w="3402"/>
        <w:gridCol w:w="5670"/>
      </w:tblGrid>
      <w:tr w:rsidTr="00F70ECC">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511DA9">
            <w:pPr>
              <w:pStyle w:val="BodyText"/>
              <w:rPr>
                <w:lang w:val="en-NZ"/>
              </w:rPr>
            </w:pPr>
            <w:r w:rsidRPr="00511DA9">
              <w:rPr>
                <w:rStyle w:val="SpecialBold"/>
              </w:rPr>
              <w:t>EVIDENCE GUIDE</w:t>
            </w:r>
          </w:p>
        </w:tc>
      </w:tr>
      <w:tr w:rsidTr="00F70EC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11DA9">
            <w:pPr>
              <w:pStyle w:val="BodyText"/>
              <w:rPr>
                <w:lang w:val="en-NZ"/>
              </w:rPr>
            </w:pPr>
          </w:p>
        </w:tc>
      </w:tr>
      <w:tr w:rsidTr="00F70EC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11DA9">
            <w:pPr>
              <w:pStyle w:val="BodyText"/>
              <w:rPr>
                <w:lang w:val="en-NZ"/>
              </w:rPr>
            </w:pPr>
            <w:r w:rsidRPr="00511DA9">
              <w:t xml:space="preserve">The evidence guide provides advice on assessment and must be read in conjunction with the Performance Criteria, Required Skills and Knowledge, </w:t>
            </w:r>
            <w:r w:rsidRPr="00511DA9">
              <w:t>the Range Statement and the Assessment Guidelines for this Training Package.</w:t>
            </w:r>
          </w:p>
        </w:tc>
      </w:tr>
      <w:tr w:rsidTr="00F70EC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11DA9">
            <w:pPr>
              <w:pStyle w:val="BodyText"/>
              <w:rPr>
                <w:lang w:val="en-NZ"/>
              </w:rPr>
            </w:pPr>
          </w:p>
        </w:tc>
      </w:tr>
      <w:tr w:rsidTr="00F70EC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11DA9">
            <w:pPr>
              <w:pStyle w:val="BodyText"/>
              <w:rPr>
                <w:lang w:val="en-NZ"/>
              </w:rPr>
            </w:pPr>
            <w:r w:rsidRPr="00511DA9">
              <w:rPr>
                <w:rStyle w:val="Emphasis"/>
              </w:rPr>
              <w:t>Critical aspects for assessment and evidence required to demonstrate this competency unit</w:t>
            </w:r>
            <w:r w:rsidRPr="00511DA9">
              <w:t xml:space="preserve">: </w:t>
            </w:r>
            <w:r w:rsidRPr="00511DA9">
              <w:br/>
            </w:r>
          </w:p>
        </w:tc>
        <w:tc>
          <w:tcPr>
            <w:tcW w:w="5670" w:type="dxa"/>
            <w:tcBorders>
              <w:top w:val="nil"/>
              <w:left w:val="nil"/>
              <w:bottom w:val="nil"/>
              <w:right w:val="nil"/>
            </w:tcBorders>
            <w:tcMar>
              <w:top w:w="0" w:type="dxa"/>
              <w:left w:w="62" w:type="dxa"/>
              <w:bottom w:w="0" w:type="dxa"/>
              <w:right w:w="62" w:type="dxa"/>
            </w:tcMar>
          </w:tcPr>
          <w:p w:rsidR="00000000" w:rsidRPr="00511DA9" w:rsidP="00511DA9">
            <w:pPr>
              <w:pStyle w:val="ListBullet"/>
            </w:pPr>
            <w:r w:rsidRPr="00511DA9">
              <w:t>The individual being assessed must provide evidence of specified essential knowl</w:t>
            </w:r>
            <w:r w:rsidRPr="00511DA9">
              <w:t>edge as well as skills</w:t>
            </w:r>
          </w:p>
          <w:p w:rsidR="00000000" w:rsidRPr="00511DA9" w:rsidP="00511DA9">
            <w:pPr>
              <w:pStyle w:val="ListBullet"/>
            </w:pPr>
            <w:r w:rsidRPr="00511DA9">
              <w:t>Observation of performance in a work context is essential for assessment of this unit</w:t>
            </w:r>
          </w:p>
          <w:p w:rsidR="00000000" w:rsidRPr="00511DA9" w:rsidP="00511DA9">
            <w:pPr>
              <w:pStyle w:val="ListBullet"/>
            </w:pPr>
            <w:r w:rsidRPr="00511DA9">
              <w:t>Consistency of performance should be demonstrated over the required range of workplace situations and should occur on more than one occasion and be</w:t>
            </w:r>
            <w:r w:rsidRPr="00511DA9">
              <w:t xml:space="preserve"> assessed by a registered nurse</w:t>
            </w:r>
          </w:p>
          <w:p w:rsidR="00000000" w:rsidRPr="00511DA9" w:rsidP="00511DA9">
            <w:pPr>
              <w:pStyle w:val="ListBullet"/>
            </w:pPr>
            <w:r w:rsidRPr="00511DA9">
              <w:t>Assessment must include a written calculation test with 100% mastery</w:t>
            </w:r>
          </w:p>
          <w:p w:rsidR="00000000" w:rsidP="00511DA9">
            <w:pPr>
              <w:pStyle w:val="ListBullet"/>
              <w:rPr>
                <w:lang w:val="en-NZ"/>
              </w:rPr>
            </w:pPr>
            <w:r w:rsidRPr="00511DA9">
              <w:t>Assessment must be undertaken in a simulated clinical laboratory prior to clinical placement</w:t>
            </w:r>
          </w:p>
        </w:tc>
      </w:tr>
      <w:tr w:rsidTr="00F70EC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11DA9">
            <w:pPr>
              <w:pStyle w:val="BodyText"/>
              <w:rPr>
                <w:lang w:val="en-NZ"/>
              </w:rPr>
            </w:pPr>
          </w:p>
        </w:tc>
      </w:tr>
      <w:tr w:rsidTr="00F70EC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11DA9">
            <w:pPr>
              <w:pStyle w:val="BodyText"/>
              <w:rPr>
                <w:lang w:val="en-NZ"/>
              </w:rPr>
            </w:pPr>
            <w:r w:rsidRPr="00511DA9">
              <w:rPr>
                <w:rStyle w:val="Emphasis"/>
              </w:rPr>
              <w:t>Context of and specific resources for assessment</w:t>
            </w:r>
            <w:r w:rsidRPr="00511DA9">
              <w:t>:</w:t>
            </w:r>
          </w:p>
        </w:tc>
        <w:tc>
          <w:tcPr>
            <w:tcW w:w="5670" w:type="dxa"/>
            <w:tcBorders>
              <w:top w:val="nil"/>
              <w:left w:val="nil"/>
              <w:bottom w:val="nil"/>
              <w:right w:val="nil"/>
            </w:tcBorders>
            <w:tcMar>
              <w:top w:w="0" w:type="dxa"/>
              <w:left w:w="62" w:type="dxa"/>
              <w:bottom w:w="0" w:type="dxa"/>
              <w:right w:w="62" w:type="dxa"/>
            </w:tcMar>
          </w:tcPr>
          <w:p w:rsidR="00000000" w:rsidRPr="00511DA9" w:rsidP="00511DA9">
            <w:pPr>
              <w:pStyle w:val="ListBullet"/>
            </w:pPr>
            <w:r w:rsidRPr="00511DA9">
              <w:t xml:space="preserve">This unit is most appropriately assessed in the clinical workplace  </w:t>
            </w:r>
          </w:p>
          <w:p w:rsidR="00000000" w:rsidRPr="00511DA9" w:rsidP="00511DA9">
            <w:pPr>
              <w:pStyle w:val="ListBullet"/>
            </w:pPr>
            <w:r w:rsidRPr="00511DA9">
              <w:t>Simulations may be used to represent workplace conditions as closely as possible</w:t>
            </w:r>
          </w:p>
          <w:p w:rsidR="00000000" w:rsidP="00511DA9">
            <w:pPr>
              <w:pStyle w:val="ListBullet"/>
              <w:rPr>
                <w:lang w:val="en-NZ"/>
              </w:rPr>
            </w:pPr>
            <w:r w:rsidRPr="00511DA9">
              <w:t>Where, for reasons of safety, access to equipment and resources and space, assessment takes place away fro</w:t>
            </w:r>
            <w:r w:rsidRPr="00511DA9">
              <w:t>m the workplace, simulations should be used to represent workplace conditions as closely as possible</w:t>
            </w:r>
          </w:p>
        </w:tc>
      </w:tr>
      <w:tr w:rsidTr="00F70EC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11DA9">
            <w:pPr>
              <w:pStyle w:val="BodyText"/>
              <w:rPr>
                <w:lang w:val="en-NZ"/>
              </w:rPr>
            </w:pPr>
          </w:p>
        </w:tc>
      </w:tr>
      <w:tr w:rsidTr="00F70EC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11DA9">
            <w:pPr>
              <w:pStyle w:val="BodyText"/>
              <w:rPr>
                <w:lang w:val="en-NZ"/>
              </w:rPr>
            </w:pPr>
            <w:r w:rsidRPr="00511DA9">
              <w:rPr>
                <w:rStyle w:val="Emphasis"/>
              </w:rPr>
              <w:t>Method of assessment</w:t>
            </w:r>
            <w:r w:rsidRPr="00511DA9">
              <w:t xml:space="preserve"> </w:t>
            </w:r>
          </w:p>
        </w:tc>
        <w:tc>
          <w:tcPr>
            <w:tcW w:w="5670" w:type="dxa"/>
            <w:tcBorders>
              <w:top w:val="nil"/>
              <w:left w:val="nil"/>
              <w:bottom w:val="nil"/>
              <w:right w:val="nil"/>
            </w:tcBorders>
            <w:tcMar>
              <w:top w:w="0" w:type="dxa"/>
              <w:left w:w="62" w:type="dxa"/>
              <w:bottom w:w="0" w:type="dxa"/>
              <w:right w:w="62" w:type="dxa"/>
            </w:tcMar>
          </w:tcPr>
          <w:p w:rsidR="00000000" w:rsidRPr="00511DA9" w:rsidP="00511DA9">
            <w:pPr>
              <w:pStyle w:val="BodyText"/>
            </w:pPr>
            <w:r w:rsidRPr="00511DA9">
              <w:t>Assessment of competency may occur on more than one occasion. Assessment may include but not be limited to:</w:t>
            </w:r>
          </w:p>
          <w:p w:rsidR="00000000" w:rsidRPr="00511DA9" w:rsidP="00511DA9">
            <w:pPr>
              <w:pStyle w:val="ListBullet"/>
            </w:pPr>
            <w:r w:rsidRPr="00511DA9">
              <w:t>Observation in the w</w:t>
            </w:r>
            <w:r w:rsidRPr="00511DA9">
              <w:t xml:space="preserve">ork place </w:t>
            </w:r>
          </w:p>
          <w:p w:rsidR="00000000" w:rsidRPr="00511DA9" w:rsidP="00511DA9">
            <w:pPr>
              <w:pStyle w:val="ListBullet"/>
            </w:pPr>
            <w:r w:rsidRPr="00511DA9">
              <w:t>Evidence gathered from clinical work environment</w:t>
            </w:r>
          </w:p>
          <w:p w:rsidR="00000000" w:rsidRPr="00511DA9" w:rsidP="00511DA9">
            <w:pPr>
              <w:pStyle w:val="ListBullet"/>
            </w:pPr>
            <w:r w:rsidRPr="00511DA9">
              <w:t>Written assignments/projects</w:t>
            </w:r>
          </w:p>
          <w:p w:rsidR="00000000" w:rsidRPr="00511DA9" w:rsidP="00511DA9">
            <w:pPr>
              <w:pStyle w:val="ListBullet"/>
            </w:pPr>
            <w:r w:rsidRPr="00511DA9">
              <w:t>Case study and scenario as a basis for discussion of issues and strategies to contribute to best practice.</w:t>
            </w:r>
          </w:p>
          <w:p w:rsidR="00000000" w:rsidRPr="00511DA9" w:rsidP="00511DA9">
            <w:pPr>
              <w:pStyle w:val="ListBullet"/>
            </w:pPr>
            <w:r w:rsidRPr="00511DA9">
              <w:t>Questioning - verbal and written</w:t>
            </w:r>
          </w:p>
          <w:p w:rsidR="00000000" w:rsidP="00511DA9">
            <w:pPr>
              <w:pStyle w:val="ListBullet"/>
              <w:rPr>
                <w:lang w:val="en-NZ"/>
              </w:rPr>
            </w:pPr>
            <w:r w:rsidRPr="00511DA9">
              <w:t>Role play/simulation</w:t>
            </w:r>
          </w:p>
        </w:tc>
      </w:tr>
      <w:tr w:rsidTr="00F70EC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11DA9">
            <w:pPr>
              <w:pStyle w:val="BodyText"/>
              <w:rPr>
                <w:lang w:val="en-NZ"/>
              </w:rPr>
            </w:pPr>
          </w:p>
        </w:tc>
      </w:tr>
      <w:tr w:rsidTr="00F70EC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11DA9">
            <w:pPr>
              <w:pStyle w:val="BodyText"/>
              <w:rPr>
                <w:lang w:val="en-NZ"/>
              </w:rPr>
            </w:pPr>
            <w:r w:rsidRPr="00511DA9">
              <w:rPr>
                <w:rStyle w:val="Emphasis"/>
              </w:rPr>
              <w:t>Access and equity considerations</w:t>
            </w:r>
            <w:r w:rsidRPr="00511DA9">
              <w:t>:</w:t>
            </w:r>
          </w:p>
        </w:tc>
        <w:tc>
          <w:tcPr>
            <w:tcW w:w="5670" w:type="dxa"/>
            <w:tcBorders>
              <w:top w:val="nil"/>
              <w:left w:val="nil"/>
              <w:bottom w:val="nil"/>
              <w:right w:val="nil"/>
            </w:tcBorders>
            <w:tcMar>
              <w:top w:w="0" w:type="dxa"/>
              <w:left w:w="62" w:type="dxa"/>
              <w:bottom w:w="0" w:type="dxa"/>
              <w:right w:w="62" w:type="dxa"/>
            </w:tcMar>
          </w:tcPr>
          <w:p w:rsidR="00000000" w:rsidRPr="00511DA9" w:rsidP="00511DA9">
            <w:pPr>
              <w:pStyle w:val="ListBullet"/>
            </w:pPr>
            <w:r w:rsidRPr="00511DA9">
              <w:t>All workers in the health industry should be aware of access and equity issues in relation to their own area of work</w:t>
            </w:r>
          </w:p>
          <w:p w:rsidR="00000000" w:rsidRPr="00511DA9" w:rsidP="00511DA9">
            <w:pPr>
              <w:pStyle w:val="ListBullet"/>
            </w:pPr>
            <w:r w:rsidRPr="00511DA9">
              <w:t xml:space="preserve">All workers should develop their ability to work in a culturally diverse environment </w:t>
            </w:r>
          </w:p>
          <w:p w:rsidR="00000000" w:rsidRPr="00511DA9" w:rsidP="00511DA9">
            <w:pPr>
              <w:pStyle w:val="ListBullet"/>
            </w:pPr>
            <w:r w:rsidRPr="00511DA9">
              <w:t xml:space="preserve">In recognition of </w:t>
            </w:r>
            <w:r w:rsidRPr="00511DA9">
              <w:t>particular health issues facing Aboriginal and Torres Strait Islander communities, workers should be aware of cultural, historical and current issues impacting on health of Aboriginal and Torres Strait Islander people</w:t>
            </w:r>
          </w:p>
          <w:p w:rsidR="00000000" w:rsidP="00511DA9">
            <w:pPr>
              <w:pStyle w:val="ListBullet"/>
              <w:rPr>
                <w:lang w:val="en-NZ"/>
              </w:rPr>
            </w:pPr>
            <w:r w:rsidRPr="00511DA9">
              <w:t xml:space="preserve">Assessors and trainers must take into </w:t>
            </w:r>
            <w:r w:rsidRPr="00511DA9">
              <w:t>account relevant access and equity issues, in particular relating to factors impacting on health of Aboriginal and/or Torres Strait Islander clients and communities</w:t>
            </w:r>
          </w:p>
        </w:tc>
      </w:tr>
      <w:tr w:rsidTr="00F70EC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511DA9" w:rsidP="00511DA9">
            <w:pPr>
              <w:pStyle w:val="BodyText"/>
            </w:pPr>
          </w:p>
        </w:tc>
      </w:tr>
    </w:tbl>
    <w:p w:rsidR="00F70ECC" w:rsidP="00511DA9">
      <w:pPr>
        <w:pStyle w:val="BodyText"/>
      </w:pPr>
    </w:p>
    <w:p w:rsidR="00F70ECC" w:rsidP="00511DA9">
      <w:pPr>
        <w:pStyle w:val="BodyText"/>
      </w:pPr>
    </w:p>
    <w:p w:rsidR="00000000" w:rsidRPr="00511DA9" w:rsidP="00511DA9">
      <w:pPr>
        <w:pStyle w:val="Heading1"/>
      </w:pPr>
      <w:bookmarkStart w:id="11" w:name="O_425621"/>
      <w:bookmarkEnd w:id="11"/>
      <w:r w:rsidRPr="00511DA9">
        <w:t>Range Statement</w:t>
      </w:r>
    </w:p>
    <w:tbl>
      <w:tblPr>
        <w:tblW w:w="0" w:type="auto"/>
        <w:tblLayout w:type="fixed"/>
        <w:tblCellMar>
          <w:left w:w="62" w:type="dxa"/>
          <w:right w:w="62" w:type="dxa"/>
        </w:tblCellMar>
        <w:tblLook w:val="0000"/>
      </w:tblPr>
      <w:tblGrid>
        <w:gridCol w:w="3402"/>
        <w:gridCol w:w="5670"/>
      </w:tblGrid>
      <w:tr w:rsidTr="00F70ECC">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511DA9">
            <w:pPr>
              <w:pStyle w:val="BodyText"/>
              <w:rPr>
                <w:lang w:val="en-NZ"/>
              </w:rPr>
            </w:pPr>
            <w:r w:rsidRPr="00511DA9">
              <w:rPr>
                <w:rStyle w:val="SpecialBold"/>
              </w:rPr>
              <w:t>RANGE STATEMENT</w:t>
            </w:r>
          </w:p>
        </w:tc>
      </w:tr>
      <w:tr w:rsidTr="00F70EC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11DA9">
            <w:pPr>
              <w:pStyle w:val="BodyText"/>
              <w:rPr>
                <w:lang w:val="en-NZ"/>
              </w:rPr>
            </w:pPr>
          </w:p>
        </w:tc>
      </w:tr>
      <w:tr w:rsidTr="00F70EC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11DA9">
            <w:pPr>
              <w:pStyle w:val="BodyText"/>
              <w:rPr>
                <w:lang w:val="en-NZ"/>
              </w:rPr>
            </w:pPr>
            <w:r w:rsidRPr="00511DA9">
              <w:t>The Range Statement relates to the unit of competency as a whole.  It allows for different work environments and situations that may affect performance.  Add any essential operating conditions that may be present with training and assessment depending on t</w:t>
            </w:r>
            <w:r w:rsidRPr="00511DA9">
              <w:t>he work situation, needs of the candidate, accessibility of the item, and local industry and regional contexts.</w:t>
            </w:r>
          </w:p>
        </w:tc>
      </w:tr>
      <w:tr w:rsidTr="00F70EC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11DA9">
            <w:pPr>
              <w:pStyle w:val="BodyText"/>
              <w:rPr>
                <w:lang w:val="en-NZ"/>
              </w:rPr>
            </w:pPr>
          </w:p>
        </w:tc>
      </w:tr>
      <w:tr w:rsidTr="00F70EC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11DA9">
            <w:pPr>
              <w:pStyle w:val="BodyText"/>
              <w:rPr>
                <w:lang w:val="en-NZ"/>
              </w:rPr>
            </w:pPr>
            <w:r w:rsidRPr="00511DA9">
              <w:rPr>
                <w:rStyle w:val="Emphasis"/>
              </w:rPr>
              <w:t>Health environments may include</w:t>
            </w:r>
            <w:r w:rsidRPr="00511DA9">
              <w:t>:</w:t>
            </w:r>
          </w:p>
        </w:tc>
        <w:tc>
          <w:tcPr>
            <w:tcW w:w="5670" w:type="dxa"/>
            <w:tcBorders>
              <w:top w:val="nil"/>
              <w:left w:val="nil"/>
              <w:bottom w:val="nil"/>
              <w:right w:val="nil"/>
            </w:tcBorders>
            <w:tcMar>
              <w:top w:w="0" w:type="dxa"/>
              <w:left w:w="62" w:type="dxa"/>
              <w:bottom w:w="0" w:type="dxa"/>
              <w:right w:w="62" w:type="dxa"/>
            </w:tcMar>
          </w:tcPr>
          <w:p w:rsidR="00000000" w:rsidRPr="00511DA9" w:rsidP="00511DA9">
            <w:pPr>
              <w:pStyle w:val="ListBullet"/>
            </w:pPr>
            <w:r w:rsidRPr="00511DA9">
              <w:t>Residential aged care facility</w:t>
            </w:r>
          </w:p>
          <w:p w:rsidR="00000000" w:rsidRPr="00511DA9" w:rsidP="00511DA9">
            <w:pPr>
              <w:pStyle w:val="ListBullet"/>
            </w:pPr>
            <w:r w:rsidRPr="00511DA9">
              <w:t>Community settings</w:t>
            </w:r>
          </w:p>
          <w:p w:rsidR="00000000" w:rsidRPr="00511DA9" w:rsidP="00511DA9">
            <w:pPr>
              <w:pStyle w:val="ListBullet"/>
            </w:pPr>
            <w:r w:rsidRPr="00511DA9">
              <w:t>Hospitals</w:t>
            </w:r>
          </w:p>
          <w:p w:rsidR="00000000" w:rsidRPr="00511DA9" w:rsidP="00511DA9">
            <w:pPr>
              <w:pStyle w:val="ListBullet"/>
            </w:pPr>
            <w:r w:rsidRPr="00511DA9">
              <w:t>Clinics</w:t>
            </w:r>
          </w:p>
          <w:p w:rsidR="00000000" w:rsidRPr="00511DA9" w:rsidP="00511DA9">
            <w:pPr>
              <w:pStyle w:val="ListBullet"/>
            </w:pPr>
            <w:r w:rsidRPr="00511DA9">
              <w:t>Short and long stay centres</w:t>
            </w:r>
          </w:p>
          <w:p w:rsidR="00000000" w:rsidP="00511DA9">
            <w:pPr>
              <w:pStyle w:val="ListBullet"/>
              <w:rPr>
                <w:lang w:val="en-NZ"/>
              </w:rPr>
            </w:pPr>
            <w:r w:rsidRPr="00511DA9">
              <w:t>Clients home</w:t>
            </w:r>
          </w:p>
        </w:tc>
      </w:tr>
      <w:tr w:rsidTr="00F70EC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11DA9">
            <w:pPr>
              <w:pStyle w:val="BodyText"/>
              <w:rPr>
                <w:lang w:val="en-NZ"/>
              </w:rPr>
            </w:pPr>
          </w:p>
        </w:tc>
      </w:tr>
      <w:tr w:rsidTr="00F70EC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11DA9">
            <w:pPr>
              <w:pStyle w:val="BodyText"/>
              <w:rPr>
                <w:lang w:val="en-NZ"/>
              </w:rPr>
            </w:pPr>
            <w:r w:rsidRPr="00511DA9">
              <w:rPr>
                <w:rStyle w:val="Emphasis"/>
              </w:rPr>
              <w:t>Potential risks may include but is not limited to</w:t>
            </w:r>
            <w:r w:rsidRPr="00511DA9">
              <w:t>:</w:t>
            </w:r>
          </w:p>
        </w:tc>
        <w:tc>
          <w:tcPr>
            <w:tcW w:w="5670" w:type="dxa"/>
            <w:tcBorders>
              <w:top w:val="nil"/>
              <w:left w:val="nil"/>
              <w:bottom w:val="nil"/>
              <w:right w:val="nil"/>
            </w:tcBorders>
            <w:tcMar>
              <w:top w:w="0" w:type="dxa"/>
              <w:left w:w="62" w:type="dxa"/>
              <w:bottom w:w="0" w:type="dxa"/>
              <w:right w:w="62" w:type="dxa"/>
            </w:tcMar>
          </w:tcPr>
          <w:p w:rsidR="00000000" w:rsidRPr="00511DA9" w:rsidP="00511DA9">
            <w:pPr>
              <w:pStyle w:val="ListBullet"/>
            </w:pPr>
            <w:r w:rsidRPr="00511DA9">
              <w:t>Client Identification</w:t>
            </w:r>
          </w:p>
          <w:p w:rsidR="00000000" w:rsidRPr="00511DA9" w:rsidP="00511DA9">
            <w:pPr>
              <w:pStyle w:val="ListBullet"/>
            </w:pPr>
            <w:r w:rsidRPr="00511DA9">
              <w:t>Allergic reactions</w:t>
            </w:r>
          </w:p>
          <w:p w:rsidR="00000000" w:rsidRPr="00511DA9" w:rsidP="00511DA9">
            <w:pPr>
              <w:pStyle w:val="ListBullet"/>
            </w:pPr>
            <w:r w:rsidRPr="00511DA9">
              <w:t>Immunisation status</w:t>
            </w:r>
          </w:p>
          <w:p w:rsidR="00000000" w:rsidRPr="00511DA9" w:rsidP="00511DA9">
            <w:pPr>
              <w:pStyle w:val="ListBullet"/>
            </w:pPr>
            <w:r w:rsidRPr="00511DA9">
              <w:t>Intravenous medication incompatibilities</w:t>
            </w:r>
          </w:p>
          <w:p w:rsidR="00000000" w:rsidRPr="00511DA9" w:rsidP="00511DA9">
            <w:pPr>
              <w:pStyle w:val="ListBullet"/>
            </w:pPr>
            <w:r w:rsidRPr="00511DA9">
              <w:t>Contra-indications for intravenous drug administration</w:t>
            </w:r>
          </w:p>
          <w:p w:rsidR="00000000" w:rsidP="00511DA9">
            <w:pPr>
              <w:pStyle w:val="ListBullet"/>
              <w:rPr>
                <w:lang w:val="en-NZ"/>
              </w:rPr>
            </w:pPr>
            <w:r w:rsidRPr="00511DA9">
              <w:t>Intravenous therapy</w:t>
            </w:r>
          </w:p>
        </w:tc>
      </w:tr>
      <w:tr w:rsidTr="00F70EC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11DA9">
            <w:pPr>
              <w:pStyle w:val="BodyText"/>
              <w:rPr>
                <w:lang w:val="en-NZ"/>
              </w:rPr>
            </w:pPr>
          </w:p>
        </w:tc>
      </w:tr>
      <w:tr w:rsidTr="00F70EC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11DA9">
            <w:pPr>
              <w:pStyle w:val="BodyText"/>
              <w:rPr>
                <w:lang w:val="en-NZ"/>
              </w:rPr>
            </w:pPr>
            <w:r w:rsidRPr="00511DA9">
              <w:rPr>
                <w:rStyle w:val="Emphasis"/>
              </w:rPr>
              <w:t>Intravenous medication administration methods</w:t>
            </w:r>
            <w:r w:rsidRPr="00511DA9">
              <w:t xml:space="preserve">  </w:t>
            </w:r>
            <w:r w:rsidRPr="00511DA9">
              <w:rPr>
                <w:rStyle w:val="Emphasis"/>
              </w:rPr>
              <w:t>include</w:t>
            </w:r>
            <w:r w:rsidRPr="00511DA9">
              <w:t>:</w:t>
            </w:r>
          </w:p>
        </w:tc>
        <w:tc>
          <w:tcPr>
            <w:tcW w:w="5670" w:type="dxa"/>
            <w:tcBorders>
              <w:top w:val="nil"/>
              <w:left w:val="nil"/>
              <w:bottom w:val="nil"/>
              <w:right w:val="nil"/>
            </w:tcBorders>
            <w:tcMar>
              <w:top w:w="0" w:type="dxa"/>
              <w:left w:w="62" w:type="dxa"/>
              <w:bottom w:w="0" w:type="dxa"/>
              <w:right w:w="62" w:type="dxa"/>
            </w:tcMar>
          </w:tcPr>
          <w:p w:rsidR="00000000" w:rsidRPr="00511DA9" w:rsidP="00511DA9">
            <w:pPr>
              <w:pStyle w:val="ListBullet"/>
            </w:pPr>
            <w:r w:rsidRPr="00511DA9">
              <w:t>Bolus</w:t>
            </w:r>
          </w:p>
          <w:p w:rsidR="00000000" w:rsidRPr="00511DA9" w:rsidP="00511DA9">
            <w:pPr>
              <w:pStyle w:val="ListBullet"/>
            </w:pPr>
            <w:r w:rsidRPr="00511DA9">
              <w:t>Via burette</w:t>
            </w:r>
          </w:p>
          <w:p w:rsidR="00000000" w:rsidRPr="00511DA9" w:rsidP="00511DA9">
            <w:pPr>
              <w:pStyle w:val="ListBullet"/>
            </w:pPr>
            <w:r w:rsidRPr="00511DA9">
              <w:t>Mini infusion pump</w:t>
            </w:r>
          </w:p>
          <w:p w:rsidR="00000000" w:rsidRPr="00511DA9" w:rsidP="00511DA9">
            <w:pPr>
              <w:pStyle w:val="ListBullet"/>
            </w:pPr>
            <w:r w:rsidRPr="00511DA9">
              <w:t>IV piggyback/tandem</w:t>
            </w:r>
          </w:p>
          <w:p w:rsidR="00000000" w:rsidP="00511DA9">
            <w:pPr>
              <w:pStyle w:val="ListBullet"/>
              <w:rPr>
                <w:lang w:val="en-NZ"/>
              </w:rPr>
            </w:pPr>
            <w:r w:rsidRPr="00511DA9">
              <w:t xml:space="preserve">Syringe pump </w:t>
            </w:r>
          </w:p>
        </w:tc>
      </w:tr>
      <w:tr w:rsidTr="00F70EC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11DA9">
            <w:pPr>
              <w:pStyle w:val="BodyText"/>
              <w:rPr>
                <w:lang w:val="en-NZ"/>
              </w:rPr>
            </w:pPr>
          </w:p>
        </w:tc>
      </w:tr>
      <w:tr w:rsidTr="00F70EC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11DA9">
            <w:pPr>
              <w:pStyle w:val="BodyText"/>
              <w:rPr>
                <w:lang w:val="en-NZ"/>
              </w:rPr>
            </w:pPr>
            <w:r w:rsidRPr="00511DA9">
              <w:rPr>
                <w:rStyle w:val="Emphasis"/>
              </w:rPr>
              <w:t>Legal and regulatory framework include</w:t>
            </w:r>
            <w:r w:rsidRPr="00511DA9">
              <w:t>:</w:t>
            </w:r>
          </w:p>
        </w:tc>
        <w:tc>
          <w:tcPr>
            <w:tcW w:w="5670" w:type="dxa"/>
            <w:tcBorders>
              <w:top w:val="nil"/>
              <w:left w:val="nil"/>
              <w:bottom w:val="nil"/>
              <w:right w:val="nil"/>
            </w:tcBorders>
            <w:tcMar>
              <w:top w:w="0" w:type="dxa"/>
              <w:left w:w="62" w:type="dxa"/>
              <w:bottom w:w="0" w:type="dxa"/>
              <w:right w:w="62" w:type="dxa"/>
            </w:tcMar>
          </w:tcPr>
          <w:p w:rsidR="00000000" w:rsidRPr="00511DA9" w:rsidP="00511DA9">
            <w:pPr>
              <w:pStyle w:val="ListBullet"/>
            </w:pPr>
            <w:r w:rsidRPr="00511DA9">
              <w:t>State/territory Nurses Act.</w:t>
            </w:r>
          </w:p>
          <w:p w:rsidR="00000000" w:rsidRPr="00511DA9" w:rsidP="00511DA9">
            <w:pPr>
              <w:pStyle w:val="ListBullet"/>
            </w:pPr>
            <w:r w:rsidRPr="00511DA9">
              <w:t>State/territory Drugs and Poisons Act</w:t>
            </w:r>
          </w:p>
          <w:p w:rsidR="00000000" w:rsidRPr="00511DA9" w:rsidP="00511DA9">
            <w:pPr>
              <w:pStyle w:val="ListBullet"/>
            </w:pPr>
            <w:r w:rsidRPr="00511DA9">
              <w:t>Heal</w:t>
            </w:r>
            <w:r w:rsidRPr="00511DA9">
              <w:t xml:space="preserve">th (Drugs and Poisons) Regulations </w:t>
            </w:r>
          </w:p>
          <w:p w:rsidR="00000000" w:rsidRPr="00511DA9" w:rsidP="00511DA9">
            <w:pPr>
              <w:pStyle w:val="ListBullet"/>
            </w:pPr>
            <w:r w:rsidRPr="00511DA9">
              <w:t>State/territory Nurse Regulatory Authority Practice Standards</w:t>
            </w:r>
          </w:p>
          <w:p w:rsidR="00000000" w:rsidP="00511DA9">
            <w:pPr>
              <w:pStyle w:val="ListBullet"/>
              <w:rPr>
                <w:lang w:val="en-NZ"/>
              </w:rPr>
            </w:pPr>
            <w:r w:rsidRPr="00511DA9">
              <w:t>Documentation legal requirements</w:t>
            </w:r>
          </w:p>
        </w:tc>
      </w:tr>
      <w:tr w:rsidTr="00F70EC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11DA9">
            <w:pPr>
              <w:pStyle w:val="BodyText"/>
              <w:rPr>
                <w:lang w:val="en-NZ"/>
              </w:rPr>
            </w:pPr>
          </w:p>
        </w:tc>
      </w:tr>
      <w:tr w:rsidTr="00F70EC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11DA9">
            <w:pPr>
              <w:pStyle w:val="BodyText"/>
              <w:rPr>
                <w:lang w:val="en-NZ"/>
              </w:rPr>
            </w:pPr>
            <w:r w:rsidRPr="00511DA9">
              <w:rPr>
                <w:rStyle w:val="Emphasis"/>
              </w:rPr>
              <w:t>Commonly used medications may include</w:t>
            </w:r>
            <w:r w:rsidRPr="00511DA9">
              <w:t>:</w:t>
            </w:r>
          </w:p>
        </w:tc>
        <w:tc>
          <w:tcPr>
            <w:tcW w:w="5670" w:type="dxa"/>
            <w:tcBorders>
              <w:top w:val="nil"/>
              <w:left w:val="nil"/>
              <w:bottom w:val="nil"/>
              <w:right w:val="nil"/>
            </w:tcBorders>
            <w:tcMar>
              <w:top w:w="0" w:type="dxa"/>
              <w:left w:w="62" w:type="dxa"/>
              <w:bottom w:w="0" w:type="dxa"/>
              <w:right w:w="62" w:type="dxa"/>
            </w:tcMar>
          </w:tcPr>
          <w:p w:rsidR="00000000" w:rsidRPr="00511DA9" w:rsidP="00511DA9">
            <w:pPr>
              <w:pStyle w:val="ListBullet"/>
            </w:pPr>
            <w:r w:rsidRPr="00511DA9">
              <w:t>Analgesia</w:t>
            </w:r>
          </w:p>
          <w:p w:rsidR="00000000" w:rsidRPr="00511DA9" w:rsidP="00511DA9">
            <w:pPr>
              <w:pStyle w:val="ListBullet"/>
            </w:pPr>
            <w:r w:rsidRPr="00511DA9">
              <w:t>Antibiotics</w:t>
            </w:r>
          </w:p>
          <w:p w:rsidR="00000000" w:rsidP="00511DA9">
            <w:pPr>
              <w:pStyle w:val="ListBullet"/>
              <w:rPr>
                <w:lang w:val="en-NZ"/>
              </w:rPr>
            </w:pPr>
            <w:r w:rsidRPr="00511DA9">
              <w:t>Corticosteroids</w:t>
            </w:r>
          </w:p>
        </w:tc>
      </w:tr>
      <w:tr w:rsidTr="00F70EC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11DA9">
            <w:pPr>
              <w:pStyle w:val="BodyText"/>
              <w:rPr>
                <w:lang w:val="en-NZ"/>
              </w:rPr>
            </w:pPr>
          </w:p>
        </w:tc>
      </w:tr>
      <w:tr w:rsidTr="00F70EC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11DA9">
            <w:pPr>
              <w:pStyle w:val="BodyText"/>
              <w:rPr>
                <w:lang w:val="en-NZ"/>
              </w:rPr>
            </w:pPr>
            <w:r w:rsidRPr="00511DA9">
              <w:rPr>
                <w:rStyle w:val="Emphasis"/>
              </w:rPr>
              <w:t>Administration of oral medications and associated terminology may include</w:t>
            </w:r>
            <w:r w:rsidRPr="00511DA9">
              <w:t>:</w:t>
            </w:r>
          </w:p>
        </w:tc>
        <w:tc>
          <w:tcPr>
            <w:tcW w:w="5670" w:type="dxa"/>
            <w:tcBorders>
              <w:top w:val="nil"/>
              <w:left w:val="nil"/>
              <w:bottom w:val="nil"/>
              <w:right w:val="nil"/>
            </w:tcBorders>
            <w:tcMar>
              <w:top w:w="0" w:type="dxa"/>
              <w:left w:w="62" w:type="dxa"/>
              <w:bottom w:w="0" w:type="dxa"/>
              <w:right w:w="62" w:type="dxa"/>
            </w:tcMar>
          </w:tcPr>
          <w:p w:rsidR="00000000" w:rsidRPr="00511DA9" w:rsidP="00511DA9">
            <w:pPr>
              <w:pStyle w:val="ListBullet"/>
            </w:pPr>
            <w:r w:rsidRPr="00511DA9">
              <w:t>Legible medication order</w:t>
            </w:r>
          </w:p>
          <w:p w:rsidR="00000000" w:rsidRPr="00511DA9" w:rsidP="00511DA9">
            <w:pPr>
              <w:pStyle w:val="ListBullet"/>
            </w:pPr>
            <w:r w:rsidRPr="00511DA9">
              <w:t>Preparation of medication by person administering</w:t>
            </w:r>
          </w:p>
          <w:p w:rsidR="00000000" w:rsidRPr="00511DA9" w:rsidP="00511DA9">
            <w:pPr>
              <w:pStyle w:val="ListBullet"/>
            </w:pPr>
            <w:r w:rsidRPr="00511DA9">
              <w:t>5 'Rights'</w:t>
            </w:r>
          </w:p>
          <w:p w:rsidR="00000000" w:rsidP="00511DA9">
            <w:pPr>
              <w:pStyle w:val="ListBullet"/>
              <w:rPr>
                <w:lang w:val="en-NZ"/>
              </w:rPr>
            </w:pPr>
            <w:r w:rsidRPr="00511DA9">
              <w:t>Special precautions including assessment of intravenous cannula site</w:t>
            </w:r>
          </w:p>
        </w:tc>
      </w:tr>
      <w:tr w:rsidTr="00F70EC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11DA9">
            <w:pPr>
              <w:pStyle w:val="BodyText"/>
              <w:rPr>
                <w:lang w:val="en-NZ"/>
              </w:rPr>
            </w:pPr>
          </w:p>
        </w:tc>
      </w:tr>
      <w:tr w:rsidTr="00F70EC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11DA9">
            <w:pPr>
              <w:pStyle w:val="BodyText"/>
              <w:rPr>
                <w:lang w:val="en-NZ"/>
              </w:rPr>
            </w:pPr>
            <w:r w:rsidRPr="00511DA9">
              <w:rPr>
                <w:rStyle w:val="Emphasis"/>
              </w:rPr>
              <w:t>Checking intravenous</w:t>
            </w:r>
            <w:r w:rsidRPr="00511DA9">
              <w:t xml:space="preserve"> </w:t>
            </w:r>
            <w:r w:rsidRPr="00511DA9">
              <w:t xml:space="preserve"> </w:t>
            </w:r>
            <w:r w:rsidRPr="00511DA9">
              <w:rPr>
                <w:rStyle w:val="Emphasis"/>
              </w:rPr>
              <w:t>medications and associated terminology include</w:t>
            </w:r>
            <w:r w:rsidRPr="00511DA9">
              <w:t>:</w:t>
            </w:r>
          </w:p>
        </w:tc>
        <w:tc>
          <w:tcPr>
            <w:tcW w:w="5670" w:type="dxa"/>
            <w:tcBorders>
              <w:top w:val="nil"/>
              <w:left w:val="nil"/>
              <w:bottom w:val="nil"/>
              <w:right w:val="nil"/>
            </w:tcBorders>
            <w:tcMar>
              <w:top w:w="0" w:type="dxa"/>
              <w:left w:w="62" w:type="dxa"/>
              <w:bottom w:w="0" w:type="dxa"/>
              <w:right w:w="62" w:type="dxa"/>
            </w:tcMar>
          </w:tcPr>
          <w:p w:rsidR="00000000" w:rsidRPr="00511DA9" w:rsidP="00511DA9">
            <w:pPr>
              <w:pStyle w:val="ListBullet"/>
            </w:pPr>
            <w:r w:rsidRPr="00511DA9">
              <w:t xml:space="preserve">Legal requirements as per jurisdictional regulations </w:t>
            </w:r>
          </w:p>
          <w:p w:rsidR="00000000" w:rsidRPr="00511DA9" w:rsidP="00511DA9">
            <w:pPr>
              <w:pStyle w:val="ListBullet"/>
            </w:pPr>
            <w:r w:rsidRPr="00511DA9">
              <w:t xml:space="preserve">Understanding of Enrolled/Division 2 nurse role  </w:t>
            </w:r>
          </w:p>
          <w:p w:rsidR="00000000" w:rsidRPr="00511DA9" w:rsidP="00511DA9">
            <w:pPr>
              <w:pStyle w:val="ListBullet"/>
            </w:pPr>
            <w:r w:rsidRPr="00511DA9">
              <w:t>Legible medication order</w:t>
            </w:r>
          </w:p>
          <w:p w:rsidR="00000000" w:rsidRPr="00511DA9" w:rsidP="00511DA9">
            <w:pPr>
              <w:pStyle w:val="ListBullet"/>
            </w:pPr>
            <w:r w:rsidRPr="00511DA9">
              <w:t>Absorption rates of intravenous medications</w:t>
            </w:r>
          </w:p>
          <w:p w:rsidR="00000000" w:rsidRPr="00511DA9" w:rsidP="00511DA9">
            <w:pPr>
              <w:pStyle w:val="ListBullet"/>
            </w:pPr>
            <w:r w:rsidRPr="00511DA9">
              <w:t>Preparation of medication by person administering</w:t>
            </w:r>
          </w:p>
          <w:p w:rsidR="00000000" w:rsidRPr="00511DA9" w:rsidP="00511DA9">
            <w:pPr>
              <w:pStyle w:val="ListBullet"/>
            </w:pPr>
            <w:r w:rsidRPr="00511DA9">
              <w:t>Checked by Registered Nurse</w:t>
            </w:r>
          </w:p>
          <w:p w:rsidR="00000000" w:rsidRPr="00511DA9" w:rsidP="00511DA9">
            <w:pPr>
              <w:pStyle w:val="ListBullet"/>
            </w:pPr>
            <w:r w:rsidRPr="00511DA9">
              <w:t>5 'Rights'</w:t>
            </w:r>
          </w:p>
          <w:p w:rsidR="00000000" w:rsidP="00511DA9">
            <w:pPr>
              <w:pStyle w:val="ListBullet"/>
              <w:rPr>
                <w:lang w:val="en-NZ"/>
              </w:rPr>
            </w:pPr>
            <w:r w:rsidRPr="00511DA9">
              <w:t>Special precautions</w:t>
            </w:r>
          </w:p>
        </w:tc>
      </w:tr>
      <w:tr w:rsidTr="00F70EC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11DA9">
            <w:pPr>
              <w:pStyle w:val="BodyText"/>
              <w:rPr>
                <w:lang w:val="en-NZ"/>
              </w:rPr>
            </w:pPr>
          </w:p>
        </w:tc>
      </w:tr>
      <w:tr w:rsidTr="00F70EC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11DA9">
            <w:pPr>
              <w:pStyle w:val="BodyText"/>
              <w:rPr>
                <w:lang w:val="en-NZ"/>
              </w:rPr>
            </w:pPr>
            <w:r w:rsidRPr="00511DA9">
              <w:rPr>
                <w:rStyle w:val="Emphasis"/>
              </w:rPr>
              <w:t>Problems with intravenous cannula site may include</w:t>
            </w:r>
            <w:r w:rsidRPr="00511DA9">
              <w:t>:</w:t>
            </w:r>
          </w:p>
        </w:tc>
        <w:tc>
          <w:tcPr>
            <w:tcW w:w="5670" w:type="dxa"/>
            <w:tcBorders>
              <w:top w:val="nil"/>
              <w:left w:val="nil"/>
              <w:bottom w:val="nil"/>
              <w:right w:val="nil"/>
            </w:tcBorders>
            <w:tcMar>
              <w:top w:w="0" w:type="dxa"/>
              <w:left w:w="62" w:type="dxa"/>
              <w:bottom w:w="0" w:type="dxa"/>
              <w:right w:w="62" w:type="dxa"/>
            </w:tcMar>
          </w:tcPr>
          <w:p w:rsidR="00000000" w:rsidRPr="00511DA9" w:rsidP="00511DA9">
            <w:pPr>
              <w:pStyle w:val="ListBullet"/>
            </w:pPr>
            <w:r w:rsidRPr="00511DA9">
              <w:t>Extravasation</w:t>
            </w:r>
          </w:p>
          <w:p w:rsidR="00000000" w:rsidRPr="00511DA9" w:rsidP="00511DA9">
            <w:pPr>
              <w:pStyle w:val="ListBullet"/>
            </w:pPr>
            <w:r w:rsidRPr="00511DA9">
              <w:t xml:space="preserve">Signs of inflammation </w:t>
            </w:r>
          </w:p>
          <w:p w:rsidR="00000000" w:rsidP="00511DA9">
            <w:pPr>
              <w:pStyle w:val="ListBullet"/>
              <w:rPr>
                <w:lang w:val="en-NZ"/>
              </w:rPr>
            </w:pPr>
            <w:r w:rsidRPr="00511DA9">
              <w:t>Loss of patency</w:t>
            </w:r>
          </w:p>
        </w:tc>
      </w:tr>
      <w:tr w:rsidTr="00F70EC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11DA9">
            <w:pPr>
              <w:pStyle w:val="BodyText"/>
              <w:rPr>
                <w:lang w:val="en-NZ"/>
              </w:rPr>
            </w:pPr>
          </w:p>
        </w:tc>
      </w:tr>
      <w:tr w:rsidTr="00F70EC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11DA9">
            <w:pPr>
              <w:pStyle w:val="BodyText"/>
              <w:rPr>
                <w:lang w:val="en-NZ"/>
              </w:rPr>
            </w:pPr>
            <w:r w:rsidRPr="00511DA9">
              <w:rPr>
                <w:rStyle w:val="Emphasis"/>
              </w:rPr>
              <w:t>Terminology associated with intravenous medications may include</w:t>
            </w:r>
            <w:r w:rsidRPr="00511DA9">
              <w:t>:</w:t>
            </w:r>
          </w:p>
        </w:tc>
        <w:tc>
          <w:tcPr>
            <w:tcW w:w="5670" w:type="dxa"/>
            <w:tcBorders>
              <w:top w:val="nil"/>
              <w:left w:val="nil"/>
              <w:bottom w:val="nil"/>
              <w:right w:val="nil"/>
            </w:tcBorders>
            <w:tcMar>
              <w:top w:w="0" w:type="dxa"/>
              <w:left w:w="62" w:type="dxa"/>
              <w:bottom w:w="0" w:type="dxa"/>
              <w:right w:w="62" w:type="dxa"/>
            </w:tcMar>
          </w:tcPr>
          <w:p w:rsidR="00000000" w:rsidRPr="00511DA9" w:rsidP="00511DA9">
            <w:pPr>
              <w:pStyle w:val="ListBullet"/>
            </w:pPr>
            <w:r w:rsidRPr="00511DA9">
              <w:t>Pharmacology</w:t>
            </w:r>
          </w:p>
          <w:p w:rsidR="00000000" w:rsidRPr="00511DA9" w:rsidP="00511DA9">
            <w:pPr>
              <w:pStyle w:val="ListBullet"/>
            </w:pPr>
            <w:r w:rsidRPr="00511DA9">
              <w:t>Medication</w:t>
            </w:r>
          </w:p>
          <w:p w:rsidR="00000000" w:rsidRPr="00511DA9" w:rsidP="00511DA9">
            <w:pPr>
              <w:pStyle w:val="ListBullet"/>
            </w:pPr>
            <w:r w:rsidRPr="00511DA9">
              <w:t>Administer</w:t>
            </w:r>
          </w:p>
          <w:p w:rsidR="00000000" w:rsidRPr="00511DA9" w:rsidP="00511DA9">
            <w:pPr>
              <w:pStyle w:val="ListBullet"/>
            </w:pPr>
            <w:r w:rsidRPr="00511DA9">
              <w:t>Therapeutic effect</w:t>
            </w:r>
          </w:p>
          <w:p w:rsidR="00000000" w:rsidRPr="00511DA9" w:rsidP="00511DA9">
            <w:pPr>
              <w:pStyle w:val="ListBullet"/>
            </w:pPr>
            <w:r w:rsidRPr="00511DA9">
              <w:t>Side effect/adverse reaction/allergic reaction</w:t>
            </w:r>
          </w:p>
          <w:p w:rsidR="00000000" w:rsidRPr="00511DA9" w:rsidP="00511DA9">
            <w:pPr>
              <w:pStyle w:val="ListBullet"/>
            </w:pPr>
            <w:r w:rsidRPr="00511DA9">
              <w:t>Contraindication</w:t>
            </w:r>
          </w:p>
          <w:p w:rsidR="00000000" w:rsidRPr="00511DA9" w:rsidP="00511DA9">
            <w:pPr>
              <w:pStyle w:val="ListBullet"/>
            </w:pPr>
            <w:r w:rsidRPr="00511DA9">
              <w:t>Anaphylaxis</w:t>
            </w:r>
          </w:p>
          <w:p w:rsidR="00000000" w:rsidP="00511DA9">
            <w:pPr>
              <w:pStyle w:val="ListBullet"/>
              <w:rPr>
                <w:lang w:val="en-NZ"/>
              </w:rPr>
            </w:pPr>
            <w:r w:rsidRPr="00511DA9">
              <w:t>Allergy</w:t>
            </w:r>
          </w:p>
        </w:tc>
      </w:tr>
      <w:tr w:rsidTr="00F70EC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11DA9">
            <w:pPr>
              <w:pStyle w:val="BodyText"/>
              <w:rPr>
                <w:lang w:val="en-NZ"/>
              </w:rPr>
            </w:pPr>
          </w:p>
        </w:tc>
      </w:tr>
      <w:tr w:rsidTr="00F70EC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11DA9">
            <w:pPr>
              <w:pStyle w:val="BodyText"/>
              <w:rPr>
                <w:lang w:val="en-NZ"/>
              </w:rPr>
            </w:pPr>
            <w:r w:rsidRPr="00511DA9">
              <w:rPr>
                <w:rStyle w:val="Emphasis"/>
              </w:rPr>
              <w:t>Calculation of medication dosages must include</w:t>
            </w:r>
            <w:r w:rsidRPr="00511DA9">
              <w:t>:</w:t>
            </w:r>
          </w:p>
        </w:tc>
        <w:tc>
          <w:tcPr>
            <w:tcW w:w="5670" w:type="dxa"/>
            <w:tcBorders>
              <w:top w:val="nil"/>
              <w:left w:val="nil"/>
              <w:bottom w:val="nil"/>
              <w:right w:val="nil"/>
            </w:tcBorders>
            <w:tcMar>
              <w:top w:w="0" w:type="dxa"/>
              <w:left w:w="62" w:type="dxa"/>
              <w:bottom w:w="0" w:type="dxa"/>
              <w:right w:w="62" w:type="dxa"/>
            </w:tcMar>
          </w:tcPr>
          <w:p w:rsidR="00000000" w:rsidRPr="00511DA9" w:rsidP="00511DA9">
            <w:pPr>
              <w:pStyle w:val="ListBullet"/>
            </w:pPr>
            <w:r w:rsidRPr="00511DA9">
              <w:t>Calculation formulae</w:t>
            </w:r>
          </w:p>
          <w:p w:rsidR="00000000" w:rsidRPr="00511DA9" w:rsidP="00511DA9">
            <w:pPr>
              <w:pStyle w:val="ListBullet"/>
            </w:pPr>
            <w:r w:rsidRPr="00511DA9">
              <w:t>Calculation of dosages of injectable drugs (liquid,  solid, unit  dosages)</w:t>
            </w:r>
          </w:p>
          <w:p w:rsidR="00000000" w:rsidRPr="00511DA9" w:rsidP="00511DA9">
            <w:pPr>
              <w:pStyle w:val="ListBullet"/>
            </w:pPr>
            <w:r w:rsidRPr="00511DA9">
              <w:t>Flow rate drops per minute</w:t>
            </w:r>
          </w:p>
          <w:p w:rsidR="00000000" w:rsidRPr="00511DA9" w:rsidP="00511DA9">
            <w:pPr>
              <w:pStyle w:val="ListBullet"/>
            </w:pPr>
            <w:r w:rsidRPr="00511DA9">
              <w:t>Flow rate millilitres per hour</w:t>
            </w:r>
          </w:p>
          <w:p w:rsidR="00000000" w:rsidRPr="00511DA9" w:rsidP="00511DA9">
            <w:pPr>
              <w:pStyle w:val="ListBullet"/>
            </w:pPr>
            <w:r w:rsidRPr="00511DA9">
              <w:t>Paediatric dosage calculations (body weight, surface area, age related dose reduction)</w:t>
            </w:r>
          </w:p>
          <w:p w:rsidR="00000000" w:rsidP="00511DA9">
            <w:pPr>
              <w:pStyle w:val="ListBullet"/>
              <w:rPr>
                <w:lang w:val="en-NZ"/>
              </w:rPr>
            </w:pPr>
            <w:r w:rsidRPr="00511DA9">
              <w:t>Geriatric dosa</w:t>
            </w:r>
            <w:r w:rsidRPr="00511DA9">
              <w:t>ge calculations (body weight, surface area and age)</w:t>
            </w:r>
          </w:p>
        </w:tc>
      </w:tr>
      <w:tr w:rsidTr="00F70EC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511DA9" w:rsidP="00511DA9">
            <w:pPr>
              <w:pStyle w:val="BodyText"/>
            </w:pPr>
          </w:p>
        </w:tc>
      </w:tr>
    </w:tbl>
    <w:p w:rsidR="00F70ECC" w:rsidP="00511DA9">
      <w:pPr>
        <w:pStyle w:val="BodyText"/>
      </w:pPr>
    </w:p>
    <w:p w:rsidR="00F70ECC" w:rsidP="00511DA9">
      <w:pPr>
        <w:pStyle w:val="BodyText"/>
      </w:pPr>
    </w:p>
    <w:p w:rsidR="00000000" w:rsidRPr="00511DA9" w:rsidP="00511DA9">
      <w:pPr>
        <w:pStyle w:val="Heading1"/>
      </w:pPr>
      <w:bookmarkStart w:id="12" w:name="O_425624"/>
      <w:bookmarkEnd w:id="12"/>
      <w:r w:rsidRPr="00511DA9">
        <w:t>Unit Sector(s)</w:t>
      </w:r>
    </w:p>
    <w:p w:rsidR="00000000" w:rsidRPr="00511DA9" w:rsidP="00511DA9">
      <w:pPr>
        <w:pStyle w:val="BodyText"/>
      </w:pPr>
      <w:r w:rsidRPr="00511DA9">
        <w:t>Not Applicable</w:t>
      </w:r>
    </w:p>
    <w:p w:rsidR="00000000" w:rsidRPr="00511DA9" w:rsidP="00511DA9"/>
    <w:sectPr w:rsidSect="00511DA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1DA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70ECC" w:rsidP="00F70ECC">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1DA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0ECC" w:rsidP="00511DA9">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9</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F70ECC" w:rsidP="00511DA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F70ECC" w:rsidP="00511DA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1DA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1DA9" w:rsidRPr="00F70ECC" w:rsidP="00F70EC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1DA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0ECC" w:rsidRPr="002D2AF8" w:rsidP="00511DA9">
    <w:pPr>
      <w:pStyle w:val="Header"/>
      <w:framePr w:wrap="around"/>
    </w:pPr>
    <w:r>
      <w:fldChar w:fldCharType="begin"/>
    </w:r>
    <w:r>
      <w:instrText xml:space="preserve"> TITLE   \* MERGEFORMAT </w:instrText>
    </w:r>
    <w:r>
      <w:fldChar w:fldCharType="separate"/>
    </w:r>
    <w:r>
      <w:t>HLTEN519C Administer and monitor intravenous medication in the nursing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August 2012</w:t>
    </w:r>
    <w:r>
      <w:fldChar w:fldCharType="end"/>
    </w:r>
  </w:p>
  <w:p w:rsidR="00F70ECC" w:rsidP="00511DA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FFC508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D3A3CA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73C784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1DA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11DA9"/>
    <w:pPr>
      <w:spacing w:before="360" w:after="60"/>
      <w:outlineLvl w:val="0"/>
    </w:pPr>
    <w:rPr>
      <w:sz w:val="32"/>
    </w:rPr>
  </w:style>
  <w:style w:type="paragraph" w:styleId="Heading2">
    <w:name w:val="heading 2"/>
    <w:basedOn w:val="HeadingBase"/>
    <w:next w:val="BodyText"/>
    <w:link w:val="Heading2Char"/>
    <w:qFormat/>
    <w:rsid w:val="00511DA9"/>
    <w:pPr>
      <w:keepLines/>
      <w:spacing w:before="240" w:after="120"/>
      <w:outlineLvl w:val="1"/>
    </w:pPr>
    <w:rPr>
      <w:sz w:val="28"/>
      <w:szCs w:val="40"/>
    </w:rPr>
  </w:style>
  <w:style w:type="paragraph" w:styleId="Heading3">
    <w:name w:val="heading 3"/>
    <w:basedOn w:val="HeadingBase"/>
    <w:next w:val="BodyText"/>
    <w:link w:val="Heading3Char"/>
    <w:qFormat/>
    <w:rsid w:val="00511DA9"/>
    <w:pPr>
      <w:spacing w:before="180" w:after="120"/>
      <w:outlineLvl w:val="2"/>
    </w:pPr>
    <w:rPr>
      <w:spacing w:val="-10"/>
      <w:kern w:val="32"/>
    </w:rPr>
  </w:style>
  <w:style w:type="paragraph" w:styleId="Heading4">
    <w:name w:val="heading 4"/>
    <w:basedOn w:val="HeadingBase"/>
    <w:next w:val="BodyText"/>
    <w:link w:val="Heading4Char"/>
    <w:qFormat/>
    <w:rsid w:val="00511DA9"/>
    <w:pPr>
      <w:spacing w:before="160" w:after="120"/>
      <w:outlineLvl w:val="3"/>
    </w:pPr>
    <w:rPr>
      <w:sz w:val="22"/>
    </w:rPr>
  </w:style>
  <w:style w:type="paragraph" w:styleId="Heading5">
    <w:name w:val="heading 5"/>
    <w:basedOn w:val="HeadingBase"/>
    <w:next w:val="Normal"/>
    <w:link w:val="Heading5Char"/>
    <w:qFormat/>
    <w:rsid w:val="00511DA9"/>
    <w:pPr>
      <w:spacing w:before="80"/>
      <w:outlineLvl w:val="4"/>
    </w:pPr>
    <w:rPr>
      <w:color w:val="918585"/>
      <w:sz w:val="20"/>
    </w:rPr>
  </w:style>
  <w:style w:type="paragraph" w:styleId="Heading6">
    <w:name w:val="heading 6"/>
    <w:basedOn w:val="HeadingBase"/>
    <w:next w:val="Normal"/>
    <w:link w:val="Heading6Char"/>
    <w:qFormat/>
    <w:rsid w:val="00511DA9"/>
    <w:pPr>
      <w:spacing w:before="60"/>
      <w:outlineLvl w:val="5"/>
    </w:pPr>
    <w:rPr>
      <w:color w:val="918585"/>
      <w:sz w:val="20"/>
    </w:rPr>
  </w:style>
  <w:style w:type="paragraph" w:styleId="Heading7">
    <w:name w:val="heading 7"/>
    <w:basedOn w:val="Normal"/>
    <w:next w:val="Normal"/>
    <w:link w:val="Heading7Char"/>
    <w:qFormat/>
    <w:rsid w:val="00511DA9"/>
    <w:pPr>
      <w:ind w:left="720"/>
      <w:outlineLvl w:val="6"/>
    </w:pPr>
    <w:rPr>
      <w:i/>
    </w:rPr>
  </w:style>
  <w:style w:type="paragraph" w:styleId="Heading8">
    <w:name w:val="heading 8"/>
    <w:basedOn w:val="Normal"/>
    <w:next w:val="Normal"/>
    <w:link w:val="Heading8Char"/>
    <w:qFormat/>
    <w:rsid w:val="00511DA9"/>
    <w:pPr>
      <w:ind w:left="720"/>
      <w:outlineLvl w:val="7"/>
    </w:pPr>
    <w:rPr>
      <w:i/>
    </w:rPr>
  </w:style>
  <w:style w:type="paragraph" w:styleId="Heading9">
    <w:name w:val="heading 9"/>
    <w:basedOn w:val="Normal"/>
    <w:next w:val="Normal"/>
    <w:link w:val="Heading9Char"/>
    <w:qFormat/>
    <w:rsid w:val="00511DA9"/>
    <w:pPr>
      <w:ind w:left="720"/>
      <w:outlineLvl w:val="8"/>
    </w:pPr>
    <w:rPr>
      <w:i/>
    </w:rPr>
  </w:style>
  <w:style w:type="character" w:default="1" w:styleId="DefaultParagraphFont">
    <w:name w:val="Default Paragraph Font"/>
    <w:uiPriority w:val="1"/>
    <w:unhideWhenUsed/>
    <w:rsid w:val="00511DA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11DA9"/>
  </w:style>
  <w:style w:type="character" w:customStyle="1" w:styleId="Heading1Char">
    <w:name w:val="Heading 1 Char"/>
    <w:basedOn w:val="DefaultParagraphFont"/>
    <w:link w:val="Heading1"/>
    <w:rsid w:val="00511DA9"/>
    <w:rPr>
      <w:rFonts w:ascii="Times New Roman" w:eastAsia="Times New Roman" w:hAnsi="Times New Roman" w:cs="Times New Roman"/>
      <w:b/>
      <w:sz w:val="32"/>
      <w:szCs w:val="20"/>
      <w:lang w:eastAsia="en-US"/>
    </w:rPr>
  </w:style>
  <w:style w:type="paragraph" w:styleId="BodyText">
    <w:name w:val="Body Text"/>
    <w:basedOn w:val="Normal"/>
    <w:link w:val="BodyTextChar"/>
    <w:rsid w:val="00511DA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11DA9"/>
    <w:rPr>
      <w:rFonts w:ascii="Times New Roman" w:eastAsia="Times New Roman" w:hAnsi="Times New Roman" w:cs="Times New Roman"/>
      <w:sz w:val="24"/>
      <w:lang w:eastAsia="en-US"/>
    </w:rPr>
  </w:style>
  <w:style w:type="paragraph" w:styleId="Footer">
    <w:name w:val="footer"/>
    <w:basedOn w:val="Normal"/>
    <w:link w:val="FooterChar"/>
    <w:rsid w:val="00511DA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11DA9"/>
    <w:rPr>
      <w:rFonts w:ascii="Times New Roman" w:eastAsia="Times New Roman" w:hAnsi="Times New Roman" w:cs="Times New Roman"/>
      <w:sz w:val="16"/>
      <w:lang w:eastAsia="en-US"/>
    </w:rPr>
  </w:style>
  <w:style w:type="paragraph" w:styleId="List">
    <w:name w:val="List"/>
    <w:basedOn w:val="BodyText"/>
    <w:next w:val="BodyText"/>
    <w:rsid w:val="00511DA9"/>
    <w:pPr>
      <w:tabs>
        <w:tab w:val="left" w:pos="340"/>
      </w:tabs>
      <w:spacing w:before="60" w:after="60"/>
      <w:ind w:left="340" w:hanging="340"/>
    </w:pPr>
  </w:style>
  <w:style w:type="paragraph" w:styleId="ListBullet">
    <w:name w:val="List Bullet"/>
    <w:basedOn w:val="List"/>
    <w:rsid w:val="00511DA9"/>
    <w:pPr>
      <w:numPr>
        <w:numId w:val="13"/>
      </w:numPr>
      <w:tabs>
        <w:tab w:val="clear" w:pos="340"/>
      </w:tabs>
      <w:spacing w:before="40" w:after="40"/>
    </w:pPr>
  </w:style>
  <w:style w:type="character" w:customStyle="1" w:styleId="SpecialBold">
    <w:name w:val="Special Bold"/>
    <w:basedOn w:val="DefaultParagraphFont"/>
    <w:rsid w:val="00511DA9"/>
    <w:rPr>
      <w:b/>
      <w:spacing w:val="0"/>
    </w:rPr>
  </w:style>
  <w:style w:type="paragraph" w:styleId="ListBullet2">
    <w:name w:val="List Bullet 2"/>
    <w:basedOn w:val="List2"/>
    <w:rsid w:val="00511DA9"/>
    <w:pPr>
      <w:numPr>
        <w:numId w:val="14"/>
      </w:numPr>
      <w:tabs>
        <w:tab w:val="clear" w:pos="680"/>
      </w:tabs>
    </w:pPr>
  </w:style>
  <w:style w:type="character" w:styleId="Emphasis">
    <w:name w:val="Emphasis"/>
    <w:basedOn w:val="DefaultParagraphFont"/>
    <w:qFormat/>
    <w:rsid w:val="00511DA9"/>
    <w:rPr>
      <w:i/>
    </w:rPr>
  </w:style>
  <w:style w:type="paragraph" w:customStyle="1" w:styleId="SuperHeading">
    <w:name w:val="SuperHeading"/>
    <w:basedOn w:val="Normal"/>
    <w:rsid w:val="00511DA9"/>
    <w:pPr>
      <w:spacing w:before="240" w:after="120"/>
      <w:outlineLvl w:val="0"/>
    </w:pPr>
    <w:rPr>
      <w:rFonts w:ascii="Times New Roman" w:hAnsi="Times New Roman"/>
      <w:b/>
      <w:sz w:val="28"/>
    </w:rPr>
  </w:style>
  <w:style w:type="paragraph" w:customStyle="1" w:styleId="AllowPageBreak">
    <w:name w:val="AllowPageBreak"/>
    <w:rsid w:val="00511DA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Subscript">
    <w:name w:val="Subscript"/>
    <w:basedOn w:val="DefaultParagraphFont"/>
    <w:rsid w:val="00511DA9"/>
    <w:rPr>
      <w:sz w:val="16"/>
      <w:vertAlign w:val="subscript"/>
    </w:rPr>
  </w:style>
  <w:style w:type="character" w:customStyle="1" w:styleId="Heading2Char">
    <w:name w:val="Heading 2 Char"/>
    <w:basedOn w:val="DefaultParagraphFont"/>
    <w:link w:val="Heading2"/>
    <w:rsid w:val="00511DA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11DA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11DA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11DA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11DA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11DA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11DA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11DA9"/>
    <w:rPr>
      <w:rFonts w:ascii="Courier New" w:eastAsia="Times New Roman" w:hAnsi="Courier New" w:cs="Times New Roman"/>
      <w:i/>
      <w:szCs w:val="20"/>
      <w:lang w:eastAsia="en-US"/>
    </w:rPr>
  </w:style>
  <w:style w:type="paragraph" w:customStyle="1" w:styleId="HeadingBase">
    <w:name w:val="Heading Base"/>
    <w:rsid w:val="00511DA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11DA9"/>
    <w:pPr>
      <w:tabs>
        <w:tab w:val="right" w:leader="dot" w:pos="9072"/>
      </w:tabs>
      <w:ind w:left="567"/>
    </w:pPr>
    <w:rPr>
      <w:szCs w:val="22"/>
    </w:rPr>
  </w:style>
  <w:style w:type="paragraph" w:customStyle="1" w:styleId="TOCBase">
    <w:name w:val="TOC Base"/>
    <w:rsid w:val="00511DA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11DA9"/>
    <w:pPr>
      <w:tabs>
        <w:tab w:val="right" w:leader="dot" w:pos="9072"/>
      </w:tabs>
      <w:spacing w:before="40" w:after="40"/>
      <w:ind w:left="284"/>
    </w:pPr>
    <w:rPr>
      <w:rFonts w:ascii="Times New Roman" w:hAnsi="Times New Roman"/>
    </w:rPr>
  </w:style>
  <w:style w:type="paragraph" w:styleId="TOC1">
    <w:name w:val="toc 1"/>
    <w:basedOn w:val="TOCBase"/>
    <w:next w:val="Normal"/>
    <w:rsid w:val="00511DA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11DA9"/>
    <w:pPr>
      <w:spacing w:before="5040"/>
      <w:jc w:val="center"/>
    </w:pPr>
    <w:rPr>
      <w:sz w:val="48"/>
      <w:szCs w:val="72"/>
      <w:lang w:val="en-US"/>
    </w:rPr>
  </w:style>
  <w:style w:type="character" w:customStyle="1" w:styleId="TitleChar">
    <w:name w:val="Title Char"/>
    <w:basedOn w:val="DefaultParagraphFont"/>
    <w:link w:val="Title"/>
    <w:rsid w:val="00511DA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11DA9"/>
    <w:pPr>
      <w:tabs>
        <w:tab w:val="left" w:pos="3600"/>
        <w:tab w:val="left" w:pos="3958"/>
      </w:tabs>
    </w:pPr>
  </w:style>
  <w:style w:type="paragraph" w:customStyle="1" w:styleId="Note">
    <w:name w:val="Note"/>
    <w:basedOn w:val="BodyText"/>
    <w:rsid w:val="00511DA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11DA9"/>
    <w:pPr>
      <w:framePr w:wrap="auto" w:hAnchor="text" w:y="6049"/>
    </w:pPr>
    <w:rPr>
      <w:color w:val="000000"/>
      <w:sz w:val="40"/>
    </w:rPr>
  </w:style>
  <w:style w:type="paragraph" w:customStyle="1" w:styleId="TOCTitle">
    <w:name w:val="TOCTitle"/>
    <w:basedOn w:val="Heading1"/>
    <w:rsid w:val="00511DA9"/>
    <w:pPr>
      <w:spacing w:after="240"/>
      <w:jc w:val="center"/>
      <w:outlineLvl w:val="9"/>
    </w:pPr>
    <w:rPr>
      <w:caps/>
    </w:rPr>
  </w:style>
  <w:style w:type="paragraph" w:customStyle="1" w:styleId="Version">
    <w:name w:val="Version"/>
    <w:rsid w:val="00511DA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11DA9"/>
    <w:pPr>
      <w:keepNext w:val="0"/>
      <w:tabs>
        <w:tab w:val="right" w:pos="4176"/>
      </w:tabs>
      <w:ind w:left="198" w:hanging="198"/>
    </w:pPr>
    <w:rPr>
      <w:rFonts w:ascii="Garamond" w:hAnsi="Garamond"/>
    </w:rPr>
  </w:style>
  <w:style w:type="paragraph" w:styleId="IndexHeading">
    <w:name w:val="index heading"/>
    <w:basedOn w:val="Normal"/>
    <w:next w:val="Index1"/>
    <w:semiHidden/>
    <w:rsid w:val="00511DA9"/>
    <w:pPr>
      <w:spacing w:before="120" w:after="120"/>
    </w:pPr>
    <w:rPr>
      <w:rFonts w:ascii="Arial" w:hAnsi="Arial"/>
      <w:b/>
      <w:color w:val="918585"/>
      <w:sz w:val="24"/>
    </w:rPr>
  </w:style>
  <w:style w:type="paragraph" w:styleId="Header">
    <w:name w:val="header"/>
    <w:basedOn w:val="Normal"/>
    <w:link w:val="HeaderChar"/>
    <w:rsid w:val="00511DA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11DA9"/>
    <w:rPr>
      <w:rFonts w:ascii="Times New Roman" w:eastAsia="Times New Roman" w:hAnsi="Times New Roman" w:cs="Times New Roman"/>
      <w:sz w:val="16"/>
      <w:szCs w:val="20"/>
      <w:lang w:val="en-GB" w:eastAsia="en-US"/>
    </w:rPr>
  </w:style>
  <w:style w:type="paragraph" w:customStyle="1" w:styleId="Chapter">
    <w:name w:val="Chapter"/>
    <w:basedOn w:val="Normal"/>
    <w:rsid w:val="00511DA9"/>
    <w:pPr>
      <w:spacing w:before="240"/>
    </w:pPr>
    <w:rPr>
      <w:rFonts w:ascii="Times New Roman" w:hAnsi="Times New Roman"/>
      <w:smallCaps/>
      <w:spacing w:val="80"/>
      <w:sz w:val="28"/>
    </w:rPr>
  </w:style>
  <w:style w:type="paragraph" w:customStyle="1" w:styleId="InChapter">
    <w:name w:val="InChapter"/>
    <w:basedOn w:val="Heading3"/>
    <w:rsid w:val="00511DA9"/>
    <w:pPr>
      <w:spacing w:after="240"/>
      <w:outlineLvl w:val="9"/>
    </w:pPr>
    <w:rPr>
      <w:noProof/>
    </w:rPr>
  </w:style>
  <w:style w:type="paragraph" w:styleId="Index2">
    <w:name w:val="index 2"/>
    <w:basedOn w:val="Normal"/>
    <w:next w:val="Normal"/>
    <w:semiHidden/>
    <w:rsid w:val="00511DA9"/>
    <w:pPr>
      <w:tabs>
        <w:tab w:val="right" w:pos="4176"/>
      </w:tabs>
      <w:ind w:left="568" w:hanging="284"/>
    </w:pPr>
    <w:rPr>
      <w:rFonts w:ascii="Garamond" w:hAnsi="Garamond"/>
    </w:rPr>
  </w:style>
  <w:style w:type="paragraph" w:customStyle="1" w:styleId="Byline">
    <w:name w:val="Byline"/>
    <w:rsid w:val="00511DA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11DA9"/>
    <w:pPr>
      <w:tabs>
        <w:tab w:val="clear" w:pos="3600"/>
        <w:tab w:val="clear" w:pos="3958"/>
      </w:tabs>
      <w:jc w:val="right"/>
    </w:pPr>
  </w:style>
  <w:style w:type="paragraph" w:styleId="Caption">
    <w:name w:val="caption"/>
    <w:basedOn w:val="BodyText"/>
    <w:next w:val="Normal"/>
    <w:qFormat/>
    <w:rsid w:val="00511DA9"/>
    <w:pPr>
      <w:framePr w:w="2268" w:hSpace="181" w:vSpace="181" w:wrap="around" w:vAnchor="text" w:hAnchor="page" w:x="1135" w:y="285" w:anchorLock="1"/>
    </w:pPr>
    <w:rPr>
      <w:i/>
    </w:rPr>
  </w:style>
  <w:style w:type="paragraph" w:customStyle="1" w:styleId="MiniTOCTitle">
    <w:name w:val="MiniTOCTitle"/>
    <w:basedOn w:val="Heading4"/>
    <w:rsid w:val="00511DA9"/>
    <w:pPr>
      <w:spacing w:before="240"/>
      <w:outlineLvl w:val="9"/>
    </w:pPr>
    <w:rPr>
      <w:noProof/>
      <w:sz w:val="24"/>
    </w:rPr>
  </w:style>
  <w:style w:type="paragraph" w:customStyle="1" w:styleId="MiniTOCItem">
    <w:name w:val="MiniTOCItem"/>
    <w:basedOn w:val="ListBullet"/>
    <w:rsid w:val="00511DA9"/>
    <w:pPr>
      <w:numPr>
        <w:numId w:val="0"/>
      </w:numPr>
      <w:tabs>
        <w:tab w:val="right" w:leader="dot" w:pos="6521"/>
      </w:tabs>
      <w:spacing w:before="0" w:after="0"/>
    </w:pPr>
  </w:style>
  <w:style w:type="paragraph" w:customStyle="1" w:styleId="TOFTitle">
    <w:name w:val="TOFTitle"/>
    <w:basedOn w:val="TOCTitle"/>
    <w:rsid w:val="00511DA9"/>
  </w:style>
  <w:style w:type="paragraph" w:styleId="TableofFigures">
    <w:name w:val="table of figures"/>
    <w:basedOn w:val="Normal"/>
    <w:next w:val="Normal"/>
    <w:semiHidden/>
    <w:rsid w:val="00511DA9"/>
    <w:pPr>
      <w:tabs>
        <w:tab w:val="right" w:leader="dot" w:pos="9072"/>
      </w:tabs>
      <w:ind w:left="970" w:hanging="403"/>
    </w:pPr>
    <w:rPr>
      <w:rFonts w:ascii="Times New Roman" w:hAnsi="Times New Roman"/>
      <w:b/>
    </w:rPr>
  </w:style>
  <w:style w:type="paragraph" w:styleId="ListNumber">
    <w:name w:val="List Number"/>
    <w:basedOn w:val="List"/>
    <w:rsid w:val="00511DA9"/>
    <w:pPr>
      <w:numPr>
        <w:numId w:val="11"/>
      </w:numPr>
    </w:pPr>
  </w:style>
  <w:style w:type="character" w:customStyle="1" w:styleId="WingdingSymbols">
    <w:name w:val="Wingding Symbols"/>
    <w:rsid w:val="00511DA9"/>
    <w:rPr>
      <w:rFonts w:ascii="Wingdings" w:hAnsi="Wingdings"/>
    </w:rPr>
  </w:style>
  <w:style w:type="paragraph" w:customStyle="1" w:styleId="TableHeading">
    <w:name w:val="Table Heading"/>
    <w:basedOn w:val="HeadingBase"/>
    <w:rsid w:val="00511DA9"/>
    <w:pPr>
      <w:keepLines/>
      <w:pBdr>
        <w:bottom w:val="single" w:sz="6" w:space="1" w:color="918585"/>
      </w:pBdr>
      <w:spacing w:before="240"/>
    </w:pPr>
  </w:style>
  <w:style w:type="character" w:customStyle="1" w:styleId="HotSpot">
    <w:name w:val="HotSpot"/>
    <w:rsid w:val="00511DA9"/>
    <w:rPr>
      <w:color w:val="0033CC"/>
      <w:u w:val="none"/>
    </w:rPr>
  </w:style>
  <w:style w:type="paragraph" w:customStyle="1" w:styleId="BodyTextRight">
    <w:name w:val="Body Text Right"/>
    <w:basedOn w:val="BodyText"/>
    <w:rsid w:val="00511DA9"/>
    <w:pPr>
      <w:spacing w:before="0" w:after="0"/>
      <w:jc w:val="right"/>
    </w:pPr>
  </w:style>
  <w:style w:type="paragraph" w:styleId="Index3">
    <w:name w:val="index 3"/>
    <w:basedOn w:val="ListNumber2"/>
    <w:next w:val="Normal"/>
    <w:semiHidden/>
    <w:rsid w:val="00511DA9"/>
    <w:pPr>
      <w:numPr>
        <w:numId w:val="0"/>
      </w:numPr>
      <w:tabs>
        <w:tab w:val="right" w:leader="dot" w:pos="4176"/>
      </w:tabs>
    </w:pPr>
  </w:style>
  <w:style w:type="paragraph" w:styleId="ListNumber2">
    <w:name w:val="List Number 2"/>
    <w:basedOn w:val="List2"/>
    <w:rsid w:val="00511DA9"/>
    <w:pPr>
      <w:numPr>
        <w:numId w:val="10"/>
      </w:numPr>
      <w:tabs>
        <w:tab w:val="clear" w:pos="1060"/>
      </w:tabs>
    </w:pPr>
  </w:style>
  <w:style w:type="paragraph" w:customStyle="1" w:styleId="MarginNote">
    <w:name w:val="Margin Note"/>
    <w:basedOn w:val="BodyText"/>
    <w:rsid w:val="00511DA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11DA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11DA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11DA9"/>
    <w:rPr>
      <w:sz w:val="32"/>
    </w:rPr>
  </w:style>
  <w:style w:type="paragraph" w:customStyle="1" w:styleId="HeadingProcedure">
    <w:name w:val="Heading Procedure"/>
    <w:basedOn w:val="HeadingBase"/>
    <w:next w:val="Normal"/>
    <w:rsid w:val="00511DA9"/>
    <w:pPr>
      <w:tabs>
        <w:tab w:val="left" w:pos="0"/>
      </w:tabs>
      <w:spacing w:before="120" w:after="60"/>
    </w:pPr>
    <w:rPr>
      <w:i/>
      <w:color w:val="918585"/>
      <w:sz w:val="22"/>
    </w:rPr>
  </w:style>
  <w:style w:type="paragraph" w:customStyle="1" w:styleId="TableBodyText">
    <w:name w:val="Table Body Text"/>
    <w:basedOn w:val="BodyText"/>
    <w:rsid w:val="00511DA9"/>
    <w:pPr>
      <w:spacing w:before="60" w:after="60"/>
    </w:pPr>
  </w:style>
  <w:style w:type="paragraph" w:styleId="ListContinue">
    <w:name w:val="List Continue"/>
    <w:basedOn w:val="List"/>
    <w:rsid w:val="00511DA9"/>
    <w:pPr>
      <w:ind w:firstLine="0"/>
    </w:pPr>
  </w:style>
  <w:style w:type="paragraph" w:customStyle="1" w:styleId="ListNote">
    <w:name w:val="List Note"/>
    <w:basedOn w:val="List"/>
    <w:rsid w:val="00511DA9"/>
    <w:pPr>
      <w:pBdr>
        <w:top w:val="single" w:sz="6" w:space="2" w:color="918585"/>
        <w:bottom w:val="single" w:sz="6" w:space="2" w:color="918585"/>
      </w:pBdr>
      <w:tabs>
        <w:tab w:val="left" w:pos="1021"/>
      </w:tabs>
      <w:ind w:firstLine="0"/>
    </w:pPr>
  </w:style>
  <w:style w:type="paragraph" w:customStyle="1" w:styleId="Warning">
    <w:name w:val="Warning"/>
    <w:basedOn w:val="BodyText"/>
    <w:rsid w:val="00511DA9"/>
    <w:pPr>
      <w:shd w:val="clear" w:color="auto" w:fill="D9D9D9"/>
      <w:tabs>
        <w:tab w:val="left" w:pos="992"/>
      </w:tabs>
      <w:ind w:left="119" w:right="119"/>
    </w:pPr>
    <w:rPr>
      <w:sz w:val="20"/>
    </w:rPr>
  </w:style>
  <w:style w:type="paragraph" w:customStyle="1" w:styleId="MarginIcons">
    <w:name w:val="Margin Icons"/>
    <w:basedOn w:val="BodyText"/>
    <w:rsid w:val="00511DA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11DA9"/>
    <w:rPr>
      <w:rFonts w:ascii="Courier New" w:hAnsi="Courier New"/>
    </w:rPr>
  </w:style>
  <w:style w:type="paragraph" w:customStyle="1" w:styleId="NoteBullet">
    <w:name w:val="Note Bullet"/>
    <w:basedOn w:val="Note"/>
    <w:rsid w:val="00511DA9"/>
    <w:pPr>
      <w:tabs>
        <w:tab w:val="clear" w:pos="680"/>
      </w:tabs>
      <w:spacing w:before="60" w:after="60"/>
    </w:pPr>
  </w:style>
  <w:style w:type="paragraph" w:customStyle="1" w:styleId="SubHeading2">
    <w:name w:val="SubHeading2"/>
    <w:basedOn w:val="HeadingBase"/>
    <w:rsid w:val="00511DA9"/>
    <w:pPr>
      <w:spacing w:before="240" w:after="60"/>
    </w:pPr>
    <w:rPr>
      <w:sz w:val="20"/>
    </w:rPr>
  </w:style>
  <w:style w:type="paragraph" w:customStyle="1" w:styleId="SubHeading1">
    <w:name w:val="SubHeading1"/>
    <w:basedOn w:val="HeadingBase"/>
    <w:rsid w:val="00511DA9"/>
    <w:pPr>
      <w:spacing w:before="240" w:after="60"/>
    </w:pPr>
    <w:rPr>
      <w:color w:val="918585"/>
      <w:sz w:val="22"/>
    </w:rPr>
  </w:style>
  <w:style w:type="paragraph" w:customStyle="1" w:styleId="SideHeading">
    <w:name w:val="Side Heading"/>
    <w:basedOn w:val="HeadingBase"/>
    <w:rsid w:val="00511DA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11DA9"/>
    <w:pPr>
      <w:numPr>
        <w:numId w:val="12"/>
      </w:numPr>
    </w:pPr>
  </w:style>
  <w:style w:type="paragraph" w:styleId="PlainText">
    <w:name w:val="Plain Text"/>
    <w:basedOn w:val="Normal"/>
    <w:link w:val="PlainTextChar"/>
    <w:rsid w:val="00511DA9"/>
    <w:rPr>
      <w:sz w:val="20"/>
    </w:rPr>
  </w:style>
  <w:style w:type="character" w:customStyle="1" w:styleId="PlainTextChar">
    <w:name w:val="Plain Text Char"/>
    <w:basedOn w:val="DefaultParagraphFont"/>
    <w:link w:val="PlainText"/>
    <w:rsid w:val="00511DA9"/>
    <w:rPr>
      <w:rFonts w:ascii="Courier New" w:eastAsia="Times New Roman" w:hAnsi="Courier New" w:cs="Times New Roman"/>
      <w:sz w:val="20"/>
      <w:szCs w:val="20"/>
      <w:lang w:eastAsia="en-US"/>
    </w:rPr>
  </w:style>
  <w:style w:type="character" w:customStyle="1" w:styleId="MenuOption">
    <w:name w:val="Menu Option"/>
    <w:basedOn w:val="DefaultParagraphFont"/>
    <w:rsid w:val="00511DA9"/>
    <w:rPr>
      <w:b/>
      <w:smallCaps/>
    </w:rPr>
  </w:style>
  <w:style w:type="paragraph" w:customStyle="1" w:styleId="TableListNumber">
    <w:name w:val="Table List Number"/>
    <w:basedOn w:val="ListNumber"/>
    <w:rsid w:val="00511DA9"/>
    <w:pPr>
      <w:numPr>
        <w:numId w:val="0"/>
      </w:numPr>
    </w:pPr>
  </w:style>
  <w:style w:type="paragraph" w:styleId="TOC4">
    <w:name w:val="toc 4"/>
    <w:basedOn w:val="TOCBase"/>
    <w:next w:val="Normal"/>
    <w:semiHidden/>
    <w:rsid w:val="00511DA9"/>
    <w:pPr>
      <w:tabs>
        <w:tab w:val="right" w:leader="dot" w:pos="9071"/>
      </w:tabs>
      <w:ind w:left="1701"/>
    </w:pPr>
  </w:style>
  <w:style w:type="paragraph" w:customStyle="1" w:styleId="ListAlpha">
    <w:name w:val="List Alpha"/>
    <w:basedOn w:val="List"/>
    <w:rsid w:val="00511DA9"/>
    <w:pPr>
      <w:numPr>
        <w:numId w:val="9"/>
      </w:numPr>
    </w:pPr>
  </w:style>
  <w:style w:type="paragraph" w:customStyle="1" w:styleId="ListAlpha2">
    <w:name w:val="List Alpha 2"/>
    <w:basedOn w:val="List2"/>
    <w:rsid w:val="00511DA9"/>
    <w:pPr>
      <w:numPr>
        <w:numId w:val="8"/>
      </w:numPr>
    </w:pPr>
  </w:style>
  <w:style w:type="paragraph" w:styleId="List2">
    <w:name w:val="List 2"/>
    <w:basedOn w:val="BodyText"/>
    <w:rsid w:val="00511DA9"/>
    <w:pPr>
      <w:tabs>
        <w:tab w:val="left" w:pos="680"/>
      </w:tabs>
      <w:spacing w:before="60" w:after="60"/>
      <w:ind w:left="680" w:hanging="340"/>
    </w:pPr>
  </w:style>
  <w:style w:type="paragraph" w:styleId="List3">
    <w:name w:val="List 3"/>
    <w:basedOn w:val="BodyText"/>
    <w:rsid w:val="00511DA9"/>
    <w:pPr>
      <w:tabs>
        <w:tab w:val="left" w:pos="1021"/>
      </w:tabs>
      <w:spacing w:before="60" w:after="60"/>
      <w:ind w:left="1020" w:hanging="340"/>
    </w:pPr>
  </w:style>
  <w:style w:type="paragraph" w:styleId="List4">
    <w:name w:val="List 4"/>
    <w:basedOn w:val="BodyText"/>
    <w:rsid w:val="00511DA9"/>
    <w:pPr>
      <w:tabs>
        <w:tab w:val="left" w:pos="1361"/>
      </w:tabs>
      <w:spacing w:before="60" w:after="60"/>
      <w:ind w:left="1361" w:hanging="340"/>
    </w:pPr>
  </w:style>
  <w:style w:type="paragraph" w:styleId="List5">
    <w:name w:val="List 5"/>
    <w:basedOn w:val="BodyText"/>
    <w:rsid w:val="00511DA9"/>
    <w:pPr>
      <w:tabs>
        <w:tab w:val="left" w:pos="1701"/>
      </w:tabs>
      <w:spacing w:before="60" w:after="60"/>
      <w:ind w:left="1701" w:hanging="340"/>
    </w:pPr>
  </w:style>
  <w:style w:type="paragraph" w:styleId="ListBullet3">
    <w:name w:val="List Bullet 3"/>
    <w:basedOn w:val="List3"/>
    <w:rsid w:val="00511DA9"/>
    <w:pPr>
      <w:numPr>
        <w:numId w:val="15"/>
      </w:numPr>
      <w:tabs>
        <w:tab w:val="clear" w:pos="1021"/>
      </w:tabs>
      <w:ind w:left="1037" w:hanging="357"/>
    </w:pPr>
  </w:style>
  <w:style w:type="paragraph" w:styleId="ListBullet4">
    <w:name w:val="List Bullet 4"/>
    <w:basedOn w:val="List4"/>
    <w:rsid w:val="00511DA9"/>
    <w:pPr>
      <w:numPr>
        <w:numId w:val="3"/>
      </w:numPr>
    </w:pPr>
  </w:style>
  <w:style w:type="paragraph" w:styleId="ListBullet5">
    <w:name w:val="List Bullet 5"/>
    <w:basedOn w:val="List5"/>
    <w:rsid w:val="00511DA9"/>
    <w:pPr>
      <w:numPr>
        <w:numId w:val="4"/>
      </w:numPr>
    </w:pPr>
  </w:style>
  <w:style w:type="paragraph" w:styleId="ListContinue2">
    <w:name w:val="List Continue 2"/>
    <w:basedOn w:val="List2"/>
    <w:rsid w:val="00511DA9"/>
    <w:pPr>
      <w:ind w:firstLine="0"/>
    </w:pPr>
  </w:style>
  <w:style w:type="paragraph" w:styleId="ListContinue3">
    <w:name w:val="List Continue 3"/>
    <w:basedOn w:val="List3"/>
    <w:rsid w:val="00511DA9"/>
    <w:pPr>
      <w:ind w:left="1021" w:firstLine="0"/>
    </w:pPr>
  </w:style>
  <w:style w:type="paragraph" w:styleId="ListContinue4">
    <w:name w:val="List Continue 4"/>
    <w:basedOn w:val="List4"/>
    <w:rsid w:val="00511DA9"/>
    <w:pPr>
      <w:ind w:firstLine="0"/>
    </w:pPr>
  </w:style>
  <w:style w:type="paragraph" w:styleId="ListContinue5">
    <w:name w:val="List Continue 5"/>
    <w:basedOn w:val="List5"/>
    <w:rsid w:val="00511DA9"/>
    <w:pPr>
      <w:ind w:firstLine="0"/>
    </w:pPr>
  </w:style>
  <w:style w:type="paragraph" w:styleId="ListNumber3">
    <w:name w:val="List Number 3"/>
    <w:basedOn w:val="List3"/>
    <w:rsid w:val="00511DA9"/>
    <w:pPr>
      <w:numPr>
        <w:numId w:val="5"/>
      </w:numPr>
    </w:pPr>
  </w:style>
  <w:style w:type="paragraph" w:styleId="ListNumber4">
    <w:name w:val="List Number 4"/>
    <w:basedOn w:val="List4"/>
    <w:rsid w:val="00511DA9"/>
    <w:pPr>
      <w:numPr>
        <w:numId w:val="6"/>
      </w:numPr>
    </w:pPr>
  </w:style>
  <w:style w:type="paragraph" w:styleId="ListNumber5">
    <w:name w:val="List Number 5"/>
    <w:basedOn w:val="List5"/>
    <w:rsid w:val="00511DA9"/>
    <w:pPr>
      <w:numPr>
        <w:numId w:val="7"/>
      </w:numPr>
    </w:pPr>
  </w:style>
  <w:style w:type="paragraph" w:styleId="BlockText">
    <w:name w:val="Block Text"/>
    <w:basedOn w:val="Normal"/>
    <w:rsid w:val="00511DA9"/>
    <w:pPr>
      <w:spacing w:after="120"/>
      <w:ind w:left="1440" w:right="1440"/>
    </w:pPr>
  </w:style>
  <w:style w:type="character" w:customStyle="1" w:styleId="Superscript">
    <w:name w:val="Superscript"/>
    <w:basedOn w:val="DefaultParagraphFont"/>
    <w:rsid w:val="00511DA9"/>
    <w:rPr>
      <w:sz w:val="16"/>
      <w:vertAlign w:val="superscript"/>
    </w:rPr>
  </w:style>
  <w:style w:type="character" w:customStyle="1" w:styleId="Symbols">
    <w:name w:val="Symbols"/>
    <w:basedOn w:val="DefaultParagraphFont"/>
    <w:rsid w:val="00511DA9"/>
    <w:rPr>
      <w:rFonts w:ascii="Symbol" w:hAnsi="Symbol"/>
    </w:rPr>
  </w:style>
  <w:style w:type="character" w:customStyle="1" w:styleId="MenuOptions">
    <w:name w:val="Menu Options"/>
    <w:basedOn w:val="DefaultParagraphFont"/>
    <w:rsid w:val="00511DA9"/>
    <w:rPr>
      <w:rFonts w:ascii="Arial Narrow" w:hAnsi="Arial Narrow"/>
      <w:smallCaps/>
    </w:rPr>
  </w:style>
  <w:style w:type="character" w:customStyle="1" w:styleId="Buttons">
    <w:name w:val="Buttons"/>
    <w:basedOn w:val="DefaultParagraphFont"/>
    <w:rsid w:val="00511DA9"/>
    <w:rPr>
      <w:b/>
    </w:rPr>
  </w:style>
  <w:style w:type="character" w:customStyle="1" w:styleId="Underlined">
    <w:name w:val="Underlined"/>
    <w:basedOn w:val="DefaultParagraphFont"/>
    <w:rsid w:val="00511DA9"/>
    <w:rPr>
      <w:u w:val="single"/>
    </w:rPr>
  </w:style>
  <w:style w:type="paragraph" w:customStyle="1" w:styleId="TableBodyTextRight">
    <w:name w:val="Table Body Text Right"/>
    <w:basedOn w:val="TableBodyText"/>
    <w:rsid w:val="00511DA9"/>
    <w:pPr>
      <w:widowControl w:val="0"/>
      <w:autoSpaceDE w:val="0"/>
      <w:autoSpaceDN w:val="0"/>
      <w:adjustRightInd w:val="0"/>
      <w:jc w:val="right"/>
    </w:pPr>
    <w:rPr>
      <w:rFonts w:cs="Arial"/>
      <w:szCs w:val="18"/>
    </w:rPr>
  </w:style>
  <w:style w:type="paragraph" w:customStyle="1" w:styleId="CopyrightText">
    <w:name w:val="Copyright Text"/>
    <w:basedOn w:val="BodyText"/>
    <w:rsid w:val="00511DA9"/>
    <w:rPr>
      <w:sz w:val="18"/>
    </w:rPr>
  </w:style>
  <w:style w:type="paragraph" w:customStyle="1" w:styleId="BodySmallRight">
    <w:name w:val="Body Small Right"/>
    <w:basedOn w:val="BodyTextRight"/>
    <w:rsid w:val="00511DA9"/>
    <w:rPr>
      <w:sz w:val="18"/>
      <w:szCs w:val="18"/>
    </w:rPr>
  </w:style>
  <w:style w:type="paragraph" w:customStyle="1" w:styleId="MarginEdition">
    <w:name w:val="Margin Edition"/>
    <w:basedOn w:val="MarginNote"/>
    <w:rsid w:val="00511DA9"/>
    <w:pPr>
      <w:spacing w:before="0" w:after="0"/>
    </w:pPr>
    <w:rPr>
      <w:rFonts w:ascii="Times New Roman" w:hAnsi="Times New Roman"/>
      <w:color w:val="999999"/>
    </w:rPr>
  </w:style>
  <w:style w:type="paragraph" w:customStyle="1" w:styleId="Spacer">
    <w:name w:val="Spacer"/>
    <w:basedOn w:val="Normal"/>
    <w:rsid w:val="00511DA9"/>
    <w:rPr>
      <w:sz w:val="2"/>
      <w:szCs w:val="2"/>
    </w:rPr>
  </w:style>
  <w:style w:type="character" w:customStyle="1" w:styleId="Small">
    <w:name w:val="Small"/>
    <w:basedOn w:val="DefaultParagraphFont"/>
    <w:rsid w:val="00511DA9"/>
    <w:rPr>
      <w:sz w:val="16"/>
    </w:rPr>
  </w:style>
  <w:style w:type="paragraph" w:customStyle="1" w:styleId="WideTable">
    <w:name w:val="Wide Table"/>
    <w:basedOn w:val="Normal"/>
    <w:rsid w:val="00511DA9"/>
    <w:pPr>
      <w:ind w:left="-1418"/>
    </w:pPr>
    <w:rPr>
      <w:sz w:val="2"/>
      <w:szCs w:val="2"/>
    </w:rPr>
  </w:style>
  <w:style w:type="character" w:styleId="PageNumber">
    <w:name w:val="page number"/>
    <w:basedOn w:val="DefaultParagraphFont"/>
    <w:rsid w:val="00511DA9"/>
  </w:style>
  <w:style w:type="paragraph" w:styleId="Quote">
    <w:name w:val="Quote"/>
    <w:basedOn w:val="Heading1"/>
    <w:link w:val="QuoteChar"/>
    <w:qFormat/>
    <w:rsid w:val="00511DA9"/>
    <w:rPr>
      <w:b w:val="0"/>
      <w:sz w:val="72"/>
      <w:szCs w:val="72"/>
      <w:lang w:val="en-NZ"/>
    </w:rPr>
  </w:style>
  <w:style w:type="character" w:customStyle="1" w:styleId="QuoteChar">
    <w:name w:val="Quote Char"/>
    <w:basedOn w:val="DefaultParagraphFont"/>
    <w:link w:val="Quote"/>
    <w:rsid w:val="00511DA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11DA9"/>
    <w:pPr>
      <w:pageBreakBefore/>
    </w:pPr>
  </w:style>
  <w:style w:type="paragraph" w:customStyle="1" w:styleId="Border">
    <w:name w:val="Border"/>
    <w:basedOn w:val="Normal"/>
    <w:qFormat/>
    <w:rsid w:val="00511DA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11DA9"/>
    <w:rPr>
      <w:b/>
      <w:bCs/>
      <w:i/>
      <w:iCs/>
      <w:color w:val="auto"/>
    </w:rPr>
  </w:style>
  <w:style w:type="paragraph" w:styleId="IntenseQuote">
    <w:name w:val="Intense Quote"/>
    <w:basedOn w:val="Normal"/>
    <w:next w:val="Normal"/>
    <w:link w:val="IntenseQuoteChar"/>
    <w:uiPriority w:val="30"/>
    <w:qFormat/>
    <w:rsid w:val="00511DA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11DA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11DA9"/>
    <w:rPr>
      <w:smallCaps/>
      <w:color w:val="auto"/>
      <w:u w:val="single"/>
    </w:rPr>
  </w:style>
  <w:style w:type="character" w:styleId="IntenseReference">
    <w:name w:val="Intense Reference"/>
    <w:basedOn w:val="DefaultParagraphFont"/>
    <w:uiPriority w:val="32"/>
    <w:qFormat/>
    <w:rsid w:val="00511DA9"/>
    <w:rPr>
      <w:b/>
      <w:bCs/>
      <w:smallCaps/>
      <w:color w:val="auto"/>
      <w:spacing w:val="5"/>
      <w:u w:val="single"/>
    </w:rPr>
  </w:style>
  <w:style w:type="paragraph" w:customStyle="1" w:styleId="2ColumnHeading">
    <w:name w:val="2Column Heading"/>
    <w:basedOn w:val="BodyText"/>
    <w:qFormat/>
    <w:rsid w:val="00511DA9"/>
    <w:pPr>
      <w:spacing w:after="60"/>
      <w:ind w:left="-2268"/>
    </w:pPr>
    <w:rPr>
      <w:b/>
    </w:rPr>
  </w:style>
  <w:style w:type="paragraph" w:customStyle="1" w:styleId="Heading1TOC">
    <w:name w:val="Heading1 TOC"/>
    <w:basedOn w:val="Normal"/>
    <w:qFormat/>
    <w:rsid w:val="00511DA9"/>
    <w:pPr>
      <w:spacing w:before="240" w:after="120"/>
    </w:pPr>
    <w:rPr>
      <w:rFonts w:ascii="Times New Roman" w:hAnsi="Times New Roman"/>
      <w:b/>
      <w:sz w:val="32"/>
    </w:rPr>
  </w:style>
  <w:style w:type="paragraph" w:customStyle="1" w:styleId="Heading2TOC">
    <w:name w:val="Heading2 TOC"/>
    <w:basedOn w:val="Normal"/>
    <w:qFormat/>
    <w:rsid w:val="00511DA9"/>
    <w:pPr>
      <w:spacing w:before="240" w:after="60"/>
    </w:pPr>
    <w:rPr>
      <w:rFonts w:ascii="Times New Roman" w:hAnsi="Times New Roman"/>
      <w:b/>
      <w:sz w:val="28"/>
    </w:rPr>
  </w:style>
  <w:style w:type="character" w:customStyle="1" w:styleId="Underline">
    <w:name w:val="Underline"/>
    <w:basedOn w:val="DefaultParagraphFont"/>
    <w:qFormat/>
    <w:rsid w:val="00511DA9"/>
    <w:rPr>
      <w:u w:val="single"/>
    </w:rPr>
  </w:style>
  <w:style w:type="character" w:customStyle="1" w:styleId="BoldandItalics">
    <w:name w:val="Bold and Italics"/>
    <w:qFormat/>
    <w:rsid w:val="00511DA9"/>
    <w:rPr>
      <w:b/>
      <w:i/>
      <w:u w:val="none"/>
    </w:rPr>
  </w:style>
  <w:style w:type="paragraph" w:styleId="BalloonText">
    <w:name w:val="Balloon Text"/>
    <w:basedOn w:val="Normal"/>
    <w:link w:val="BalloonTextChar"/>
    <w:rsid w:val="00511DA9"/>
    <w:rPr>
      <w:rFonts w:ascii="Tahoma" w:hAnsi="Tahoma" w:cs="Tahoma"/>
      <w:sz w:val="16"/>
      <w:szCs w:val="16"/>
    </w:rPr>
  </w:style>
  <w:style w:type="character" w:customStyle="1" w:styleId="BalloonTextChar">
    <w:name w:val="Balloon Text Char"/>
    <w:basedOn w:val="DefaultParagraphFont"/>
    <w:link w:val="BalloonText"/>
    <w:rsid w:val="00511DA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11DA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11DA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11DA9"/>
    <w:rPr>
      <w:b/>
      <w:color w:val="660033"/>
      <w:spacing w:val="0"/>
    </w:rPr>
  </w:style>
  <w:style w:type="paragraph" w:customStyle="1" w:styleId="Nameditemlist">
    <w:name w:val="Named item list"/>
    <w:basedOn w:val="BodyText"/>
    <w:qFormat/>
    <w:rsid w:val="00511DA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1651</Words>
  <Characters>11035</Characters>
  <Application>Microsoft Office Word</Application>
  <DocSecurity>0</DocSecurity>
  <Lines>420</Lines>
  <Paragraphs>222</Paragraphs>
  <ScaleCrop>false</ScaleCrop>
  <Company>Author-it Software Corporation Ltd.</Company>
  <LinksUpToDate>false</LinksUpToDate>
  <CharactersWithSpaces>12625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HLTEN519C Administer and monitor intravenous medication in the nursing environment</dc:title>
  <dc:subject>Approved</dc:subject>
  <dc:creator>Community Services and Health Industry Skills Council</dc:creator>
  <cp:keywords>Release: 1</cp:keywords>
  <dc:description>Copyright © 1996-2007 Author-it Software Corporation Ltd., all rights reserved.</dc:description>
  <cp:lastModifiedBy>TPCMS</cp:lastModifiedBy>
  <cp:revision>3</cp:revision>
  <dcterms:created xsi:type="dcterms:W3CDTF">2012-08-13T23:36:00Z</dcterms:created>
  <dcterms:modified xsi:type="dcterms:W3CDTF">2012-08-13T23:36:00Z</dcterms:modified>
</cp:coreProperties>
</file>