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03B" w:rsidP="00A2403B">
      <w:pPr>
        <w:pStyle w:val="Title"/>
      </w:pPr>
      <w:bookmarkStart w:id="0" w:name="_GoBack"/>
      <w:bookmarkEnd w:id="0"/>
      <w:r>
        <w:fldChar w:fldCharType="begin"/>
      </w:r>
      <w:r>
        <w:instrText xml:space="preserve"> TITLE   \* MERGEFORMAT </w:instrText>
      </w:r>
      <w:r>
        <w:fldChar w:fldCharType="separate"/>
      </w:r>
      <w:r>
        <w:t>HLTEN519B Administer and monitor intravenous medication in the nursing environment</w:t>
      </w:r>
      <w:r>
        <w:fldChar w:fldCharType="end"/>
      </w:r>
    </w:p>
    <w:p w:rsidR="00A2403B" w:rsidP="00A2403B">
      <w:pPr>
        <w:pStyle w:val="Version"/>
        <w:sectPr w:rsidSect="00D12E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EDF" w:rsidP="00D12EDF">
      <w:pPr>
        <w:pStyle w:val="SuperHeading"/>
      </w:pPr>
      <w:r w:rsidRPr="00D12EDF">
        <w:t>HLTEN519B Administer and monitor intravenous medication in the nursing environment</w:t>
      </w:r>
    </w:p>
    <w:p w:rsidR="00000000" w:rsidRPr="00D12EDF" w:rsidP="00D12EDF">
      <w:pPr>
        <w:pStyle w:val="Heading1"/>
      </w:pPr>
      <w:bookmarkStart w:id="1" w:name="O_271171"/>
      <w:bookmarkEnd w:id="1"/>
      <w:r w:rsidRPr="00D12EDF">
        <w:t>Modification History</w:t>
      </w:r>
    </w:p>
    <w:p w:rsidR="00000000" w:rsidRPr="00D12EDF" w:rsidP="00D12EDF">
      <w:pPr>
        <w:pStyle w:val="BodyText"/>
      </w:pPr>
      <w:r w:rsidRPr="00D12EDF">
        <w:t>Not Applicable</w:t>
      </w:r>
    </w:p>
    <w:p w:rsidR="00000000" w:rsidRPr="00D12EDF" w:rsidP="00D12EDF">
      <w:pPr>
        <w:pStyle w:val="AllowPageBreak"/>
      </w:pPr>
    </w:p>
    <w:p w:rsidR="00000000" w:rsidRPr="00D12EDF" w:rsidP="00D12EDF">
      <w:pPr>
        <w:pStyle w:val="Heading1"/>
      </w:pPr>
      <w:bookmarkStart w:id="2" w:name="O_205851"/>
      <w:bookmarkEnd w:id="2"/>
      <w:r w:rsidRPr="00D12EDF">
        <w:t>Unit Descripto</w:t>
      </w:r>
      <w:r w:rsidRPr="00D12EDF">
        <w:t>r</w:t>
      </w:r>
    </w:p>
    <w:tbl>
      <w:tblPr>
        <w:tblW w:w="0" w:type="auto"/>
        <w:tblLayout w:type="fixed"/>
        <w:tblCellMar>
          <w:left w:w="62" w:type="dxa"/>
          <w:right w:w="62" w:type="dxa"/>
        </w:tblCellMar>
        <w:tblLook w:val="0000"/>
      </w:tblPr>
      <w:tblGrid>
        <w:gridCol w:w="3331"/>
        <w:gridCol w:w="5225"/>
      </w:tblGrid>
      <w:tr w:rsidTr="00A2403B">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This unit of competency describes the skills and knowledge required of Enrolled/Division 2 nurses to administer and monitor intravenous medications and their effectiveness for clients within the nursing context.</w:t>
            </w:r>
          </w:p>
        </w:tc>
      </w:tr>
    </w:tbl>
    <w:p w:rsidR="00A2403B" w:rsidP="00D12EDF">
      <w:pPr>
        <w:pStyle w:val="BodyText"/>
      </w:pPr>
    </w:p>
    <w:p w:rsidR="00A2403B" w:rsidP="00D12EDF">
      <w:pPr>
        <w:pStyle w:val="BodyText"/>
      </w:pPr>
    </w:p>
    <w:p w:rsidR="00000000" w:rsidRPr="00D12EDF" w:rsidP="00D12EDF">
      <w:pPr>
        <w:pStyle w:val="Heading1"/>
      </w:pPr>
      <w:bookmarkStart w:id="3" w:name="O_205854"/>
      <w:bookmarkEnd w:id="3"/>
      <w:r w:rsidRPr="00D12EDF">
        <w:t>Application</w:t>
      </w:r>
      <w:r w:rsidRPr="00D12EDF">
        <w:t xml:space="preserve"> of the Unit</w:t>
      </w:r>
    </w:p>
    <w:tbl>
      <w:tblPr>
        <w:tblW w:w="0" w:type="auto"/>
        <w:tblLayout w:type="fixed"/>
        <w:tblCellMar>
          <w:left w:w="62" w:type="dxa"/>
          <w:right w:w="62" w:type="dxa"/>
        </w:tblCellMar>
        <w:tblLook w:val="0000"/>
      </w:tblPr>
      <w:tblGrid>
        <w:gridCol w:w="3329"/>
        <w:gridCol w:w="5227"/>
      </w:tblGrid>
      <w:tr w:rsidTr="00A2403B">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The knowledge and skills described in this competency unit are to be applied within jurisdictional nursing and midwifery regulatory authority legislative requirements</w:t>
            </w:r>
          </w:p>
          <w:p w:rsidR="00000000" w:rsidRPr="00D12EDF" w:rsidP="00D12EDF">
            <w:pPr>
              <w:pStyle w:val="BodyText"/>
            </w:pPr>
            <w:r w:rsidRPr="00D12EDF">
              <w:t>Enrolled/Division 2 nursing work is to be carried out in consult</w:t>
            </w:r>
            <w:r w:rsidRPr="00D12EDF">
              <w:t>ation/collaboration with registered nurses and under direct or indirect supervisory arrangements in line with jurisdictional regulatory requirements</w:t>
            </w:r>
          </w:p>
        </w:tc>
      </w:tr>
    </w:tbl>
    <w:p w:rsidR="00A2403B" w:rsidP="00D12EDF">
      <w:pPr>
        <w:pStyle w:val="BodyText"/>
      </w:pPr>
    </w:p>
    <w:p w:rsidR="00A2403B" w:rsidP="00D12EDF">
      <w:pPr>
        <w:pStyle w:val="BodyText"/>
      </w:pPr>
    </w:p>
    <w:p w:rsidR="00000000" w:rsidRPr="00D12EDF" w:rsidP="00D12EDF">
      <w:pPr>
        <w:pStyle w:val="Heading1"/>
      </w:pPr>
      <w:bookmarkStart w:id="4" w:name="O_279431"/>
      <w:bookmarkEnd w:id="4"/>
      <w:r w:rsidRPr="00D12EDF">
        <w:t>Licensing/Regulatory Information</w:t>
      </w:r>
    </w:p>
    <w:p w:rsidR="00000000" w:rsidRPr="00D12EDF" w:rsidP="00D12EDF">
      <w:pPr>
        <w:pStyle w:val="BodyText"/>
      </w:pPr>
      <w:r w:rsidRPr="00D12EDF">
        <w:t>Not Applicable</w:t>
      </w:r>
    </w:p>
    <w:p w:rsidR="00000000" w:rsidRPr="00D12EDF" w:rsidP="00D12EDF">
      <w:pPr>
        <w:pStyle w:val="AllowPageBreak"/>
      </w:pPr>
    </w:p>
    <w:p w:rsidR="00000000" w:rsidRPr="00D12EDF" w:rsidP="00D12EDF">
      <w:pPr>
        <w:pStyle w:val="Heading1"/>
      </w:pPr>
      <w:bookmarkStart w:id="5" w:name="O_205853"/>
      <w:bookmarkEnd w:id="5"/>
      <w:r w:rsidRPr="00D12EDF">
        <w:t>Pre-Requisites</w:t>
      </w:r>
    </w:p>
    <w:tbl>
      <w:tblPr>
        <w:tblW w:w="0" w:type="auto"/>
        <w:tblLayout w:type="fixed"/>
        <w:tblCellMar>
          <w:left w:w="62" w:type="dxa"/>
          <w:right w:w="62" w:type="dxa"/>
        </w:tblCellMar>
        <w:tblLook w:val="0000"/>
      </w:tblPr>
      <w:tblGrid>
        <w:gridCol w:w="3213"/>
        <w:gridCol w:w="5343"/>
      </w:tblGrid>
      <w:tr w:rsidTr="00A2403B">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This unit must be assessed after successful achievement of pre-requisites:</w:t>
            </w:r>
          </w:p>
          <w:p w:rsidR="00000000" w:rsidRPr="00D12EDF" w:rsidP="00D12EDF">
            <w:pPr>
              <w:pStyle w:val="ListBullet"/>
            </w:pPr>
            <w:r w:rsidRPr="00D12EDF">
              <w:t xml:space="preserve">HLTOHS300B Contribute to OHS processes </w:t>
            </w:r>
          </w:p>
          <w:p w:rsidR="00000000" w:rsidRPr="00D12EDF" w:rsidP="00D12EDF">
            <w:pPr>
              <w:pStyle w:val="ListBullet"/>
            </w:pPr>
            <w:r w:rsidRPr="00D12EDF">
              <w:t xml:space="preserve">HLTIN301C Comply with infection control policies and procedures </w:t>
            </w:r>
          </w:p>
          <w:p w:rsidR="00000000" w:rsidRPr="00D12EDF" w:rsidP="00D12EDF">
            <w:pPr>
              <w:pStyle w:val="ListBullet"/>
            </w:pPr>
            <w:r w:rsidRPr="00D12EDF">
              <w:t xml:space="preserve">HLTAP501B Analyse health information </w:t>
            </w:r>
          </w:p>
          <w:p w:rsidR="00000000" w:rsidRPr="00D12EDF" w:rsidP="00D12EDF">
            <w:pPr>
              <w:pStyle w:val="ListBullet"/>
            </w:pPr>
            <w:r w:rsidRPr="00D12EDF">
              <w:t>HLTEN505B Contribu</w:t>
            </w:r>
            <w:r w:rsidRPr="00D12EDF">
              <w:t>te to the complex nursing care of clients</w:t>
            </w:r>
          </w:p>
          <w:p w:rsidR="00000000" w:rsidRPr="00D12EDF" w:rsidP="00D12EDF">
            <w:pPr>
              <w:pStyle w:val="ListBullet"/>
            </w:pPr>
            <w:r w:rsidRPr="00D12EDF">
              <w:t>HLTEN507B Administer and monitor medication in the work environment</w:t>
            </w:r>
          </w:p>
        </w:tc>
      </w:tr>
    </w:tbl>
    <w:p w:rsidR="00A2403B" w:rsidP="00D12EDF">
      <w:pPr>
        <w:pStyle w:val="BodyText"/>
      </w:pPr>
    </w:p>
    <w:p w:rsidR="00A2403B" w:rsidP="00D12EDF">
      <w:pPr>
        <w:pStyle w:val="BodyText"/>
      </w:pPr>
    </w:p>
    <w:p w:rsidR="00000000" w:rsidRPr="00D12EDF" w:rsidP="00D12EDF">
      <w:pPr>
        <w:pStyle w:val="Heading1"/>
      </w:pPr>
      <w:bookmarkStart w:id="6" w:name="O_205852"/>
      <w:bookmarkEnd w:id="6"/>
      <w:r w:rsidRPr="00D12EDF">
        <w:t>Employability Skills Information</w:t>
      </w:r>
    </w:p>
    <w:tbl>
      <w:tblPr>
        <w:tblW w:w="0" w:type="auto"/>
        <w:tblLayout w:type="fixed"/>
        <w:tblCellMar>
          <w:left w:w="62" w:type="dxa"/>
          <w:right w:w="62" w:type="dxa"/>
        </w:tblCellMar>
        <w:tblLook w:val="0000"/>
      </w:tblPr>
      <w:tblGrid>
        <w:gridCol w:w="3320"/>
        <w:gridCol w:w="5236"/>
      </w:tblGrid>
      <w:tr w:rsidTr="00A2403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This unit contains Employability Skills</w:t>
            </w:r>
          </w:p>
        </w:tc>
      </w:tr>
    </w:tbl>
    <w:p w:rsidR="00A2403B" w:rsidP="00D12EDF">
      <w:pPr>
        <w:pStyle w:val="BodyText"/>
      </w:pPr>
    </w:p>
    <w:p w:rsidR="00A2403B" w:rsidP="00D12EDF">
      <w:pPr>
        <w:pStyle w:val="BodyText"/>
      </w:pPr>
    </w:p>
    <w:p w:rsidR="00000000" w:rsidRPr="00D12EDF" w:rsidP="00D12EDF">
      <w:pPr>
        <w:pStyle w:val="Heading1"/>
      </w:pPr>
      <w:bookmarkStart w:id="7" w:name="O_289217"/>
      <w:bookmarkEnd w:id="7"/>
      <w:r w:rsidRPr="00D12EDF">
        <w:t>Elements and Performance Criteria Pre-Content</w:t>
      </w:r>
    </w:p>
    <w:tbl>
      <w:tblPr>
        <w:tblW w:w="0" w:type="auto"/>
        <w:tblLayout w:type="fixed"/>
        <w:tblCellMar>
          <w:left w:w="62" w:type="dxa"/>
          <w:right w:w="62" w:type="dxa"/>
        </w:tblCellMar>
        <w:tblLook w:val="0000"/>
      </w:tblPr>
      <w:tblGrid>
        <w:gridCol w:w="3369"/>
        <w:gridCol w:w="5702"/>
      </w:tblGrid>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 xml:space="preserve">The Performance Criteria specify the level of performance required to demonstrate achievement of the Element.  Terms in italics are elaborated in </w:t>
            </w:r>
            <w:r w:rsidRPr="00D12EDF">
              <w:t xml:space="preserve">the Range Statement. </w:t>
            </w:r>
          </w:p>
        </w:tc>
      </w:tr>
    </w:tbl>
    <w:p w:rsidR="00000000" w:rsidRPr="00D12EDF" w:rsidP="00D12EDF">
      <w:pPr>
        <w:pStyle w:val="BodyText"/>
      </w:pPr>
    </w:p>
    <w:p w:rsidR="00000000" w:rsidRPr="00D12EDF" w:rsidP="00D12EDF">
      <w:pPr>
        <w:pStyle w:val="AllowPageBreak"/>
      </w:pPr>
    </w:p>
    <w:p w:rsidR="00000000" w:rsidRPr="00D12EDF" w:rsidP="00D12EDF">
      <w:pPr>
        <w:pStyle w:val="Heading1"/>
      </w:pPr>
      <w:bookmarkStart w:id="8" w:name="O_235884"/>
      <w:bookmarkEnd w:id="8"/>
      <w:r w:rsidRPr="00D12EDF">
        <w:t>Elements and Performance Criteria</w:t>
      </w:r>
    </w:p>
    <w:tbl>
      <w:tblPr>
        <w:tblW w:w="0" w:type="auto"/>
        <w:tblLayout w:type="fixed"/>
        <w:tblCellMar>
          <w:left w:w="62" w:type="dxa"/>
          <w:right w:w="62" w:type="dxa"/>
        </w:tblCellMar>
        <w:tblLook w:val="0000"/>
      </w:tblPr>
      <w:tblGrid>
        <w:gridCol w:w="3369"/>
        <w:gridCol w:w="5702"/>
      </w:tblGrid>
      <w:tr w:rsidTr="00A2403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PERFORMANCE CRITERIA</w:t>
            </w: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EDF">
            <w:pPr>
              <w:pStyle w:val="List"/>
              <w:rPr>
                <w:lang w:val="en-NZ"/>
              </w:rPr>
            </w:pPr>
            <w:r w:rsidRPr="00D12EDF">
              <w:t>1.</w:t>
            </w:r>
            <w:r w:rsidRPr="00D12EDF">
              <w:tab/>
              <w:t xml:space="preserve">Minimise risk to the safe </w:t>
            </w:r>
            <w:r w:rsidRPr="00D12EDF">
              <w:rPr>
                <w:rStyle w:val="Emphasis"/>
              </w:rPr>
              <w:t>administration of intravenous medication</w:t>
            </w:r>
          </w:p>
        </w:tc>
        <w:tc>
          <w:tcPr>
            <w:tcW w:w="5702"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1.1</w:t>
            </w:r>
            <w:r w:rsidRPr="00D12EDF">
              <w:tab/>
              <w:t>Check for pharmacology and substance incompatibilities</w:t>
            </w:r>
          </w:p>
          <w:p w:rsidR="00000000" w:rsidRPr="00D12EDF" w:rsidP="00D12EDF">
            <w:pPr>
              <w:pStyle w:val="BodyText"/>
            </w:pPr>
            <w:r w:rsidRPr="00D12EDF">
              <w:t>1.2</w:t>
            </w:r>
            <w:r w:rsidRPr="00D12EDF">
              <w:tab/>
            </w:r>
            <w:r w:rsidRPr="00D12EDF">
              <w:t>Review issues related to drug administration with registered nurse</w:t>
            </w:r>
          </w:p>
          <w:p w:rsidR="00000000" w:rsidRPr="00D12EDF" w:rsidP="00D12EDF">
            <w:pPr>
              <w:pStyle w:val="BodyText"/>
            </w:pPr>
            <w:r w:rsidRPr="00D12EDF">
              <w:t>1.3</w:t>
            </w:r>
            <w:r w:rsidRPr="00D12EDF">
              <w:tab/>
              <w:t>Identify common contraindications and adverse reactions of prescribed intravenous medications</w:t>
            </w:r>
          </w:p>
          <w:p w:rsidR="00000000" w:rsidRPr="00D12EDF" w:rsidP="00D12EDF">
            <w:pPr>
              <w:pStyle w:val="BodyText"/>
            </w:pPr>
            <w:r w:rsidRPr="00D12EDF">
              <w:t>1.4</w:t>
            </w:r>
            <w:r w:rsidRPr="00D12EDF">
              <w:tab/>
              <w:t xml:space="preserve">Confirm client identity and check for any known allergies </w:t>
            </w:r>
          </w:p>
          <w:p w:rsidR="00000000" w:rsidRPr="00D12EDF" w:rsidP="00D12EDF">
            <w:pPr>
              <w:pStyle w:val="BodyText"/>
            </w:pPr>
            <w:r w:rsidRPr="00D12EDF">
              <w:t>1.5</w:t>
            </w:r>
            <w:r w:rsidRPr="00D12EDF">
              <w:tab/>
              <w:t>Maintain knowledge of dr</w:t>
            </w:r>
            <w:r w:rsidRPr="00D12EDF">
              <w:t>ug schedules and classifications as determined by legislation</w:t>
            </w:r>
          </w:p>
          <w:p w:rsidR="00000000" w:rsidRPr="00D12EDF" w:rsidP="00D12EDF">
            <w:pPr>
              <w:pStyle w:val="BodyText"/>
            </w:pPr>
            <w:r w:rsidRPr="00D12EDF">
              <w:t>1.6</w:t>
            </w:r>
            <w:r w:rsidRPr="00D12EDF">
              <w:tab/>
              <w:t>Work with a knowledge of various forms of intravenous medication administration</w:t>
            </w:r>
          </w:p>
          <w:p w:rsidR="00000000" w:rsidP="00D12EDF">
            <w:pPr>
              <w:pStyle w:val="BodyText"/>
              <w:rPr>
                <w:lang w:val="en-NZ"/>
              </w:rPr>
            </w:pPr>
            <w:r w:rsidRPr="00D12EDF">
              <w:t>1.7</w:t>
            </w:r>
            <w:r w:rsidRPr="00D12EDF">
              <w:tab/>
              <w:t>Assess the intravenous cannula site for any problems</w:t>
            </w: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EDF">
            <w:pPr>
              <w:pStyle w:val="List"/>
              <w:rPr>
                <w:lang w:val="en-NZ"/>
              </w:rPr>
            </w:pPr>
            <w:r w:rsidRPr="00D12EDF">
              <w:t>2.</w:t>
            </w:r>
            <w:r w:rsidRPr="00D12EDF">
              <w:tab/>
            </w:r>
            <w:r w:rsidRPr="00D12EDF">
              <w:t xml:space="preserve">Prepare intravenous medications for administration to client </w:t>
            </w:r>
          </w:p>
        </w:tc>
        <w:tc>
          <w:tcPr>
            <w:tcW w:w="5702"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2.1</w:t>
            </w:r>
            <w:r w:rsidRPr="00D12EDF">
              <w:tab/>
              <w:t xml:space="preserve">Work with a knowledge of all </w:t>
            </w:r>
            <w:r w:rsidRPr="00D12EDF">
              <w:rPr>
                <w:rStyle w:val="Emphasis"/>
              </w:rPr>
              <w:t>intravenous administration routes and associated terminology</w:t>
            </w:r>
          </w:p>
          <w:p w:rsidR="00000000" w:rsidRPr="00D12EDF" w:rsidP="00D12EDF">
            <w:pPr>
              <w:pStyle w:val="BodyText"/>
            </w:pPr>
            <w:r w:rsidRPr="00D12EDF">
              <w:t>2.2</w:t>
            </w:r>
            <w:r w:rsidRPr="00D12EDF">
              <w:tab/>
              <w:t>Identify the purpose and function of prescribed intravenous medications for administration</w:t>
            </w:r>
          </w:p>
          <w:p w:rsidR="00000000" w:rsidRPr="00D12EDF" w:rsidP="00D12EDF">
            <w:pPr>
              <w:pStyle w:val="BodyText"/>
            </w:pPr>
            <w:r w:rsidRPr="00D12EDF">
              <w:t>2.3</w:t>
            </w:r>
            <w:r w:rsidRPr="00D12EDF">
              <w:tab/>
              <w:t>I</w:t>
            </w:r>
            <w:r w:rsidRPr="00D12EDF">
              <w:t>dentify common contraindications and adverse reactions of prescribed intravenous medications</w:t>
            </w:r>
          </w:p>
          <w:p w:rsidR="00000000" w:rsidRPr="00D12EDF" w:rsidP="00D12EDF">
            <w:pPr>
              <w:pStyle w:val="BodyText"/>
            </w:pPr>
            <w:r w:rsidRPr="00D12EDF">
              <w:t>2.4</w:t>
            </w:r>
            <w:r w:rsidRPr="00D12EDF">
              <w:tab/>
              <w:t>Accurately calculate dosages for administration of intravenous drugs</w:t>
            </w:r>
          </w:p>
          <w:p w:rsidR="00000000" w:rsidRPr="00D12EDF" w:rsidP="00D12EDF">
            <w:pPr>
              <w:pStyle w:val="BodyText"/>
            </w:pPr>
            <w:r w:rsidRPr="00D12EDF">
              <w:t>2.5</w:t>
            </w:r>
            <w:r w:rsidRPr="00D12EDF">
              <w:tab/>
              <w:t>Work with a knowledge of how intravenous medications are prepared in line with legisla</w:t>
            </w:r>
            <w:r w:rsidRPr="00D12EDF">
              <w:t>tive requirements and environmental guidelines</w:t>
            </w:r>
          </w:p>
          <w:p w:rsidR="00000000" w:rsidP="00D12EDF">
            <w:pPr>
              <w:pStyle w:val="BodyText"/>
              <w:rPr>
                <w:lang w:val="en-NZ"/>
              </w:rPr>
            </w:pPr>
            <w:r w:rsidRPr="00D12EDF">
              <w:t>2.6</w:t>
            </w:r>
            <w:r w:rsidRPr="00D12EDF">
              <w:tab/>
              <w:t>Use correct intravenous medication administration techniques and precautions specific to each client as per medication orders</w:t>
            </w: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EDF">
            <w:pPr>
              <w:pStyle w:val="List"/>
              <w:rPr>
                <w:lang w:val="en-NZ"/>
              </w:rPr>
            </w:pPr>
            <w:r w:rsidRPr="00D12EDF">
              <w:t>3.</w:t>
            </w:r>
            <w:r w:rsidRPr="00D12EDF">
              <w:tab/>
              <w:t>Administer intravenous medications within legal parameters</w:t>
            </w:r>
          </w:p>
        </w:tc>
        <w:tc>
          <w:tcPr>
            <w:tcW w:w="5702"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3.1</w:t>
            </w:r>
            <w:r w:rsidRPr="00D12EDF">
              <w:tab/>
              <w:t>Work with</w:t>
            </w:r>
            <w:r w:rsidRPr="00D12EDF">
              <w:t xml:space="preserve"> a knowledge of legal parameters for the administration of intravenous medications</w:t>
            </w:r>
          </w:p>
          <w:p w:rsidR="00000000" w:rsidRPr="00D12EDF" w:rsidP="00D12EDF">
            <w:pPr>
              <w:pStyle w:val="BodyText"/>
            </w:pPr>
            <w:r w:rsidRPr="00D12EDF">
              <w:t>3.2</w:t>
            </w:r>
            <w:r w:rsidRPr="00D12EDF">
              <w:tab/>
              <w:t>Administer intravenous medications within role responsibility accordance with the legislative requirements and organisation policy</w:t>
            </w:r>
          </w:p>
          <w:p w:rsidR="00000000" w:rsidRPr="00D12EDF" w:rsidP="00D12EDF">
            <w:pPr>
              <w:pStyle w:val="BodyText"/>
            </w:pPr>
            <w:r w:rsidRPr="00D12EDF">
              <w:t>3.3</w:t>
            </w:r>
            <w:r w:rsidRPr="00D12EDF">
              <w:tab/>
              <w:t>Store intravenous medications in a</w:t>
            </w:r>
            <w:r w:rsidRPr="00D12EDF">
              <w:t xml:space="preserve"> safe manner according to legislative requirements and health care organisation policy</w:t>
            </w:r>
          </w:p>
          <w:p w:rsidR="00000000" w:rsidP="00D12EDF">
            <w:pPr>
              <w:pStyle w:val="BodyText"/>
              <w:rPr>
                <w:lang w:val="en-NZ"/>
              </w:rPr>
            </w:pPr>
            <w:r w:rsidRPr="00D12EDF">
              <w:t>3.4</w:t>
            </w:r>
            <w:r w:rsidRPr="00D12EDF">
              <w:tab/>
              <w:t>Work with a knowledge of organisation processes for quality management and risk assessment of administration of intravenous medication</w:t>
            </w: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EDF">
            <w:pPr>
              <w:pStyle w:val="List"/>
              <w:rPr>
                <w:lang w:val="en-NZ"/>
              </w:rPr>
            </w:pPr>
            <w:r w:rsidRPr="00D12EDF">
              <w:t>4.</w:t>
            </w:r>
            <w:r w:rsidRPr="00D12EDF">
              <w:tab/>
              <w:t xml:space="preserve">Monitor </w:t>
            </w:r>
            <w:r w:rsidRPr="00D12EDF">
              <w:t>client response to administered intravenous medication</w:t>
            </w:r>
          </w:p>
        </w:tc>
        <w:tc>
          <w:tcPr>
            <w:tcW w:w="5702"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4.1</w:t>
            </w:r>
            <w:r w:rsidRPr="00D12EDF">
              <w:tab/>
              <w:t>Record administration of intravenous mediations in accordance with organisation policy</w:t>
            </w:r>
          </w:p>
          <w:p w:rsidR="00000000" w:rsidRPr="00D12EDF" w:rsidP="00D12EDF">
            <w:pPr>
              <w:pStyle w:val="BodyText"/>
            </w:pPr>
            <w:r w:rsidRPr="00D12EDF">
              <w:t>4.2</w:t>
            </w:r>
            <w:r w:rsidRPr="00D12EDF">
              <w:tab/>
              <w:t>Contribute to information provided to clients and carers on intravenous medication administration (includi</w:t>
            </w:r>
            <w:r w:rsidRPr="00D12EDF">
              <w:t>ng possible side effects)</w:t>
            </w:r>
          </w:p>
          <w:p w:rsidR="00000000" w:rsidRPr="00D12EDF" w:rsidP="00D12EDF">
            <w:pPr>
              <w:pStyle w:val="BodyText"/>
            </w:pPr>
            <w:r w:rsidRPr="00D12EDF">
              <w:t>4.3</w:t>
            </w:r>
            <w:r w:rsidRPr="00D12EDF">
              <w:tab/>
              <w:t>Recognise acute and delayed adverse reactions to intravenous medications and respond within role responsibility</w:t>
            </w:r>
          </w:p>
          <w:p w:rsidR="00000000" w:rsidRPr="00D12EDF" w:rsidP="00D12EDF">
            <w:pPr>
              <w:pStyle w:val="BodyText"/>
            </w:pPr>
            <w:r w:rsidRPr="00D12EDF">
              <w:t>4.4</w:t>
            </w:r>
            <w:r w:rsidRPr="00D12EDF">
              <w:tab/>
              <w:t>Implement emergency actions for identified acute and delayed adverse reactions within role responsibility</w:t>
            </w:r>
          </w:p>
          <w:p w:rsidR="00000000" w:rsidRPr="00D12EDF" w:rsidP="00D12EDF">
            <w:pPr>
              <w:pStyle w:val="BodyText"/>
            </w:pPr>
            <w:r w:rsidRPr="00D12EDF">
              <w:t>4.5</w:t>
            </w:r>
            <w:r w:rsidRPr="00D12EDF">
              <w:tab/>
            </w:r>
            <w:r w:rsidRPr="00D12EDF">
              <w:t>Record and report response to emergency strategies</w:t>
            </w:r>
          </w:p>
          <w:p w:rsidR="00000000" w:rsidP="00D12EDF">
            <w:pPr>
              <w:pStyle w:val="BodyText"/>
              <w:rPr>
                <w:lang w:val="en-NZ"/>
              </w:rPr>
            </w:pPr>
            <w:r w:rsidRPr="00D12EDF">
              <w:t>4.6</w:t>
            </w:r>
            <w:r w:rsidRPr="00D12EDF">
              <w:tab/>
              <w:t>Implement organisation procedures in the event of an intravenous medication incident</w:t>
            </w:r>
          </w:p>
        </w:tc>
      </w:tr>
      <w:tr w:rsidTr="00A24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12EDF" w:rsidP="00D12EDF">
            <w:pPr>
              <w:pStyle w:val="BodyText"/>
            </w:pPr>
          </w:p>
        </w:tc>
      </w:tr>
    </w:tbl>
    <w:p w:rsidR="00A2403B" w:rsidP="00D12EDF">
      <w:pPr>
        <w:pStyle w:val="BodyText"/>
      </w:pPr>
    </w:p>
    <w:p w:rsidR="00A2403B" w:rsidP="00D12EDF">
      <w:pPr>
        <w:pStyle w:val="BodyText"/>
      </w:pPr>
    </w:p>
    <w:p w:rsidR="00000000" w:rsidRPr="00D12EDF" w:rsidP="00D12EDF">
      <w:pPr>
        <w:pStyle w:val="Heading1"/>
      </w:pPr>
      <w:bookmarkStart w:id="9" w:name="O_259834"/>
      <w:bookmarkEnd w:id="9"/>
      <w:r w:rsidRPr="00D12EDF">
        <w:t>Required Skills and Knowledge</w:t>
      </w:r>
    </w:p>
    <w:tbl>
      <w:tblPr>
        <w:tblW w:w="0" w:type="auto"/>
        <w:tblLayout w:type="fixed"/>
        <w:tblCellMar>
          <w:left w:w="62" w:type="dxa"/>
          <w:right w:w="62" w:type="dxa"/>
        </w:tblCellMar>
        <w:tblLook w:val="0000"/>
      </w:tblPr>
      <w:tblGrid>
        <w:gridCol w:w="9072"/>
      </w:tblGrid>
      <w:tr w:rsidTr="00A2403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REQUIRED SKILLS AND KNOWLEDGE</w:t>
            </w:r>
          </w:p>
        </w:tc>
      </w:tr>
      <w:tr w:rsidTr="00A24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t>This describes the essential skills and knowledge and their level required for this unit.</w:t>
            </w:r>
          </w:p>
        </w:tc>
      </w:tr>
      <w:tr w:rsidTr="00A24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rPr>
                <w:rStyle w:val="Emphasis"/>
              </w:rPr>
              <w:t>Essential knowledge</w:t>
            </w:r>
            <w:r w:rsidRPr="00D12EDF">
              <w:t>:</w:t>
            </w:r>
          </w:p>
          <w:p w:rsidR="00000000" w:rsidRPr="00D12EDF" w:rsidP="00D12EDF">
            <w:pPr>
              <w:pStyle w:val="BodyText"/>
            </w:pPr>
            <w:r w:rsidRPr="00D12EDF">
              <w:t>The candidate must be able to demonstrate essential knowledge required to effectively do the task outlined in elements and performance criteri</w:t>
            </w:r>
            <w:r w:rsidRPr="00D12EDF">
              <w:t>a of this unit, manage the task and manage contingencies in the context of the identified work role</w:t>
            </w:r>
          </w:p>
          <w:p w:rsidR="00000000" w:rsidRPr="00D12EDF" w:rsidP="00D12EDF">
            <w:pPr>
              <w:pStyle w:val="BodyText"/>
            </w:pPr>
            <w:r w:rsidRPr="00D12EDF">
              <w:t>This includes knowledge of:</w:t>
            </w:r>
          </w:p>
          <w:p w:rsidR="00000000" w:rsidRPr="00D12EDF" w:rsidP="00D12EDF">
            <w:pPr>
              <w:pStyle w:val="ListBullet"/>
            </w:pPr>
            <w:r w:rsidRPr="00D12EDF">
              <w:t>Approved intravenous medication abbreviations</w:t>
            </w:r>
          </w:p>
          <w:p w:rsidR="00000000" w:rsidRPr="00D12EDF" w:rsidP="00D12EDF">
            <w:pPr>
              <w:pStyle w:val="ListBullet"/>
            </w:pPr>
            <w:r w:rsidRPr="00D12EDF">
              <w:t>Documentation associated with intravenous medication administration</w:t>
            </w:r>
          </w:p>
          <w:p w:rsidR="00000000" w:rsidRPr="00D12EDF" w:rsidP="00D12EDF">
            <w:pPr>
              <w:pStyle w:val="ListBullet"/>
            </w:pPr>
            <w:r w:rsidRPr="00D12EDF">
              <w:t>Factors influe</w:t>
            </w:r>
            <w:r w:rsidRPr="00D12EDF">
              <w:t>ncing intravenous medication actions</w:t>
            </w:r>
          </w:p>
          <w:p w:rsidR="00000000" w:rsidRPr="00D12EDF" w:rsidP="00D12EDF">
            <w:pPr>
              <w:pStyle w:val="ListBullet"/>
            </w:pPr>
            <w:r w:rsidRPr="00D12EDF">
              <w:t>Legal requirements for practice parameters of Enrolled/Division 2 nurse</w:t>
            </w:r>
          </w:p>
          <w:p w:rsidR="00000000" w:rsidRPr="00D12EDF" w:rsidP="00D12EDF">
            <w:pPr>
              <w:pStyle w:val="ListBullet"/>
            </w:pPr>
            <w:r w:rsidRPr="00D12EDF">
              <w:t>Major intravenous medication groups</w:t>
            </w:r>
          </w:p>
          <w:p w:rsidR="00000000" w:rsidRPr="00D12EDF" w:rsidP="00D12EDF">
            <w:pPr>
              <w:pStyle w:val="ListBullet"/>
            </w:pPr>
            <w:r w:rsidRPr="00D12EDF">
              <w:t>Methods of storage, handling and usage of intravenous medications</w:t>
            </w:r>
          </w:p>
          <w:p w:rsidR="00000000" w:rsidRPr="00D12EDF" w:rsidP="00D12EDF">
            <w:pPr>
              <w:pStyle w:val="ListBullet"/>
            </w:pPr>
            <w:r w:rsidRPr="00D12EDF">
              <w:t xml:space="preserve">Relevant medical/medication terminology </w:t>
            </w:r>
          </w:p>
          <w:p w:rsidR="00000000" w:rsidRPr="00D12EDF" w:rsidP="00D12EDF">
            <w:pPr>
              <w:pStyle w:val="ListBullet"/>
            </w:pPr>
            <w:r w:rsidRPr="00D12EDF">
              <w:t>Relevant pathophysiology</w:t>
            </w:r>
          </w:p>
          <w:p w:rsidR="00000000" w:rsidRPr="00D12EDF" w:rsidP="00D12EDF">
            <w:pPr>
              <w:pStyle w:val="ListBullet"/>
            </w:pPr>
            <w:r w:rsidRPr="00D12EDF">
              <w:t>Relevant workplace health and safety policies to ensure safe practice eg management of sharps</w:t>
            </w:r>
          </w:p>
          <w:p w:rsidR="00000000" w:rsidRPr="00D12EDF" w:rsidP="00D12EDF">
            <w:pPr>
              <w:pStyle w:val="ListBullet"/>
            </w:pPr>
            <w:r w:rsidRPr="00D12EDF">
              <w:t>Role of the health care team in the administration of intravenous medications</w:t>
            </w:r>
          </w:p>
          <w:p w:rsidR="00000000" w:rsidRPr="00D12EDF" w:rsidP="00D12EDF">
            <w:pPr>
              <w:pStyle w:val="ListBullet"/>
            </w:pPr>
            <w:r w:rsidRPr="00D12EDF">
              <w:t xml:space="preserve">Systems of intravenous medication delivery </w:t>
            </w:r>
          </w:p>
          <w:p w:rsidR="00000000" w:rsidRPr="00D12EDF" w:rsidP="00D12EDF">
            <w:pPr>
              <w:pStyle w:val="ListBullet"/>
            </w:pPr>
            <w:r w:rsidRPr="00D12EDF">
              <w:t>Scheduling of m</w:t>
            </w:r>
            <w:r w:rsidRPr="00D12EDF">
              <w:t>edications, including:</w:t>
            </w:r>
          </w:p>
          <w:p w:rsidR="00000000" w:rsidRPr="00D12EDF" w:rsidP="00D12EDF">
            <w:pPr>
              <w:pStyle w:val="ListBullet2"/>
            </w:pPr>
            <w:r w:rsidRPr="00D12EDF">
              <w:t>Schedule 2</w:t>
            </w:r>
          </w:p>
          <w:p w:rsidR="00000000" w:rsidRPr="00D12EDF" w:rsidP="00D12EDF">
            <w:pPr>
              <w:pStyle w:val="ListBullet2"/>
            </w:pPr>
            <w:r w:rsidRPr="00D12EDF">
              <w:t>Schedule 3</w:t>
            </w:r>
          </w:p>
          <w:p w:rsidR="00000000" w:rsidRPr="00D12EDF" w:rsidP="00D12EDF">
            <w:pPr>
              <w:pStyle w:val="ListBullet2"/>
            </w:pPr>
            <w:r w:rsidRPr="00D12EDF">
              <w:t>Schedule 4</w:t>
            </w:r>
          </w:p>
          <w:p w:rsidR="00000000" w:rsidRPr="00D12EDF" w:rsidP="00D12EDF">
            <w:pPr>
              <w:pStyle w:val="ListBullet2"/>
            </w:pPr>
            <w:r w:rsidRPr="00D12EDF">
              <w:t>Schedule 8</w:t>
            </w:r>
          </w:p>
          <w:p w:rsidR="00000000" w:rsidRPr="00D12EDF" w:rsidP="00D12EDF">
            <w:pPr>
              <w:pStyle w:val="ListBullet"/>
            </w:pPr>
            <w:r w:rsidRPr="00D12EDF">
              <w:t>Substance incompatibilities may include:</w:t>
            </w:r>
          </w:p>
          <w:p w:rsidR="00000000" w:rsidRPr="00D12EDF" w:rsidP="00D12EDF">
            <w:pPr>
              <w:pStyle w:val="ListBullet2"/>
            </w:pPr>
            <w:r w:rsidRPr="00D12EDF">
              <w:t>anaphylactic reactions</w:t>
            </w:r>
          </w:p>
          <w:p w:rsidR="00000000" w:rsidRPr="00D12EDF" w:rsidP="00D12EDF">
            <w:pPr>
              <w:pStyle w:val="ListBullet2"/>
            </w:pPr>
            <w:r w:rsidRPr="00D12EDF">
              <w:t>adverse reactions</w:t>
            </w:r>
          </w:p>
          <w:p w:rsidR="00000000" w:rsidRPr="00D12EDF" w:rsidP="00D12EDF">
            <w:pPr>
              <w:pStyle w:val="ListBullet2"/>
            </w:pPr>
            <w:r w:rsidRPr="00D12EDF">
              <w:t>contraindications</w:t>
            </w:r>
          </w:p>
          <w:p w:rsidR="00000000" w:rsidRPr="00D12EDF" w:rsidP="00D12EDF">
            <w:pPr>
              <w:pStyle w:val="ListBullet2"/>
            </w:pPr>
            <w:r w:rsidRPr="00D12EDF">
              <w:t>precautions</w:t>
            </w:r>
          </w:p>
          <w:p w:rsidR="00000000" w:rsidRPr="00D12EDF" w:rsidP="00D12EDF">
            <w:pPr>
              <w:pStyle w:val="ListBullet2"/>
            </w:pPr>
            <w:r w:rsidRPr="00D12EDF">
              <w:t>side effects</w:t>
            </w:r>
          </w:p>
          <w:p w:rsidR="00000000" w:rsidRPr="00D12EDF" w:rsidP="00D12EDF">
            <w:pPr>
              <w:pStyle w:val="ListBullet"/>
            </w:pPr>
            <w:r w:rsidRPr="00D12EDF">
              <w:t>Understanding of the pharmacology of intravenous medications including:</w:t>
            </w:r>
          </w:p>
          <w:p w:rsidR="00000000" w:rsidRPr="00D12EDF" w:rsidP="00D12EDF">
            <w:pPr>
              <w:pStyle w:val="ListBullet2"/>
            </w:pPr>
            <w:r w:rsidRPr="00D12EDF">
              <w:t xml:space="preserve">principles of pharmacokinetics and pharmacodynamics related to major drug groups </w:t>
            </w:r>
          </w:p>
          <w:p w:rsidR="00000000" w:rsidRPr="00D12EDF" w:rsidP="00D12EDF">
            <w:pPr>
              <w:pStyle w:val="ListBullet2"/>
            </w:pPr>
            <w:r w:rsidRPr="00D12EDF">
              <w:t>toxicology</w:t>
            </w:r>
          </w:p>
          <w:p w:rsidR="00000000" w:rsidRPr="00D12EDF" w:rsidP="00D12EDF">
            <w:pPr>
              <w:pStyle w:val="ListBullet"/>
            </w:pPr>
            <w:r w:rsidRPr="00D12EDF">
              <w:t>Understanding the legal requirements of each route of intravenous administration</w:t>
            </w:r>
          </w:p>
          <w:p w:rsidR="00000000" w:rsidP="00D12EDF">
            <w:pPr>
              <w:pStyle w:val="ListBullet"/>
              <w:rPr>
                <w:lang w:val="en-NZ"/>
              </w:rPr>
            </w:pPr>
            <w:r w:rsidRPr="00D12EDF">
              <w:t>Understan</w:t>
            </w:r>
            <w:r w:rsidRPr="00D12EDF">
              <w:t>ding of role in medical emergency</w:t>
            </w:r>
          </w:p>
        </w:tc>
      </w:tr>
      <w:tr w:rsidTr="00A24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rPr>
                <w:rStyle w:val="Emphasis"/>
              </w:rPr>
              <w:t>Essential skills</w:t>
            </w:r>
            <w:r w:rsidRPr="00D12EDF">
              <w:t>:</w:t>
            </w:r>
          </w:p>
          <w:p w:rsidR="00000000" w:rsidRPr="00D12EDF" w:rsidP="00D12EDF">
            <w:pPr>
              <w:pStyle w:val="BodyText"/>
            </w:pPr>
            <w:r w:rsidRPr="00D12EDF">
              <w:t>It is critical that the candidate demonstrate the ability to effectively do the task outlined in elements and performance criteria of this unit, manage the task and manage contingencies in the context of</w:t>
            </w:r>
            <w:r w:rsidRPr="00D12EDF">
              <w:t xml:space="preserve"> the identified work role</w:t>
            </w:r>
          </w:p>
          <w:p w:rsidR="00000000" w:rsidRPr="00D12EDF" w:rsidP="00D12EDF">
            <w:pPr>
              <w:pStyle w:val="BodyText"/>
            </w:pPr>
            <w:r w:rsidRPr="00D12EDF">
              <w:t>This includes the ability to:</w:t>
            </w:r>
          </w:p>
          <w:p w:rsidR="00000000" w:rsidRPr="00D12EDF" w:rsidP="00D12EDF">
            <w:pPr>
              <w:pStyle w:val="ListBullet"/>
            </w:pPr>
            <w:r w:rsidRPr="00D12EDF">
              <w:t>Apply formulae for intravenous drug calculation for:</w:t>
            </w:r>
          </w:p>
          <w:p w:rsidR="00000000" w:rsidRPr="00D12EDF" w:rsidP="00D12EDF">
            <w:pPr>
              <w:pStyle w:val="ListBullet2"/>
            </w:pPr>
            <w:r w:rsidRPr="00D12EDF">
              <w:t>adult clients</w:t>
            </w:r>
          </w:p>
          <w:p w:rsidR="00000000" w:rsidRPr="00D12EDF" w:rsidP="00D12EDF">
            <w:pPr>
              <w:pStyle w:val="ListBullet2"/>
            </w:pPr>
            <w:r w:rsidRPr="00D12EDF">
              <w:t>intravenous therapy</w:t>
            </w:r>
          </w:p>
          <w:p w:rsidR="00000000" w:rsidRPr="00D12EDF" w:rsidP="00D12EDF">
            <w:pPr>
              <w:pStyle w:val="ListBullet2"/>
            </w:pPr>
            <w:r w:rsidRPr="00D12EDF">
              <w:t>older clients</w:t>
            </w:r>
          </w:p>
          <w:p w:rsidR="00000000" w:rsidRPr="00D12EDF" w:rsidP="00D12EDF">
            <w:pPr>
              <w:pStyle w:val="ListBullet2"/>
            </w:pPr>
            <w:r w:rsidRPr="00D12EDF">
              <w:t>paediatric clients</w:t>
            </w:r>
          </w:p>
          <w:p w:rsidR="00000000" w:rsidRPr="00D12EDF" w:rsidP="00D12EDF">
            <w:pPr>
              <w:pStyle w:val="ListBullet"/>
            </w:pPr>
            <w:r w:rsidRPr="00D12EDF">
              <w:t>Apply Professional Standards of Practice:</w:t>
            </w:r>
          </w:p>
          <w:p w:rsidR="00000000" w:rsidRPr="00D12EDF" w:rsidP="00D12EDF">
            <w:pPr>
              <w:pStyle w:val="ListBullet2"/>
            </w:pPr>
            <w:r w:rsidRPr="00D12EDF">
              <w:t>ANMC code of conduct</w:t>
            </w:r>
          </w:p>
          <w:p w:rsidR="00000000" w:rsidRPr="00D12EDF" w:rsidP="00D12EDF">
            <w:pPr>
              <w:pStyle w:val="ListBullet2"/>
            </w:pPr>
            <w:r w:rsidRPr="00D12EDF">
              <w:t>ANMC code of ethics</w:t>
            </w:r>
          </w:p>
          <w:p w:rsidR="00000000" w:rsidRPr="00D12EDF" w:rsidP="00D12EDF">
            <w:pPr>
              <w:pStyle w:val="ListBullet2"/>
            </w:pPr>
            <w:r w:rsidRPr="00D12EDF">
              <w:t>ANMC national Enrolled/Division 2 nurse competency standards</w:t>
            </w:r>
          </w:p>
          <w:p w:rsidR="00000000" w:rsidRPr="00D12EDF" w:rsidP="00D12EDF">
            <w:pPr>
              <w:pStyle w:val="ListBullet2"/>
            </w:pPr>
            <w:r w:rsidRPr="00D12EDF">
              <w:t>state/territory Nurse Regulatory Nurses Act</w:t>
            </w:r>
          </w:p>
          <w:p w:rsidR="00000000" w:rsidRPr="00D12EDF" w:rsidP="00D12EDF">
            <w:pPr>
              <w:pStyle w:val="ListBullet2"/>
            </w:pPr>
            <w:r w:rsidRPr="00D12EDF">
              <w:t>state/territory Nursing and Midwifery Regulatory Authority standards of practice</w:t>
            </w:r>
          </w:p>
          <w:p w:rsidR="00000000" w:rsidRPr="00D12EDF" w:rsidP="00D12EDF">
            <w:pPr>
              <w:pStyle w:val="ListBullet2"/>
            </w:pPr>
            <w:r w:rsidRPr="00D12EDF">
              <w:t>state/territory Drugs and Poisons Act</w:t>
            </w:r>
          </w:p>
          <w:p w:rsidR="00000000" w:rsidRPr="00D12EDF" w:rsidP="00D12EDF">
            <w:pPr>
              <w:pStyle w:val="ListBullet2"/>
            </w:pPr>
            <w:r w:rsidRPr="00D12EDF">
              <w:t>scope of nur</w:t>
            </w:r>
            <w:r w:rsidRPr="00D12EDF">
              <w:t>sing practice decision making framework</w:t>
            </w:r>
          </w:p>
          <w:p w:rsidR="00000000" w:rsidRPr="00D12EDF" w:rsidP="00D12EDF">
            <w:pPr>
              <w:pStyle w:val="ListBullet2"/>
            </w:pPr>
            <w:r w:rsidRPr="00D12EDF">
              <w:t>Department of Health Guidelines</w:t>
            </w:r>
          </w:p>
          <w:p w:rsidR="00000000" w:rsidRPr="00D12EDF" w:rsidP="00D12EDF">
            <w:pPr>
              <w:pStyle w:val="ListBullet2"/>
            </w:pPr>
            <w:r w:rsidRPr="00D12EDF">
              <w:t>O</w:t>
            </w:r>
            <w:r w:rsidRPr="00D12EDF">
              <w:rPr>
                <w:rStyle w:val="Subscript"/>
              </w:rPr>
              <w:t>2</w:t>
            </w:r>
            <w:r w:rsidRPr="00D12EDF">
              <w:t xml:space="preserve"> Therapy</w:t>
            </w:r>
          </w:p>
          <w:p w:rsidR="00000000" w:rsidRPr="00D12EDF" w:rsidP="00D12EDF">
            <w:pPr>
              <w:pStyle w:val="ListBullet2"/>
            </w:pPr>
            <w:r w:rsidRPr="00D12EDF">
              <w:t>nurse initiated medication</w:t>
            </w:r>
          </w:p>
          <w:p w:rsidR="00000000" w:rsidRPr="00D12EDF" w:rsidP="00D12EDF">
            <w:pPr>
              <w:pStyle w:val="ListBullet"/>
            </w:pPr>
            <w:r w:rsidRPr="00D12EDF">
              <w:t>Calculate volumes for administration of intravenous medications</w:t>
            </w:r>
          </w:p>
          <w:p w:rsidR="00000000" w:rsidRPr="00D12EDF" w:rsidP="00D12EDF">
            <w:pPr>
              <w:pStyle w:val="ListBullet"/>
            </w:pPr>
            <w:r w:rsidRPr="00D12EDF">
              <w:t>Check intravenous cannula site</w:t>
            </w:r>
          </w:p>
          <w:p w:rsidR="00000000" w:rsidRPr="00D12EDF" w:rsidP="00D12EDF">
            <w:pPr>
              <w:pStyle w:val="ListBullet"/>
            </w:pPr>
            <w:r w:rsidRPr="00D12EDF">
              <w:t>Demonstrate preparation, administration and recordi</w:t>
            </w:r>
            <w:r w:rsidRPr="00D12EDF">
              <w:t>ng of medication/s via intravenous routes</w:t>
            </w:r>
          </w:p>
          <w:p w:rsidR="00000000" w:rsidRPr="00D12EDF" w:rsidP="00D12EDF">
            <w:pPr>
              <w:pStyle w:val="ListBullet"/>
            </w:pPr>
            <w:r w:rsidRPr="00D12EDF">
              <w:t>Demonstrate professional conduct, skills and knowledge</w:t>
            </w:r>
          </w:p>
          <w:p w:rsidR="00000000" w:rsidRPr="00D12EDF" w:rsidP="00D12EDF">
            <w:pPr>
              <w:pStyle w:val="ListBullet"/>
            </w:pPr>
            <w:r w:rsidRPr="00D12EDF">
              <w:t>Perform emergency management for a client experiencing an adverse intravenous medication reaction</w:t>
            </w:r>
          </w:p>
          <w:p w:rsidR="00000000" w:rsidRPr="00D12EDF" w:rsidP="00D12EDF">
            <w:pPr>
              <w:pStyle w:val="ListBullet"/>
            </w:pPr>
            <w:r w:rsidRPr="00D12EDF">
              <w:t>Use interpersonal skills, including working with others, using sensitivity when dealing with people and relating to persons from differing cultural, social and religious backgrounds</w:t>
            </w:r>
          </w:p>
          <w:p w:rsidR="00000000" w:rsidRPr="00D12EDF" w:rsidP="00D12EDF">
            <w:pPr>
              <w:pStyle w:val="ListBullet"/>
            </w:pPr>
            <w:r w:rsidRPr="00D12EDF">
              <w:t>Use language, literacy and numeracy competence required for intravenous dr</w:t>
            </w:r>
            <w:r w:rsidRPr="00D12EDF">
              <w:t>ug calculation, administration and documentation</w:t>
            </w:r>
          </w:p>
          <w:p w:rsidR="00000000" w:rsidRPr="00D12EDF" w:rsidP="00D12EDF">
            <w:pPr>
              <w:pStyle w:val="ListBullet"/>
            </w:pPr>
            <w:r w:rsidRPr="00D12EDF">
              <w:t>Use oral communication skills (language competence) required to fulfil job roles as specified by the organisation/service, including:</w:t>
            </w:r>
          </w:p>
          <w:p w:rsidR="00000000" w:rsidRPr="00D12EDF" w:rsidP="00D12EDF">
            <w:pPr>
              <w:pStyle w:val="ListBullet2"/>
            </w:pPr>
            <w:r w:rsidRPr="00D12EDF">
              <w:t xml:space="preserve"> interviewing techniques</w:t>
            </w:r>
          </w:p>
          <w:p w:rsidR="00000000" w:rsidRPr="00D12EDF" w:rsidP="00D12EDF">
            <w:pPr>
              <w:pStyle w:val="ListBullet2"/>
            </w:pPr>
            <w:r w:rsidRPr="00D12EDF">
              <w:t>asking questions</w:t>
            </w:r>
          </w:p>
          <w:p w:rsidR="00000000" w:rsidRPr="00D12EDF" w:rsidP="00D12EDF">
            <w:pPr>
              <w:pStyle w:val="ListBullet2"/>
            </w:pPr>
            <w:r w:rsidRPr="00D12EDF">
              <w:t>active listening</w:t>
            </w:r>
          </w:p>
          <w:p w:rsidR="00000000" w:rsidRPr="00D12EDF" w:rsidP="00D12EDF">
            <w:pPr>
              <w:pStyle w:val="ListBullet2"/>
            </w:pPr>
            <w:r w:rsidRPr="00D12EDF">
              <w:t>asking for cl</w:t>
            </w:r>
            <w:r w:rsidRPr="00D12EDF">
              <w:t>arification</w:t>
            </w:r>
          </w:p>
        </w:tc>
      </w:tr>
    </w:tbl>
    <w:p w:rsidR="00A2403B" w:rsidP="00D12EDF">
      <w:pPr>
        <w:pStyle w:val="BodyText"/>
      </w:pPr>
    </w:p>
    <w:p w:rsidR="00A2403B" w:rsidP="00D12EDF">
      <w:pPr>
        <w:pStyle w:val="BodyText"/>
      </w:pPr>
    </w:p>
    <w:p w:rsidR="00000000" w:rsidRPr="00D12EDF" w:rsidP="00D12EDF">
      <w:pPr>
        <w:pStyle w:val="Heading1"/>
      </w:pPr>
      <w:bookmarkStart w:id="10" w:name="O_243868"/>
      <w:bookmarkEnd w:id="10"/>
      <w:r w:rsidRPr="00D12EDF">
        <w:t>Evidence Guide</w:t>
      </w:r>
    </w:p>
    <w:tbl>
      <w:tblPr>
        <w:tblW w:w="0" w:type="auto"/>
        <w:tblLayout w:type="fixed"/>
        <w:tblCellMar>
          <w:left w:w="62" w:type="dxa"/>
          <w:right w:w="62" w:type="dxa"/>
        </w:tblCellMar>
        <w:tblLook w:val="0000"/>
      </w:tblPr>
      <w:tblGrid>
        <w:gridCol w:w="3402"/>
        <w:gridCol w:w="5670"/>
      </w:tblGrid>
      <w:tr w:rsidTr="00A2403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EVIDENCE GUIDE</w:t>
            </w:r>
          </w:p>
        </w:tc>
      </w:tr>
      <w:tr w:rsidTr="00A24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t xml:space="preserve">The evidence guide provides advice on assessment and must be read in conjunction with the Performance Criteria, Required Skills and Knowledge, </w:t>
            </w:r>
            <w:r w:rsidRPr="00D12EDF">
              <w:t>the Range Statement and the Assessment Guidelines for this Training Package.</w:t>
            </w:r>
          </w:p>
        </w:tc>
      </w:tr>
      <w:tr w:rsidTr="00A24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Critical aspects for assessment and evidence required to demonstrate this competency unit</w:t>
            </w:r>
            <w:r w:rsidRPr="00D12EDF">
              <w:t xml:space="preserve">: </w:t>
            </w:r>
            <w:r w:rsidRPr="00D12EDF">
              <w:br/>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The individual being assessed must provide evidence of specified essential knowledge as well as skills</w:t>
            </w:r>
          </w:p>
          <w:p w:rsidR="00000000" w:rsidRPr="00D12EDF" w:rsidP="00D12EDF">
            <w:pPr>
              <w:pStyle w:val="ListBullet"/>
            </w:pPr>
            <w:r w:rsidRPr="00D12EDF">
              <w:t>Observation of performance in a work context is essential for assessment of this unit</w:t>
            </w:r>
          </w:p>
          <w:p w:rsidR="00000000" w:rsidRPr="00D12EDF" w:rsidP="00D12EDF">
            <w:pPr>
              <w:pStyle w:val="ListBullet"/>
            </w:pPr>
            <w:r w:rsidRPr="00D12EDF">
              <w:t>Consistency of performance should be demonstrated over the required</w:t>
            </w:r>
            <w:r w:rsidRPr="00D12EDF">
              <w:t xml:space="preserve"> range of workplace situations and should occur on more than one occasion and be assessed by a registered nurse</w:t>
            </w:r>
          </w:p>
          <w:p w:rsidR="00000000" w:rsidRPr="00D12EDF" w:rsidP="00D12EDF">
            <w:pPr>
              <w:pStyle w:val="ListBullet"/>
            </w:pPr>
            <w:r w:rsidRPr="00D12EDF">
              <w:t>Assessment must include a written calculation test with 100% mastery</w:t>
            </w:r>
          </w:p>
          <w:p w:rsidR="00000000" w:rsidP="00D12EDF">
            <w:pPr>
              <w:pStyle w:val="ListBullet"/>
              <w:rPr>
                <w:lang w:val="en-NZ"/>
              </w:rPr>
            </w:pPr>
            <w:r w:rsidRPr="00D12EDF">
              <w:t>Assessment must be undertaken in a simulated clinical laboratory prior to c</w:t>
            </w:r>
            <w:r w:rsidRPr="00D12EDF">
              <w:t>linical placement</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Context of and specific resources for assessment</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 xml:space="preserve">This unit is most appropriately assessed in the clinical workplace  </w:t>
            </w:r>
          </w:p>
          <w:p w:rsidR="00000000" w:rsidRPr="00D12EDF" w:rsidP="00D12EDF">
            <w:pPr>
              <w:pStyle w:val="ListBullet"/>
            </w:pPr>
            <w:r w:rsidRPr="00D12EDF">
              <w:t>Simulations may be used to represent workplace conditions as closely as possible</w:t>
            </w:r>
          </w:p>
          <w:p w:rsidR="00000000" w:rsidP="00D12EDF">
            <w:pPr>
              <w:pStyle w:val="ListBullet"/>
              <w:rPr>
                <w:lang w:val="en-NZ"/>
              </w:rPr>
            </w:pPr>
            <w:r w:rsidRPr="00D12EDF">
              <w:t>Where, for reasons of safety, acce</w:t>
            </w:r>
            <w:r w:rsidRPr="00D12EDF">
              <w:t>ss to equipment and resources and space, assessment takes place away from the workplace, simulations should be used to represent workplace conditions as closely as possible</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Method of assessment</w:t>
            </w:r>
            <w:r w:rsidRPr="00D12EDF">
              <w:t xml:space="preserve"> </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BodyText"/>
            </w:pPr>
            <w:r w:rsidRPr="00D12EDF">
              <w:t>Assessment of competency may occur on more than one occas</w:t>
            </w:r>
            <w:r w:rsidRPr="00D12EDF">
              <w:t>ion. Assessment may include but not be limited to:</w:t>
            </w:r>
          </w:p>
          <w:p w:rsidR="00000000" w:rsidRPr="00D12EDF" w:rsidP="00D12EDF">
            <w:pPr>
              <w:pStyle w:val="ListBullet"/>
            </w:pPr>
            <w:r w:rsidRPr="00D12EDF">
              <w:t xml:space="preserve">Observation in the work place </w:t>
            </w:r>
          </w:p>
          <w:p w:rsidR="00000000" w:rsidRPr="00D12EDF" w:rsidP="00D12EDF">
            <w:pPr>
              <w:pStyle w:val="ListBullet"/>
            </w:pPr>
            <w:r w:rsidRPr="00D12EDF">
              <w:t>Evidence gathered from clinical work environment</w:t>
            </w:r>
          </w:p>
          <w:p w:rsidR="00000000" w:rsidRPr="00D12EDF" w:rsidP="00D12EDF">
            <w:pPr>
              <w:pStyle w:val="ListBullet"/>
            </w:pPr>
            <w:r w:rsidRPr="00D12EDF">
              <w:t>Written assignments/projects</w:t>
            </w:r>
          </w:p>
          <w:p w:rsidR="00000000" w:rsidRPr="00D12EDF" w:rsidP="00D12EDF">
            <w:pPr>
              <w:pStyle w:val="ListBullet"/>
            </w:pPr>
            <w:r w:rsidRPr="00D12EDF">
              <w:t>Case study and scenario as a basis for discussion of issues and strategies to contribute to best practice.</w:t>
            </w:r>
          </w:p>
          <w:p w:rsidR="00000000" w:rsidRPr="00D12EDF" w:rsidP="00D12EDF">
            <w:pPr>
              <w:pStyle w:val="ListBullet"/>
            </w:pPr>
            <w:r w:rsidRPr="00D12EDF">
              <w:t>Questioning - verbal and written</w:t>
            </w:r>
          </w:p>
          <w:p w:rsidR="00000000" w:rsidP="00D12EDF">
            <w:pPr>
              <w:pStyle w:val="ListBullet"/>
              <w:rPr>
                <w:lang w:val="en-NZ"/>
              </w:rPr>
            </w:pPr>
            <w:r w:rsidRPr="00D12EDF">
              <w:t>Role play/simulation</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Access and equity considerations</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All workers in the health industry should be aware of acc</w:t>
            </w:r>
            <w:r w:rsidRPr="00D12EDF">
              <w:t>ess and equity issues in relation to their own area of work</w:t>
            </w:r>
          </w:p>
          <w:p w:rsidR="00000000" w:rsidRPr="00D12EDF" w:rsidP="00D12EDF">
            <w:pPr>
              <w:pStyle w:val="ListBullet"/>
            </w:pPr>
            <w:r w:rsidRPr="00D12EDF">
              <w:t xml:space="preserve">All workers should develop their ability to work in a culturally diverse environment </w:t>
            </w:r>
          </w:p>
          <w:p w:rsidR="00000000" w:rsidRPr="00D12EDF" w:rsidP="00D12EDF">
            <w:pPr>
              <w:pStyle w:val="ListBullet"/>
            </w:pPr>
            <w:r w:rsidRPr="00D12EDF">
              <w:t>In recognition of particular health issues facing Aboriginal and Torres Strait Islander communities, workers s</w:t>
            </w:r>
            <w:r w:rsidRPr="00D12EDF">
              <w:t>hould be aware of cultural, historical and current issues impacting on health of Aboriginal and Torres Strait Islander people</w:t>
            </w:r>
          </w:p>
          <w:p w:rsidR="00000000" w:rsidP="00D12EDF">
            <w:pPr>
              <w:pStyle w:val="ListBullet"/>
              <w:rPr>
                <w:lang w:val="en-NZ"/>
              </w:rPr>
            </w:pPr>
            <w:r w:rsidRPr="00D12EDF">
              <w:t>Assessors and trainers must take into account relevant access and equity issues, in particular relating to factors impacting on he</w:t>
            </w:r>
            <w:r w:rsidRPr="00D12EDF">
              <w:t>alth of Aboriginal and/or Torres Strait Islander clients and communities</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BodyText"/>
            </w:pPr>
          </w:p>
        </w:tc>
      </w:tr>
    </w:tbl>
    <w:p w:rsidR="00A2403B" w:rsidP="00D12EDF">
      <w:pPr>
        <w:pStyle w:val="BodyText"/>
      </w:pPr>
    </w:p>
    <w:p w:rsidR="00A2403B" w:rsidP="00D12EDF">
      <w:pPr>
        <w:pStyle w:val="BodyText"/>
      </w:pPr>
    </w:p>
    <w:p w:rsidR="00000000" w:rsidRPr="00D12EDF" w:rsidP="00D12EDF">
      <w:pPr>
        <w:pStyle w:val="Heading1"/>
      </w:pPr>
      <w:bookmarkStart w:id="11" w:name="O_251851"/>
      <w:bookmarkEnd w:id="11"/>
      <w:r w:rsidRPr="00D12EDF">
        <w:t>Range Statement</w:t>
      </w:r>
    </w:p>
    <w:tbl>
      <w:tblPr>
        <w:tblW w:w="0" w:type="auto"/>
        <w:tblLayout w:type="fixed"/>
        <w:tblCellMar>
          <w:left w:w="62" w:type="dxa"/>
          <w:right w:w="62" w:type="dxa"/>
        </w:tblCellMar>
        <w:tblLook w:val="0000"/>
      </w:tblPr>
      <w:tblGrid>
        <w:gridCol w:w="3402"/>
        <w:gridCol w:w="5670"/>
      </w:tblGrid>
      <w:tr w:rsidTr="00A2403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SpecialBold"/>
              </w:rPr>
              <w:t>RANGE STATEMENT</w:t>
            </w:r>
          </w:p>
        </w:tc>
      </w:tr>
      <w:tr w:rsidTr="00A24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t>The Range Statement relates to the unit of competency as a whole.  It allows for different work environments and situations that may affect performance.  Add any essential operating conditions that may be present with training and assessment depending on t</w:t>
            </w:r>
            <w:r w:rsidRPr="00D12EDF">
              <w:t>he work situation, needs of the candidate, accessibility of the item, and local industry and regional contexts.</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Health environments may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Residential aged care facility</w:t>
            </w:r>
          </w:p>
          <w:p w:rsidR="00000000" w:rsidRPr="00D12EDF" w:rsidP="00D12EDF">
            <w:pPr>
              <w:pStyle w:val="ListBullet"/>
            </w:pPr>
            <w:r w:rsidRPr="00D12EDF">
              <w:t>Community settings</w:t>
            </w:r>
          </w:p>
          <w:p w:rsidR="00000000" w:rsidRPr="00D12EDF" w:rsidP="00D12EDF">
            <w:pPr>
              <w:pStyle w:val="ListBullet"/>
            </w:pPr>
            <w:r w:rsidRPr="00D12EDF">
              <w:t>Hospitals</w:t>
            </w:r>
          </w:p>
          <w:p w:rsidR="00000000" w:rsidRPr="00D12EDF" w:rsidP="00D12EDF">
            <w:pPr>
              <w:pStyle w:val="ListBullet"/>
            </w:pPr>
            <w:r w:rsidRPr="00D12EDF">
              <w:t>Clinics</w:t>
            </w:r>
          </w:p>
          <w:p w:rsidR="00000000" w:rsidRPr="00D12EDF" w:rsidP="00D12EDF">
            <w:pPr>
              <w:pStyle w:val="ListBullet"/>
            </w:pPr>
            <w:r w:rsidRPr="00D12EDF">
              <w:t>Short and long stay centres</w:t>
            </w:r>
          </w:p>
          <w:p w:rsidR="00000000" w:rsidP="00D12EDF">
            <w:pPr>
              <w:pStyle w:val="ListBullet"/>
              <w:rPr>
                <w:lang w:val="en-NZ"/>
              </w:rPr>
            </w:pPr>
            <w:r w:rsidRPr="00D12EDF">
              <w:t>Clients ho</w:t>
            </w:r>
            <w:r w:rsidRPr="00D12EDF">
              <w:t>me</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Potential risks may include but is not limited to</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Client Identification</w:t>
            </w:r>
          </w:p>
          <w:p w:rsidR="00000000" w:rsidRPr="00D12EDF" w:rsidP="00D12EDF">
            <w:pPr>
              <w:pStyle w:val="ListBullet"/>
            </w:pPr>
            <w:r w:rsidRPr="00D12EDF">
              <w:t>Allergic reactions</w:t>
            </w:r>
          </w:p>
          <w:p w:rsidR="00000000" w:rsidRPr="00D12EDF" w:rsidP="00D12EDF">
            <w:pPr>
              <w:pStyle w:val="ListBullet"/>
            </w:pPr>
            <w:r w:rsidRPr="00D12EDF">
              <w:t>Immunisation status</w:t>
            </w:r>
          </w:p>
          <w:p w:rsidR="00000000" w:rsidRPr="00D12EDF" w:rsidP="00D12EDF">
            <w:pPr>
              <w:pStyle w:val="ListBullet"/>
            </w:pPr>
            <w:r w:rsidRPr="00D12EDF">
              <w:t>Intravenous medication incompatibilities</w:t>
            </w:r>
          </w:p>
          <w:p w:rsidR="00000000" w:rsidRPr="00D12EDF" w:rsidP="00D12EDF">
            <w:pPr>
              <w:pStyle w:val="ListBullet"/>
            </w:pPr>
            <w:r w:rsidRPr="00D12EDF">
              <w:t>Contra-indications for intravenous drug administration</w:t>
            </w:r>
          </w:p>
          <w:p w:rsidR="00000000" w:rsidP="00D12EDF">
            <w:pPr>
              <w:pStyle w:val="ListBullet"/>
              <w:rPr>
                <w:lang w:val="en-NZ"/>
              </w:rPr>
            </w:pPr>
            <w:r w:rsidRPr="00D12EDF">
              <w:t>Intravenous therapy</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Intravenous medication administration methods</w:t>
            </w:r>
            <w:r w:rsidRPr="00D12EDF">
              <w:t xml:space="preserve">  </w:t>
            </w:r>
            <w:r w:rsidRPr="00D12EDF">
              <w:rPr>
                <w:rStyle w:val="Emphasis"/>
              </w:rPr>
              <w:t>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Bolus</w:t>
            </w:r>
          </w:p>
          <w:p w:rsidR="00000000" w:rsidRPr="00D12EDF" w:rsidP="00D12EDF">
            <w:pPr>
              <w:pStyle w:val="ListBullet"/>
            </w:pPr>
            <w:r w:rsidRPr="00D12EDF">
              <w:t>Via burette</w:t>
            </w:r>
          </w:p>
          <w:p w:rsidR="00000000" w:rsidRPr="00D12EDF" w:rsidP="00D12EDF">
            <w:pPr>
              <w:pStyle w:val="ListBullet"/>
            </w:pPr>
            <w:r w:rsidRPr="00D12EDF">
              <w:t>Mini infusion pump</w:t>
            </w:r>
          </w:p>
          <w:p w:rsidR="00000000" w:rsidRPr="00D12EDF" w:rsidP="00D12EDF">
            <w:pPr>
              <w:pStyle w:val="ListBullet"/>
            </w:pPr>
            <w:r w:rsidRPr="00D12EDF">
              <w:t>IV piggyback/tandem</w:t>
            </w:r>
          </w:p>
          <w:p w:rsidR="00000000" w:rsidP="00D12EDF">
            <w:pPr>
              <w:pStyle w:val="ListBullet"/>
              <w:rPr>
                <w:lang w:val="en-NZ"/>
              </w:rPr>
            </w:pPr>
            <w:r w:rsidRPr="00D12EDF">
              <w:t xml:space="preserve">Syringe pump </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Legal and regulatory framework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State/territory Nurses Act.</w:t>
            </w:r>
          </w:p>
          <w:p w:rsidR="00000000" w:rsidRPr="00D12EDF" w:rsidP="00D12EDF">
            <w:pPr>
              <w:pStyle w:val="ListBullet"/>
            </w:pPr>
            <w:r w:rsidRPr="00D12EDF">
              <w:t>State/territory Drugs and Poisons Act</w:t>
            </w:r>
          </w:p>
          <w:p w:rsidR="00000000" w:rsidRPr="00D12EDF" w:rsidP="00D12EDF">
            <w:pPr>
              <w:pStyle w:val="ListBullet"/>
            </w:pPr>
            <w:r w:rsidRPr="00D12EDF">
              <w:t xml:space="preserve">Health (Drugs and Poisons) Regulations </w:t>
            </w:r>
          </w:p>
          <w:p w:rsidR="00000000" w:rsidRPr="00D12EDF" w:rsidP="00D12EDF">
            <w:pPr>
              <w:pStyle w:val="ListBullet"/>
            </w:pPr>
            <w:r w:rsidRPr="00D12EDF">
              <w:t>State/territory Nurse Regulatory Authority Practice Standards</w:t>
            </w:r>
          </w:p>
          <w:p w:rsidR="00000000" w:rsidP="00D12EDF">
            <w:pPr>
              <w:pStyle w:val="ListBullet"/>
              <w:rPr>
                <w:lang w:val="en-NZ"/>
              </w:rPr>
            </w:pPr>
            <w:r w:rsidRPr="00D12EDF">
              <w:t>Documentation legal requirements</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Commonly used medications may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Analgesia</w:t>
            </w:r>
          </w:p>
          <w:p w:rsidR="00000000" w:rsidRPr="00D12EDF" w:rsidP="00D12EDF">
            <w:pPr>
              <w:pStyle w:val="ListBullet"/>
            </w:pPr>
            <w:r w:rsidRPr="00D12EDF">
              <w:t>Antibiotics</w:t>
            </w:r>
          </w:p>
          <w:p w:rsidR="00000000" w:rsidP="00D12EDF">
            <w:pPr>
              <w:pStyle w:val="ListBullet"/>
              <w:rPr>
                <w:lang w:val="en-NZ"/>
              </w:rPr>
            </w:pPr>
            <w:r w:rsidRPr="00D12EDF">
              <w:t>Corticosteroids</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Administration of oral medications and associated terminology may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Legible medication order</w:t>
            </w:r>
          </w:p>
          <w:p w:rsidR="00000000" w:rsidRPr="00D12EDF" w:rsidP="00D12EDF">
            <w:pPr>
              <w:pStyle w:val="ListBullet"/>
            </w:pPr>
            <w:r w:rsidRPr="00D12EDF">
              <w:t>Preparation of medication by person administering</w:t>
            </w:r>
          </w:p>
          <w:p w:rsidR="00000000" w:rsidRPr="00D12EDF" w:rsidP="00D12EDF">
            <w:pPr>
              <w:pStyle w:val="ListBullet"/>
            </w:pPr>
            <w:r w:rsidRPr="00D12EDF">
              <w:t>5 'Rights'</w:t>
            </w:r>
          </w:p>
          <w:p w:rsidR="00000000" w:rsidP="00D12EDF">
            <w:pPr>
              <w:pStyle w:val="ListBullet"/>
              <w:rPr>
                <w:lang w:val="en-NZ"/>
              </w:rPr>
            </w:pPr>
            <w:r w:rsidRPr="00D12EDF">
              <w:t>Special precautions including assessment of intravenous cannula site</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Checking intravenous</w:t>
            </w:r>
            <w:r w:rsidRPr="00D12EDF">
              <w:t xml:space="preserve">  </w:t>
            </w:r>
            <w:r w:rsidRPr="00D12EDF">
              <w:rPr>
                <w:rStyle w:val="Emphasis"/>
              </w:rPr>
              <w:t>medications and associated terminology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 xml:space="preserve">Legal requirements as per jurisdictional regulations </w:t>
            </w:r>
          </w:p>
          <w:p w:rsidR="00000000" w:rsidRPr="00D12EDF" w:rsidP="00D12EDF">
            <w:pPr>
              <w:pStyle w:val="ListBullet"/>
            </w:pPr>
            <w:r w:rsidRPr="00D12EDF">
              <w:t xml:space="preserve">Understanding of Enrolled/Division 2 nurse role  </w:t>
            </w:r>
          </w:p>
          <w:p w:rsidR="00000000" w:rsidRPr="00D12EDF" w:rsidP="00D12EDF">
            <w:pPr>
              <w:pStyle w:val="ListBullet"/>
            </w:pPr>
            <w:r w:rsidRPr="00D12EDF">
              <w:t>Legible medication order</w:t>
            </w:r>
          </w:p>
          <w:p w:rsidR="00000000" w:rsidRPr="00D12EDF" w:rsidP="00D12EDF">
            <w:pPr>
              <w:pStyle w:val="ListBullet"/>
            </w:pPr>
            <w:r w:rsidRPr="00D12EDF">
              <w:t>Absorption rates of intravenous medications</w:t>
            </w:r>
          </w:p>
          <w:p w:rsidR="00000000" w:rsidRPr="00D12EDF" w:rsidP="00D12EDF">
            <w:pPr>
              <w:pStyle w:val="ListBullet"/>
            </w:pPr>
            <w:r w:rsidRPr="00D12EDF">
              <w:t>Preparation of medication by person</w:t>
            </w:r>
            <w:r w:rsidRPr="00D12EDF">
              <w:t xml:space="preserve"> administering</w:t>
            </w:r>
          </w:p>
          <w:p w:rsidR="00000000" w:rsidRPr="00D12EDF" w:rsidP="00D12EDF">
            <w:pPr>
              <w:pStyle w:val="ListBullet"/>
            </w:pPr>
            <w:r w:rsidRPr="00D12EDF">
              <w:t>Checked by Registered Nurse</w:t>
            </w:r>
          </w:p>
          <w:p w:rsidR="00000000" w:rsidRPr="00D12EDF" w:rsidP="00D12EDF">
            <w:pPr>
              <w:pStyle w:val="ListBullet"/>
            </w:pPr>
            <w:r w:rsidRPr="00D12EDF">
              <w:t>5 'Rights'</w:t>
            </w:r>
          </w:p>
          <w:p w:rsidR="00000000" w:rsidP="00D12EDF">
            <w:pPr>
              <w:pStyle w:val="ListBullet"/>
              <w:rPr>
                <w:lang w:val="en-NZ"/>
              </w:rPr>
            </w:pPr>
            <w:r w:rsidRPr="00D12EDF">
              <w:t>Special precautions</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Problems with intravenous cannula site may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Extravasation</w:t>
            </w:r>
          </w:p>
          <w:p w:rsidR="00000000" w:rsidRPr="00D12EDF" w:rsidP="00D12EDF">
            <w:pPr>
              <w:pStyle w:val="ListBullet"/>
            </w:pPr>
            <w:r w:rsidRPr="00D12EDF">
              <w:t xml:space="preserve">Signs of inflammation </w:t>
            </w:r>
          </w:p>
          <w:p w:rsidR="00000000" w:rsidP="00D12EDF">
            <w:pPr>
              <w:pStyle w:val="ListBullet"/>
              <w:rPr>
                <w:lang w:val="en-NZ"/>
              </w:rPr>
            </w:pPr>
            <w:r w:rsidRPr="00D12EDF">
              <w:t>Loss of patency</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Terminology associated with intravenous medications may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Pharmacology</w:t>
            </w:r>
          </w:p>
          <w:p w:rsidR="00000000" w:rsidRPr="00D12EDF" w:rsidP="00D12EDF">
            <w:pPr>
              <w:pStyle w:val="ListBullet"/>
            </w:pPr>
            <w:r w:rsidRPr="00D12EDF">
              <w:t>Medication</w:t>
            </w:r>
          </w:p>
          <w:p w:rsidR="00000000" w:rsidRPr="00D12EDF" w:rsidP="00D12EDF">
            <w:pPr>
              <w:pStyle w:val="ListBullet"/>
            </w:pPr>
            <w:r w:rsidRPr="00D12EDF">
              <w:t>Administer</w:t>
            </w:r>
          </w:p>
          <w:p w:rsidR="00000000" w:rsidRPr="00D12EDF" w:rsidP="00D12EDF">
            <w:pPr>
              <w:pStyle w:val="ListBullet"/>
            </w:pPr>
            <w:r w:rsidRPr="00D12EDF">
              <w:t>Therapeutic effect</w:t>
            </w:r>
          </w:p>
          <w:p w:rsidR="00000000" w:rsidRPr="00D12EDF" w:rsidP="00D12EDF">
            <w:pPr>
              <w:pStyle w:val="ListBullet"/>
            </w:pPr>
            <w:r w:rsidRPr="00D12EDF">
              <w:t>Side effect/adverse reaction/allergic reaction</w:t>
            </w:r>
          </w:p>
          <w:p w:rsidR="00000000" w:rsidRPr="00D12EDF" w:rsidP="00D12EDF">
            <w:pPr>
              <w:pStyle w:val="ListBullet"/>
            </w:pPr>
            <w:r w:rsidRPr="00D12EDF">
              <w:t>Contraindication</w:t>
            </w:r>
          </w:p>
          <w:p w:rsidR="00000000" w:rsidRPr="00D12EDF" w:rsidP="00D12EDF">
            <w:pPr>
              <w:pStyle w:val="ListBullet"/>
            </w:pPr>
            <w:r w:rsidRPr="00D12EDF">
              <w:t>Anaphylaxis</w:t>
            </w:r>
          </w:p>
          <w:p w:rsidR="00000000" w:rsidP="00D12EDF">
            <w:pPr>
              <w:pStyle w:val="ListBullet"/>
              <w:rPr>
                <w:lang w:val="en-NZ"/>
              </w:rPr>
            </w:pPr>
            <w:r w:rsidRPr="00D12EDF">
              <w:t>Allergy</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EDF">
            <w:pPr>
              <w:pStyle w:val="BodyText"/>
              <w:rPr>
                <w:lang w:val="en-NZ"/>
              </w:rPr>
            </w:pPr>
            <w:r w:rsidRPr="00D12EDF">
              <w:rPr>
                <w:rStyle w:val="Emphasis"/>
              </w:rPr>
              <w:t>Calculation of medication dosages must include</w:t>
            </w:r>
            <w:r w:rsidRPr="00D12EDF">
              <w:t>:</w:t>
            </w: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ListBullet"/>
            </w:pPr>
            <w:r w:rsidRPr="00D12EDF">
              <w:t>Calculation formulae</w:t>
            </w:r>
          </w:p>
          <w:p w:rsidR="00000000" w:rsidRPr="00D12EDF" w:rsidP="00D12EDF">
            <w:pPr>
              <w:pStyle w:val="ListBullet"/>
            </w:pPr>
            <w:r w:rsidRPr="00D12EDF">
              <w:t>Calculation of dosages of injectable drug</w:t>
            </w:r>
            <w:r w:rsidRPr="00D12EDF">
              <w:t>s (liquid,  solid, unit  dosages)</w:t>
            </w:r>
          </w:p>
          <w:p w:rsidR="00000000" w:rsidRPr="00D12EDF" w:rsidP="00D12EDF">
            <w:pPr>
              <w:pStyle w:val="ListBullet"/>
            </w:pPr>
            <w:r w:rsidRPr="00D12EDF">
              <w:t>Flow rate drops per minute</w:t>
            </w:r>
          </w:p>
          <w:p w:rsidR="00000000" w:rsidRPr="00D12EDF" w:rsidP="00D12EDF">
            <w:pPr>
              <w:pStyle w:val="ListBullet"/>
            </w:pPr>
            <w:r w:rsidRPr="00D12EDF">
              <w:t>Flow rate millilitres per hour</w:t>
            </w:r>
          </w:p>
          <w:p w:rsidR="00000000" w:rsidRPr="00D12EDF" w:rsidP="00D12EDF">
            <w:pPr>
              <w:pStyle w:val="ListBullet"/>
            </w:pPr>
            <w:r w:rsidRPr="00D12EDF">
              <w:t>Paediatric dosage calculations (body weight, surface area, age related dose reduction)</w:t>
            </w:r>
          </w:p>
          <w:p w:rsidR="00000000" w:rsidP="00D12EDF">
            <w:pPr>
              <w:pStyle w:val="ListBullet"/>
              <w:rPr>
                <w:lang w:val="en-NZ"/>
              </w:rPr>
            </w:pPr>
            <w:r w:rsidRPr="00D12EDF">
              <w:t>Geriatric dosage calculations (body weight, surface area and age)</w:t>
            </w:r>
          </w:p>
        </w:tc>
      </w:tr>
      <w:tr w:rsidTr="00A24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2EDF" w:rsidP="00D12EDF">
            <w:pPr>
              <w:pStyle w:val="BodyText"/>
            </w:pPr>
          </w:p>
        </w:tc>
      </w:tr>
    </w:tbl>
    <w:p w:rsidR="00A2403B" w:rsidP="00D12EDF">
      <w:pPr>
        <w:pStyle w:val="BodyText"/>
      </w:pPr>
    </w:p>
    <w:p w:rsidR="00A2403B" w:rsidP="00D12EDF">
      <w:pPr>
        <w:pStyle w:val="BodyText"/>
      </w:pPr>
    </w:p>
    <w:p w:rsidR="00000000" w:rsidRPr="00D12EDF" w:rsidP="00D12EDF">
      <w:pPr>
        <w:pStyle w:val="Heading1"/>
      </w:pPr>
      <w:bookmarkStart w:id="12" w:name="O_295077"/>
      <w:bookmarkEnd w:id="12"/>
      <w:r w:rsidRPr="00D12EDF">
        <w:t>Unit Sector(s)</w:t>
      </w:r>
    </w:p>
    <w:p w:rsidR="00000000" w:rsidRPr="00D12EDF" w:rsidP="00D12EDF">
      <w:pPr>
        <w:pStyle w:val="BodyText"/>
      </w:pPr>
      <w:r w:rsidRPr="00D12EDF">
        <w:t>Not Applicable</w:t>
      </w:r>
    </w:p>
    <w:p w:rsidR="00000000" w:rsidRPr="00D12EDF" w:rsidP="00D12EDF"/>
    <w:sectPr w:rsidSect="00D12E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03B" w:rsidP="00A240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3B" w:rsidP="00D12E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403B" w:rsidP="00D12E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403B" w:rsidP="00D12E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DF" w:rsidRPr="00A2403B" w:rsidP="00A240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3B" w:rsidRPr="002D2AF8" w:rsidP="00D12EDF">
    <w:pPr>
      <w:pStyle w:val="Header"/>
      <w:framePr w:wrap="around"/>
    </w:pPr>
    <w:r>
      <w:fldChar w:fldCharType="begin"/>
    </w:r>
    <w:r>
      <w:instrText xml:space="preserve"> TITLE   \* MERGEFORMAT </w:instrText>
    </w:r>
    <w:r>
      <w:fldChar w:fldCharType="separate"/>
    </w:r>
    <w:r>
      <w:t>HLTEN519B Administer and monitor intravenous medication in the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2403B" w:rsidP="00D12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A8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C4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DC7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EDF"/>
    <w:pPr>
      <w:spacing w:before="360" w:after="60"/>
      <w:outlineLvl w:val="0"/>
    </w:pPr>
    <w:rPr>
      <w:sz w:val="32"/>
    </w:rPr>
  </w:style>
  <w:style w:type="paragraph" w:styleId="Heading2">
    <w:name w:val="heading 2"/>
    <w:basedOn w:val="HeadingBase"/>
    <w:next w:val="BodyText"/>
    <w:link w:val="Heading2Char"/>
    <w:qFormat/>
    <w:rsid w:val="00D12EDF"/>
    <w:pPr>
      <w:keepLines/>
      <w:spacing w:before="240" w:after="120"/>
      <w:outlineLvl w:val="1"/>
    </w:pPr>
    <w:rPr>
      <w:sz w:val="28"/>
      <w:szCs w:val="40"/>
    </w:rPr>
  </w:style>
  <w:style w:type="paragraph" w:styleId="Heading3">
    <w:name w:val="heading 3"/>
    <w:basedOn w:val="HeadingBase"/>
    <w:next w:val="BodyText"/>
    <w:link w:val="Heading3Char"/>
    <w:qFormat/>
    <w:rsid w:val="00D12EDF"/>
    <w:pPr>
      <w:spacing w:before="180" w:after="120"/>
      <w:outlineLvl w:val="2"/>
    </w:pPr>
    <w:rPr>
      <w:spacing w:val="-10"/>
      <w:kern w:val="32"/>
    </w:rPr>
  </w:style>
  <w:style w:type="paragraph" w:styleId="Heading4">
    <w:name w:val="heading 4"/>
    <w:basedOn w:val="HeadingBase"/>
    <w:next w:val="BodyText"/>
    <w:link w:val="Heading4Char"/>
    <w:qFormat/>
    <w:rsid w:val="00D12EDF"/>
    <w:pPr>
      <w:spacing w:before="160" w:after="120"/>
      <w:outlineLvl w:val="3"/>
    </w:pPr>
    <w:rPr>
      <w:sz w:val="22"/>
    </w:rPr>
  </w:style>
  <w:style w:type="paragraph" w:styleId="Heading5">
    <w:name w:val="heading 5"/>
    <w:basedOn w:val="HeadingBase"/>
    <w:next w:val="Normal"/>
    <w:link w:val="Heading5Char"/>
    <w:qFormat/>
    <w:rsid w:val="00D12EDF"/>
    <w:pPr>
      <w:spacing w:before="80"/>
      <w:outlineLvl w:val="4"/>
    </w:pPr>
    <w:rPr>
      <w:color w:val="918585"/>
      <w:sz w:val="20"/>
    </w:rPr>
  </w:style>
  <w:style w:type="paragraph" w:styleId="Heading6">
    <w:name w:val="heading 6"/>
    <w:basedOn w:val="HeadingBase"/>
    <w:next w:val="Normal"/>
    <w:link w:val="Heading6Char"/>
    <w:qFormat/>
    <w:rsid w:val="00D12EDF"/>
    <w:pPr>
      <w:spacing w:before="60"/>
      <w:outlineLvl w:val="5"/>
    </w:pPr>
    <w:rPr>
      <w:color w:val="918585"/>
      <w:sz w:val="20"/>
    </w:rPr>
  </w:style>
  <w:style w:type="paragraph" w:styleId="Heading7">
    <w:name w:val="heading 7"/>
    <w:basedOn w:val="Normal"/>
    <w:next w:val="Normal"/>
    <w:link w:val="Heading7Char"/>
    <w:qFormat/>
    <w:rsid w:val="00D12EDF"/>
    <w:pPr>
      <w:ind w:left="720"/>
      <w:outlineLvl w:val="6"/>
    </w:pPr>
    <w:rPr>
      <w:i/>
    </w:rPr>
  </w:style>
  <w:style w:type="paragraph" w:styleId="Heading8">
    <w:name w:val="heading 8"/>
    <w:basedOn w:val="Normal"/>
    <w:next w:val="Normal"/>
    <w:link w:val="Heading8Char"/>
    <w:qFormat/>
    <w:rsid w:val="00D12EDF"/>
    <w:pPr>
      <w:ind w:left="720"/>
      <w:outlineLvl w:val="7"/>
    </w:pPr>
    <w:rPr>
      <w:i/>
    </w:rPr>
  </w:style>
  <w:style w:type="paragraph" w:styleId="Heading9">
    <w:name w:val="heading 9"/>
    <w:basedOn w:val="Normal"/>
    <w:next w:val="Normal"/>
    <w:link w:val="Heading9Char"/>
    <w:qFormat/>
    <w:rsid w:val="00D12EDF"/>
    <w:pPr>
      <w:ind w:left="720"/>
      <w:outlineLvl w:val="8"/>
    </w:pPr>
    <w:rPr>
      <w:i/>
    </w:rPr>
  </w:style>
  <w:style w:type="character" w:default="1" w:styleId="DefaultParagraphFont">
    <w:name w:val="Default Paragraph Font"/>
    <w:uiPriority w:val="1"/>
    <w:unhideWhenUsed/>
    <w:rsid w:val="00D12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EDF"/>
  </w:style>
  <w:style w:type="character" w:customStyle="1" w:styleId="Heading1Char">
    <w:name w:val="Heading 1 Char"/>
    <w:basedOn w:val="DefaultParagraphFont"/>
    <w:link w:val="Heading1"/>
    <w:rsid w:val="00D12EDF"/>
    <w:rPr>
      <w:rFonts w:ascii="Times New Roman" w:eastAsia="Times New Roman" w:hAnsi="Times New Roman" w:cs="Times New Roman"/>
      <w:b/>
      <w:sz w:val="32"/>
      <w:szCs w:val="20"/>
      <w:lang w:eastAsia="en-US"/>
    </w:rPr>
  </w:style>
  <w:style w:type="paragraph" w:styleId="BodyText">
    <w:name w:val="Body Text"/>
    <w:basedOn w:val="Normal"/>
    <w:link w:val="BodyTextChar"/>
    <w:rsid w:val="00D12E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EDF"/>
    <w:rPr>
      <w:rFonts w:ascii="Times New Roman" w:eastAsia="Times New Roman" w:hAnsi="Times New Roman" w:cs="Times New Roman"/>
      <w:sz w:val="24"/>
      <w:lang w:eastAsia="en-US"/>
    </w:rPr>
  </w:style>
  <w:style w:type="paragraph" w:styleId="Footer">
    <w:name w:val="footer"/>
    <w:basedOn w:val="Normal"/>
    <w:link w:val="FooterChar"/>
    <w:rsid w:val="00D12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EDF"/>
    <w:rPr>
      <w:rFonts w:ascii="Times New Roman" w:eastAsia="Times New Roman" w:hAnsi="Times New Roman" w:cs="Times New Roman"/>
      <w:sz w:val="16"/>
      <w:lang w:eastAsia="en-US"/>
    </w:rPr>
  </w:style>
  <w:style w:type="paragraph" w:styleId="List">
    <w:name w:val="List"/>
    <w:basedOn w:val="BodyText"/>
    <w:next w:val="BodyText"/>
    <w:rsid w:val="00D12EDF"/>
    <w:pPr>
      <w:tabs>
        <w:tab w:val="left" w:pos="340"/>
      </w:tabs>
      <w:spacing w:before="60" w:after="60"/>
      <w:ind w:left="340" w:hanging="340"/>
    </w:pPr>
  </w:style>
  <w:style w:type="paragraph" w:styleId="ListBullet">
    <w:name w:val="List Bullet"/>
    <w:basedOn w:val="List"/>
    <w:rsid w:val="00D12EDF"/>
    <w:pPr>
      <w:numPr>
        <w:numId w:val="13"/>
      </w:numPr>
      <w:tabs>
        <w:tab w:val="clear" w:pos="340"/>
      </w:tabs>
      <w:spacing w:before="40" w:after="40"/>
    </w:pPr>
  </w:style>
  <w:style w:type="character" w:customStyle="1" w:styleId="SpecialBold">
    <w:name w:val="Special Bold"/>
    <w:basedOn w:val="DefaultParagraphFont"/>
    <w:rsid w:val="00D12EDF"/>
    <w:rPr>
      <w:b/>
      <w:spacing w:val="0"/>
    </w:rPr>
  </w:style>
  <w:style w:type="paragraph" w:styleId="ListBullet2">
    <w:name w:val="List Bullet 2"/>
    <w:basedOn w:val="List2"/>
    <w:rsid w:val="00D12EDF"/>
    <w:pPr>
      <w:numPr>
        <w:numId w:val="14"/>
      </w:numPr>
      <w:tabs>
        <w:tab w:val="clear" w:pos="680"/>
      </w:tabs>
    </w:pPr>
  </w:style>
  <w:style w:type="character" w:styleId="Emphasis">
    <w:name w:val="Emphasis"/>
    <w:basedOn w:val="DefaultParagraphFont"/>
    <w:qFormat/>
    <w:rsid w:val="00D12EDF"/>
    <w:rPr>
      <w:i/>
    </w:rPr>
  </w:style>
  <w:style w:type="paragraph" w:customStyle="1" w:styleId="SuperHeading">
    <w:name w:val="SuperHeading"/>
    <w:basedOn w:val="Normal"/>
    <w:rsid w:val="00D12EDF"/>
    <w:pPr>
      <w:spacing w:before="240" w:after="120"/>
      <w:outlineLvl w:val="0"/>
    </w:pPr>
    <w:rPr>
      <w:rFonts w:ascii="Times New Roman" w:hAnsi="Times New Roman"/>
      <w:b/>
      <w:sz w:val="28"/>
    </w:rPr>
  </w:style>
  <w:style w:type="paragraph" w:customStyle="1" w:styleId="AllowPageBreak">
    <w:name w:val="AllowPageBreak"/>
    <w:rsid w:val="00D12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D12EDF"/>
    <w:rPr>
      <w:sz w:val="16"/>
      <w:vertAlign w:val="subscript"/>
    </w:rPr>
  </w:style>
  <w:style w:type="character" w:customStyle="1" w:styleId="Heading2Char">
    <w:name w:val="Heading 2 Char"/>
    <w:basedOn w:val="DefaultParagraphFont"/>
    <w:link w:val="Heading2"/>
    <w:rsid w:val="00D12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EDF"/>
    <w:rPr>
      <w:rFonts w:ascii="Courier New" w:eastAsia="Times New Roman" w:hAnsi="Courier New" w:cs="Times New Roman"/>
      <w:i/>
      <w:szCs w:val="20"/>
      <w:lang w:eastAsia="en-US"/>
    </w:rPr>
  </w:style>
  <w:style w:type="paragraph" w:customStyle="1" w:styleId="HeadingBase">
    <w:name w:val="Heading Base"/>
    <w:rsid w:val="00D12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EDF"/>
    <w:pPr>
      <w:tabs>
        <w:tab w:val="right" w:leader="dot" w:pos="9072"/>
      </w:tabs>
      <w:ind w:left="567"/>
    </w:pPr>
    <w:rPr>
      <w:szCs w:val="22"/>
    </w:rPr>
  </w:style>
  <w:style w:type="paragraph" w:customStyle="1" w:styleId="TOCBase">
    <w:name w:val="TOC Base"/>
    <w:rsid w:val="00D12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EDF"/>
    <w:pPr>
      <w:tabs>
        <w:tab w:val="right" w:leader="dot" w:pos="9072"/>
      </w:tabs>
      <w:spacing w:before="40" w:after="40"/>
      <w:ind w:left="284"/>
    </w:pPr>
    <w:rPr>
      <w:rFonts w:ascii="Times New Roman" w:hAnsi="Times New Roman"/>
    </w:rPr>
  </w:style>
  <w:style w:type="paragraph" w:styleId="TOC1">
    <w:name w:val="toc 1"/>
    <w:basedOn w:val="TOCBase"/>
    <w:next w:val="Normal"/>
    <w:rsid w:val="00D12E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EDF"/>
    <w:pPr>
      <w:spacing w:before="5040"/>
      <w:jc w:val="center"/>
    </w:pPr>
    <w:rPr>
      <w:sz w:val="48"/>
      <w:szCs w:val="72"/>
      <w:lang w:val="en-US"/>
    </w:rPr>
  </w:style>
  <w:style w:type="character" w:customStyle="1" w:styleId="TitleChar">
    <w:name w:val="Title Char"/>
    <w:basedOn w:val="DefaultParagraphFont"/>
    <w:link w:val="Title"/>
    <w:rsid w:val="00D12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EDF"/>
    <w:pPr>
      <w:tabs>
        <w:tab w:val="left" w:pos="3600"/>
        <w:tab w:val="left" w:pos="3958"/>
      </w:tabs>
    </w:pPr>
  </w:style>
  <w:style w:type="paragraph" w:customStyle="1" w:styleId="Note">
    <w:name w:val="Note"/>
    <w:basedOn w:val="BodyText"/>
    <w:rsid w:val="00D12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EDF"/>
    <w:pPr>
      <w:framePr w:wrap="auto" w:hAnchor="text" w:y="6049"/>
    </w:pPr>
    <w:rPr>
      <w:color w:val="000000"/>
      <w:sz w:val="40"/>
    </w:rPr>
  </w:style>
  <w:style w:type="paragraph" w:customStyle="1" w:styleId="TOCTitle">
    <w:name w:val="TOCTitle"/>
    <w:basedOn w:val="Heading1"/>
    <w:rsid w:val="00D12EDF"/>
    <w:pPr>
      <w:spacing w:after="240"/>
      <w:jc w:val="center"/>
      <w:outlineLvl w:val="9"/>
    </w:pPr>
    <w:rPr>
      <w:caps/>
    </w:rPr>
  </w:style>
  <w:style w:type="paragraph" w:customStyle="1" w:styleId="Version">
    <w:name w:val="Version"/>
    <w:rsid w:val="00D12E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EDF"/>
    <w:pPr>
      <w:keepNext w:val="0"/>
      <w:tabs>
        <w:tab w:val="right" w:pos="4176"/>
      </w:tabs>
      <w:ind w:left="198" w:hanging="198"/>
    </w:pPr>
    <w:rPr>
      <w:rFonts w:ascii="Garamond" w:hAnsi="Garamond"/>
    </w:rPr>
  </w:style>
  <w:style w:type="paragraph" w:styleId="IndexHeading">
    <w:name w:val="index heading"/>
    <w:basedOn w:val="Normal"/>
    <w:next w:val="Index1"/>
    <w:semiHidden/>
    <w:rsid w:val="00D12EDF"/>
    <w:pPr>
      <w:spacing w:before="120" w:after="120"/>
    </w:pPr>
    <w:rPr>
      <w:rFonts w:ascii="Arial" w:hAnsi="Arial"/>
      <w:b/>
      <w:color w:val="918585"/>
      <w:sz w:val="24"/>
    </w:rPr>
  </w:style>
  <w:style w:type="paragraph" w:styleId="Header">
    <w:name w:val="header"/>
    <w:basedOn w:val="Normal"/>
    <w:link w:val="HeaderChar"/>
    <w:rsid w:val="00D12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EDF"/>
    <w:rPr>
      <w:rFonts w:ascii="Times New Roman" w:eastAsia="Times New Roman" w:hAnsi="Times New Roman" w:cs="Times New Roman"/>
      <w:sz w:val="16"/>
      <w:szCs w:val="20"/>
      <w:lang w:val="en-GB" w:eastAsia="en-US"/>
    </w:rPr>
  </w:style>
  <w:style w:type="paragraph" w:customStyle="1" w:styleId="Chapter">
    <w:name w:val="Chapter"/>
    <w:basedOn w:val="Normal"/>
    <w:rsid w:val="00D12EDF"/>
    <w:pPr>
      <w:spacing w:before="240"/>
    </w:pPr>
    <w:rPr>
      <w:rFonts w:ascii="Times New Roman" w:hAnsi="Times New Roman"/>
      <w:smallCaps/>
      <w:spacing w:val="80"/>
      <w:sz w:val="28"/>
    </w:rPr>
  </w:style>
  <w:style w:type="paragraph" w:customStyle="1" w:styleId="InChapter">
    <w:name w:val="InChapter"/>
    <w:basedOn w:val="Heading3"/>
    <w:rsid w:val="00D12EDF"/>
    <w:pPr>
      <w:spacing w:after="240"/>
      <w:outlineLvl w:val="9"/>
    </w:pPr>
    <w:rPr>
      <w:noProof/>
    </w:rPr>
  </w:style>
  <w:style w:type="paragraph" w:styleId="Index2">
    <w:name w:val="index 2"/>
    <w:basedOn w:val="Normal"/>
    <w:next w:val="Normal"/>
    <w:semiHidden/>
    <w:rsid w:val="00D12EDF"/>
    <w:pPr>
      <w:tabs>
        <w:tab w:val="right" w:pos="4176"/>
      </w:tabs>
      <w:ind w:left="568" w:hanging="284"/>
    </w:pPr>
    <w:rPr>
      <w:rFonts w:ascii="Garamond" w:hAnsi="Garamond"/>
    </w:rPr>
  </w:style>
  <w:style w:type="paragraph" w:customStyle="1" w:styleId="Byline">
    <w:name w:val="Byline"/>
    <w:rsid w:val="00D12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EDF"/>
    <w:pPr>
      <w:tabs>
        <w:tab w:val="clear" w:pos="3600"/>
        <w:tab w:val="clear" w:pos="3958"/>
      </w:tabs>
      <w:jc w:val="right"/>
    </w:pPr>
  </w:style>
  <w:style w:type="paragraph" w:styleId="Caption">
    <w:name w:val="caption"/>
    <w:basedOn w:val="BodyText"/>
    <w:next w:val="Normal"/>
    <w:qFormat/>
    <w:rsid w:val="00D12EDF"/>
    <w:pPr>
      <w:framePr w:w="2268" w:hSpace="181" w:vSpace="181" w:wrap="around" w:vAnchor="text" w:hAnchor="page" w:x="1135" w:y="285" w:anchorLock="1"/>
    </w:pPr>
    <w:rPr>
      <w:i/>
    </w:rPr>
  </w:style>
  <w:style w:type="paragraph" w:customStyle="1" w:styleId="MiniTOCTitle">
    <w:name w:val="MiniTOCTitle"/>
    <w:basedOn w:val="Heading4"/>
    <w:rsid w:val="00D12EDF"/>
    <w:pPr>
      <w:spacing w:before="240"/>
      <w:outlineLvl w:val="9"/>
    </w:pPr>
    <w:rPr>
      <w:noProof/>
      <w:sz w:val="24"/>
    </w:rPr>
  </w:style>
  <w:style w:type="paragraph" w:customStyle="1" w:styleId="MiniTOCItem">
    <w:name w:val="MiniTOCItem"/>
    <w:basedOn w:val="ListBullet"/>
    <w:rsid w:val="00D12EDF"/>
    <w:pPr>
      <w:numPr>
        <w:numId w:val="0"/>
      </w:numPr>
      <w:tabs>
        <w:tab w:val="right" w:leader="dot" w:pos="6521"/>
      </w:tabs>
      <w:spacing w:before="0" w:after="0"/>
    </w:pPr>
  </w:style>
  <w:style w:type="paragraph" w:customStyle="1" w:styleId="TOFTitle">
    <w:name w:val="TOFTitle"/>
    <w:basedOn w:val="TOCTitle"/>
    <w:rsid w:val="00D12EDF"/>
  </w:style>
  <w:style w:type="paragraph" w:styleId="TableofFigures">
    <w:name w:val="table of figures"/>
    <w:basedOn w:val="Normal"/>
    <w:next w:val="Normal"/>
    <w:semiHidden/>
    <w:rsid w:val="00D12EDF"/>
    <w:pPr>
      <w:tabs>
        <w:tab w:val="right" w:leader="dot" w:pos="9072"/>
      </w:tabs>
      <w:ind w:left="970" w:hanging="403"/>
    </w:pPr>
    <w:rPr>
      <w:rFonts w:ascii="Times New Roman" w:hAnsi="Times New Roman"/>
      <w:b/>
    </w:rPr>
  </w:style>
  <w:style w:type="paragraph" w:styleId="ListNumber">
    <w:name w:val="List Number"/>
    <w:basedOn w:val="List"/>
    <w:rsid w:val="00D12EDF"/>
    <w:pPr>
      <w:numPr>
        <w:numId w:val="11"/>
      </w:numPr>
    </w:pPr>
  </w:style>
  <w:style w:type="character" w:customStyle="1" w:styleId="WingdingSymbols">
    <w:name w:val="Wingding Symbols"/>
    <w:rsid w:val="00D12EDF"/>
    <w:rPr>
      <w:rFonts w:ascii="Wingdings" w:hAnsi="Wingdings"/>
    </w:rPr>
  </w:style>
  <w:style w:type="paragraph" w:customStyle="1" w:styleId="TableHeading">
    <w:name w:val="Table Heading"/>
    <w:basedOn w:val="HeadingBase"/>
    <w:rsid w:val="00D12EDF"/>
    <w:pPr>
      <w:keepLines/>
      <w:pBdr>
        <w:bottom w:val="single" w:sz="6" w:space="1" w:color="918585"/>
      </w:pBdr>
      <w:spacing w:before="240"/>
    </w:pPr>
  </w:style>
  <w:style w:type="character" w:customStyle="1" w:styleId="HotSpot">
    <w:name w:val="HotSpot"/>
    <w:rsid w:val="00D12EDF"/>
    <w:rPr>
      <w:color w:val="0033CC"/>
      <w:u w:val="none"/>
    </w:rPr>
  </w:style>
  <w:style w:type="paragraph" w:customStyle="1" w:styleId="BodyTextRight">
    <w:name w:val="Body Text Right"/>
    <w:basedOn w:val="BodyText"/>
    <w:rsid w:val="00D12EDF"/>
    <w:pPr>
      <w:spacing w:before="0" w:after="0"/>
      <w:jc w:val="right"/>
    </w:pPr>
  </w:style>
  <w:style w:type="paragraph" w:styleId="Index3">
    <w:name w:val="index 3"/>
    <w:basedOn w:val="ListNumber2"/>
    <w:next w:val="Normal"/>
    <w:semiHidden/>
    <w:rsid w:val="00D12EDF"/>
    <w:pPr>
      <w:numPr>
        <w:numId w:val="0"/>
      </w:numPr>
      <w:tabs>
        <w:tab w:val="right" w:leader="dot" w:pos="4176"/>
      </w:tabs>
    </w:pPr>
  </w:style>
  <w:style w:type="paragraph" w:styleId="ListNumber2">
    <w:name w:val="List Number 2"/>
    <w:basedOn w:val="List2"/>
    <w:rsid w:val="00D12EDF"/>
    <w:pPr>
      <w:numPr>
        <w:numId w:val="10"/>
      </w:numPr>
      <w:tabs>
        <w:tab w:val="clear" w:pos="1060"/>
      </w:tabs>
    </w:pPr>
  </w:style>
  <w:style w:type="paragraph" w:customStyle="1" w:styleId="MarginNote">
    <w:name w:val="Margin Note"/>
    <w:basedOn w:val="BodyText"/>
    <w:rsid w:val="00D12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EDF"/>
    <w:rPr>
      <w:sz w:val="32"/>
    </w:rPr>
  </w:style>
  <w:style w:type="paragraph" w:customStyle="1" w:styleId="HeadingProcedure">
    <w:name w:val="Heading Procedure"/>
    <w:basedOn w:val="HeadingBase"/>
    <w:next w:val="Normal"/>
    <w:rsid w:val="00D12EDF"/>
    <w:pPr>
      <w:tabs>
        <w:tab w:val="left" w:pos="0"/>
      </w:tabs>
      <w:spacing w:before="120" w:after="60"/>
    </w:pPr>
    <w:rPr>
      <w:i/>
      <w:color w:val="918585"/>
      <w:sz w:val="22"/>
    </w:rPr>
  </w:style>
  <w:style w:type="paragraph" w:customStyle="1" w:styleId="TableBodyText">
    <w:name w:val="Table Body Text"/>
    <w:basedOn w:val="BodyText"/>
    <w:rsid w:val="00D12EDF"/>
    <w:pPr>
      <w:spacing w:before="60" w:after="60"/>
    </w:pPr>
  </w:style>
  <w:style w:type="paragraph" w:styleId="ListContinue">
    <w:name w:val="List Continue"/>
    <w:basedOn w:val="List"/>
    <w:rsid w:val="00D12EDF"/>
    <w:pPr>
      <w:ind w:firstLine="0"/>
    </w:pPr>
  </w:style>
  <w:style w:type="paragraph" w:customStyle="1" w:styleId="ListNote">
    <w:name w:val="List Note"/>
    <w:basedOn w:val="List"/>
    <w:rsid w:val="00D12EDF"/>
    <w:pPr>
      <w:pBdr>
        <w:top w:val="single" w:sz="6" w:space="2" w:color="918585"/>
        <w:bottom w:val="single" w:sz="6" w:space="2" w:color="918585"/>
      </w:pBdr>
      <w:tabs>
        <w:tab w:val="left" w:pos="1021"/>
      </w:tabs>
      <w:ind w:firstLine="0"/>
    </w:pPr>
  </w:style>
  <w:style w:type="paragraph" w:customStyle="1" w:styleId="Warning">
    <w:name w:val="Warning"/>
    <w:basedOn w:val="BodyText"/>
    <w:rsid w:val="00D12EDF"/>
    <w:pPr>
      <w:shd w:val="clear" w:color="auto" w:fill="D9D9D9"/>
      <w:tabs>
        <w:tab w:val="left" w:pos="992"/>
      </w:tabs>
      <w:ind w:left="119" w:right="119"/>
    </w:pPr>
    <w:rPr>
      <w:sz w:val="20"/>
    </w:rPr>
  </w:style>
  <w:style w:type="paragraph" w:customStyle="1" w:styleId="MarginIcons">
    <w:name w:val="Margin Icons"/>
    <w:basedOn w:val="BodyText"/>
    <w:rsid w:val="00D12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EDF"/>
    <w:rPr>
      <w:rFonts w:ascii="Courier New" w:hAnsi="Courier New"/>
    </w:rPr>
  </w:style>
  <w:style w:type="paragraph" w:customStyle="1" w:styleId="NoteBullet">
    <w:name w:val="Note Bullet"/>
    <w:basedOn w:val="Note"/>
    <w:rsid w:val="00D12EDF"/>
    <w:pPr>
      <w:tabs>
        <w:tab w:val="clear" w:pos="680"/>
      </w:tabs>
      <w:spacing w:before="60" w:after="60"/>
    </w:pPr>
  </w:style>
  <w:style w:type="paragraph" w:customStyle="1" w:styleId="SubHeading2">
    <w:name w:val="SubHeading2"/>
    <w:basedOn w:val="HeadingBase"/>
    <w:rsid w:val="00D12EDF"/>
    <w:pPr>
      <w:spacing w:before="240" w:after="60"/>
    </w:pPr>
    <w:rPr>
      <w:sz w:val="20"/>
    </w:rPr>
  </w:style>
  <w:style w:type="paragraph" w:customStyle="1" w:styleId="SubHeading1">
    <w:name w:val="SubHeading1"/>
    <w:basedOn w:val="HeadingBase"/>
    <w:rsid w:val="00D12EDF"/>
    <w:pPr>
      <w:spacing w:before="240" w:after="60"/>
    </w:pPr>
    <w:rPr>
      <w:color w:val="918585"/>
      <w:sz w:val="22"/>
    </w:rPr>
  </w:style>
  <w:style w:type="paragraph" w:customStyle="1" w:styleId="SideHeading">
    <w:name w:val="Side Heading"/>
    <w:basedOn w:val="HeadingBase"/>
    <w:rsid w:val="00D12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EDF"/>
    <w:pPr>
      <w:numPr>
        <w:numId w:val="12"/>
      </w:numPr>
    </w:pPr>
  </w:style>
  <w:style w:type="paragraph" w:styleId="PlainText">
    <w:name w:val="Plain Text"/>
    <w:basedOn w:val="Normal"/>
    <w:link w:val="PlainTextChar"/>
    <w:rsid w:val="00D12EDF"/>
    <w:rPr>
      <w:sz w:val="20"/>
    </w:rPr>
  </w:style>
  <w:style w:type="character" w:customStyle="1" w:styleId="PlainTextChar">
    <w:name w:val="Plain Text Char"/>
    <w:basedOn w:val="DefaultParagraphFont"/>
    <w:link w:val="PlainText"/>
    <w:rsid w:val="00D12EDF"/>
    <w:rPr>
      <w:rFonts w:ascii="Courier New" w:eastAsia="Times New Roman" w:hAnsi="Courier New" w:cs="Times New Roman"/>
      <w:sz w:val="20"/>
      <w:szCs w:val="20"/>
      <w:lang w:eastAsia="en-US"/>
    </w:rPr>
  </w:style>
  <w:style w:type="character" w:customStyle="1" w:styleId="MenuOption">
    <w:name w:val="Menu Option"/>
    <w:basedOn w:val="DefaultParagraphFont"/>
    <w:rsid w:val="00D12EDF"/>
    <w:rPr>
      <w:b/>
      <w:smallCaps/>
    </w:rPr>
  </w:style>
  <w:style w:type="paragraph" w:customStyle="1" w:styleId="TableListNumber">
    <w:name w:val="Table List Number"/>
    <w:basedOn w:val="ListNumber"/>
    <w:rsid w:val="00D12EDF"/>
    <w:pPr>
      <w:numPr>
        <w:numId w:val="0"/>
      </w:numPr>
    </w:pPr>
  </w:style>
  <w:style w:type="paragraph" w:styleId="TOC4">
    <w:name w:val="toc 4"/>
    <w:basedOn w:val="TOCBase"/>
    <w:next w:val="Normal"/>
    <w:semiHidden/>
    <w:rsid w:val="00D12EDF"/>
    <w:pPr>
      <w:tabs>
        <w:tab w:val="right" w:leader="dot" w:pos="9071"/>
      </w:tabs>
      <w:ind w:left="1701"/>
    </w:pPr>
  </w:style>
  <w:style w:type="paragraph" w:customStyle="1" w:styleId="ListAlpha">
    <w:name w:val="List Alpha"/>
    <w:basedOn w:val="List"/>
    <w:rsid w:val="00D12EDF"/>
    <w:pPr>
      <w:numPr>
        <w:numId w:val="9"/>
      </w:numPr>
    </w:pPr>
  </w:style>
  <w:style w:type="paragraph" w:customStyle="1" w:styleId="ListAlpha2">
    <w:name w:val="List Alpha 2"/>
    <w:basedOn w:val="List2"/>
    <w:rsid w:val="00D12EDF"/>
    <w:pPr>
      <w:numPr>
        <w:numId w:val="8"/>
      </w:numPr>
    </w:pPr>
  </w:style>
  <w:style w:type="paragraph" w:styleId="List2">
    <w:name w:val="List 2"/>
    <w:basedOn w:val="BodyText"/>
    <w:rsid w:val="00D12EDF"/>
    <w:pPr>
      <w:tabs>
        <w:tab w:val="left" w:pos="680"/>
      </w:tabs>
      <w:spacing w:before="60" w:after="60"/>
      <w:ind w:left="680" w:hanging="340"/>
    </w:pPr>
  </w:style>
  <w:style w:type="paragraph" w:styleId="List3">
    <w:name w:val="List 3"/>
    <w:basedOn w:val="BodyText"/>
    <w:rsid w:val="00D12EDF"/>
    <w:pPr>
      <w:tabs>
        <w:tab w:val="left" w:pos="1021"/>
      </w:tabs>
      <w:spacing w:before="60" w:after="60"/>
      <w:ind w:left="1020" w:hanging="340"/>
    </w:pPr>
  </w:style>
  <w:style w:type="paragraph" w:styleId="List4">
    <w:name w:val="List 4"/>
    <w:basedOn w:val="BodyText"/>
    <w:rsid w:val="00D12EDF"/>
    <w:pPr>
      <w:tabs>
        <w:tab w:val="left" w:pos="1361"/>
      </w:tabs>
      <w:spacing w:before="60" w:after="60"/>
      <w:ind w:left="1361" w:hanging="340"/>
    </w:pPr>
  </w:style>
  <w:style w:type="paragraph" w:styleId="List5">
    <w:name w:val="List 5"/>
    <w:basedOn w:val="BodyText"/>
    <w:rsid w:val="00D12EDF"/>
    <w:pPr>
      <w:tabs>
        <w:tab w:val="left" w:pos="1701"/>
      </w:tabs>
      <w:spacing w:before="60" w:after="60"/>
      <w:ind w:left="1701" w:hanging="340"/>
    </w:pPr>
  </w:style>
  <w:style w:type="paragraph" w:styleId="ListBullet3">
    <w:name w:val="List Bullet 3"/>
    <w:basedOn w:val="List3"/>
    <w:rsid w:val="00D12EDF"/>
    <w:pPr>
      <w:numPr>
        <w:numId w:val="15"/>
      </w:numPr>
      <w:tabs>
        <w:tab w:val="clear" w:pos="1021"/>
      </w:tabs>
      <w:ind w:left="1037" w:hanging="357"/>
    </w:pPr>
  </w:style>
  <w:style w:type="paragraph" w:styleId="ListBullet4">
    <w:name w:val="List Bullet 4"/>
    <w:basedOn w:val="List4"/>
    <w:rsid w:val="00D12EDF"/>
    <w:pPr>
      <w:numPr>
        <w:numId w:val="3"/>
      </w:numPr>
    </w:pPr>
  </w:style>
  <w:style w:type="paragraph" w:styleId="ListBullet5">
    <w:name w:val="List Bullet 5"/>
    <w:basedOn w:val="List5"/>
    <w:rsid w:val="00D12EDF"/>
    <w:pPr>
      <w:numPr>
        <w:numId w:val="4"/>
      </w:numPr>
    </w:pPr>
  </w:style>
  <w:style w:type="paragraph" w:styleId="ListContinue2">
    <w:name w:val="List Continue 2"/>
    <w:basedOn w:val="List2"/>
    <w:rsid w:val="00D12EDF"/>
    <w:pPr>
      <w:ind w:firstLine="0"/>
    </w:pPr>
  </w:style>
  <w:style w:type="paragraph" w:styleId="ListContinue3">
    <w:name w:val="List Continue 3"/>
    <w:basedOn w:val="List3"/>
    <w:rsid w:val="00D12EDF"/>
    <w:pPr>
      <w:ind w:left="1021" w:firstLine="0"/>
    </w:pPr>
  </w:style>
  <w:style w:type="paragraph" w:styleId="ListContinue4">
    <w:name w:val="List Continue 4"/>
    <w:basedOn w:val="List4"/>
    <w:rsid w:val="00D12EDF"/>
    <w:pPr>
      <w:ind w:firstLine="0"/>
    </w:pPr>
  </w:style>
  <w:style w:type="paragraph" w:styleId="ListContinue5">
    <w:name w:val="List Continue 5"/>
    <w:basedOn w:val="List5"/>
    <w:rsid w:val="00D12EDF"/>
    <w:pPr>
      <w:ind w:firstLine="0"/>
    </w:pPr>
  </w:style>
  <w:style w:type="paragraph" w:styleId="ListNumber3">
    <w:name w:val="List Number 3"/>
    <w:basedOn w:val="List3"/>
    <w:rsid w:val="00D12EDF"/>
    <w:pPr>
      <w:numPr>
        <w:numId w:val="5"/>
      </w:numPr>
    </w:pPr>
  </w:style>
  <w:style w:type="paragraph" w:styleId="ListNumber4">
    <w:name w:val="List Number 4"/>
    <w:basedOn w:val="List4"/>
    <w:rsid w:val="00D12EDF"/>
    <w:pPr>
      <w:numPr>
        <w:numId w:val="6"/>
      </w:numPr>
    </w:pPr>
  </w:style>
  <w:style w:type="paragraph" w:styleId="ListNumber5">
    <w:name w:val="List Number 5"/>
    <w:basedOn w:val="List5"/>
    <w:rsid w:val="00D12EDF"/>
    <w:pPr>
      <w:numPr>
        <w:numId w:val="7"/>
      </w:numPr>
    </w:pPr>
  </w:style>
  <w:style w:type="paragraph" w:styleId="BlockText">
    <w:name w:val="Block Text"/>
    <w:basedOn w:val="Normal"/>
    <w:rsid w:val="00D12EDF"/>
    <w:pPr>
      <w:spacing w:after="120"/>
      <w:ind w:left="1440" w:right="1440"/>
    </w:pPr>
  </w:style>
  <w:style w:type="character" w:customStyle="1" w:styleId="Superscript">
    <w:name w:val="Superscript"/>
    <w:basedOn w:val="DefaultParagraphFont"/>
    <w:rsid w:val="00D12EDF"/>
    <w:rPr>
      <w:sz w:val="16"/>
      <w:vertAlign w:val="superscript"/>
    </w:rPr>
  </w:style>
  <w:style w:type="character" w:customStyle="1" w:styleId="Symbols">
    <w:name w:val="Symbols"/>
    <w:basedOn w:val="DefaultParagraphFont"/>
    <w:rsid w:val="00D12EDF"/>
    <w:rPr>
      <w:rFonts w:ascii="Symbol" w:hAnsi="Symbol"/>
    </w:rPr>
  </w:style>
  <w:style w:type="character" w:customStyle="1" w:styleId="MenuOptions">
    <w:name w:val="Menu Options"/>
    <w:basedOn w:val="DefaultParagraphFont"/>
    <w:rsid w:val="00D12EDF"/>
    <w:rPr>
      <w:rFonts w:ascii="Arial Narrow" w:hAnsi="Arial Narrow"/>
      <w:smallCaps/>
    </w:rPr>
  </w:style>
  <w:style w:type="character" w:customStyle="1" w:styleId="Buttons">
    <w:name w:val="Buttons"/>
    <w:basedOn w:val="DefaultParagraphFont"/>
    <w:rsid w:val="00D12EDF"/>
    <w:rPr>
      <w:b/>
    </w:rPr>
  </w:style>
  <w:style w:type="character" w:customStyle="1" w:styleId="Underlined">
    <w:name w:val="Underlined"/>
    <w:basedOn w:val="DefaultParagraphFont"/>
    <w:rsid w:val="00D12EDF"/>
    <w:rPr>
      <w:u w:val="single"/>
    </w:rPr>
  </w:style>
  <w:style w:type="paragraph" w:customStyle="1" w:styleId="TableBodyTextRight">
    <w:name w:val="Table Body Text Right"/>
    <w:basedOn w:val="TableBodyText"/>
    <w:rsid w:val="00D12EDF"/>
    <w:pPr>
      <w:widowControl w:val="0"/>
      <w:autoSpaceDE w:val="0"/>
      <w:autoSpaceDN w:val="0"/>
      <w:adjustRightInd w:val="0"/>
      <w:jc w:val="right"/>
    </w:pPr>
    <w:rPr>
      <w:rFonts w:cs="Arial"/>
      <w:szCs w:val="18"/>
    </w:rPr>
  </w:style>
  <w:style w:type="paragraph" w:customStyle="1" w:styleId="CopyrightText">
    <w:name w:val="Copyright Text"/>
    <w:basedOn w:val="BodyText"/>
    <w:rsid w:val="00D12EDF"/>
    <w:rPr>
      <w:sz w:val="18"/>
    </w:rPr>
  </w:style>
  <w:style w:type="paragraph" w:customStyle="1" w:styleId="BodySmallRight">
    <w:name w:val="Body Small Right"/>
    <w:basedOn w:val="BodyTextRight"/>
    <w:rsid w:val="00D12EDF"/>
    <w:rPr>
      <w:sz w:val="18"/>
      <w:szCs w:val="18"/>
    </w:rPr>
  </w:style>
  <w:style w:type="paragraph" w:customStyle="1" w:styleId="MarginEdition">
    <w:name w:val="Margin Edition"/>
    <w:basedOn w:val="MarginNote"/>
    <w:rsid w:val="00D12EDF"/>
    <w:pPr>
      <w:spacing w:before="0" w:after="0"/>
    </w:pPr>
    <w:rPr>
      <w:rFonts w:ascii="Times New Roman" w:hAnsi="Times New Roman"/>
      <w:color w:val="999999"/>
    </w:rPr>
  </w:style>
  <w:style w:type="paragraph" w:customStyle="1" w:styleId="Spacer">
    <w:name w:val="Spacer"/>
    <w:basedOn w:val="Normal"/>
    <w:rsid w:val="00D12EDF"/>
    <w:rPr>
      <w:sz w:val="2"/>
      <w:szCs w:val="2"/>
    </w:rPr>
  </w:style>
  <w:style w:type="character" w:customStyle="1" w:styleId="Small">
    <w:name w:val="Small"/>
    <w:basedOn w:val="DefaultParagraphFont"/>
    <w:rsid w:val="00D12EDF"/>
    <w:rPr>
      <w:sz w:val="16"/>
    </w:rPr>
  </w:style>
  <w:style w:type="paragraph" w:customStyle="1" w:styleId="WideTable">
    <w:name w:val="Wide Table"/>
    <w:basedOn w:val="Normal"/>
    <w:rsid w:val="00D12EDF"/>
    <w:pPr>
      <w:ind w:left="-1418"/>
    </w:pPr>
    <w:rPr>
      <w:sz w:val="2"/>
      <w:szCs w:val="2"/>
    </w:rPr>
  </w:style>
  <w:style w:type="character" w:styleId="PageNumber">
    <w:name w:val="page number"/>
    <w:basedOn w:val="DefaultParagraphFont"/>
    <w:rsid w:val="00D12EDF"/>
  </w:style>
  <w:style w:type="paragraph" w:styleId="Quote">
    <w:name w:val="Quote"/>
    <w:basedOn w:val="Heading1"/>
    <w:link w:val="QuoteChar"/>
    <w:qFormat/>
    <w:rsid w:val="00D12EDF"/>
    <w:rPr>
      <w:b w:val="0"/>
      <w:sz w:val="72"/>
      <w:szCs w:val="72"/>
      <w:lang w:val="en-NZ"/>
    </w:rPr>
  </w:style>
  <w:style w:type="character" w:customStyle="1" w:styleId="QuoteChar">
    <w:name w:val="Quote Char"/>
    <w:basedOn w:val="DefaultParagraphFont"/>
    <w:link w:val="Quote"/>
    <w:rsid w:val="00D12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EDF"/>
    <w:pPr>
      <w:pageBreakBefore/>
    </w:pPr>
  </w:style>
  <w:style w:type="paragraph" w:customStyle="1" w:styleId="Border">
    <w:name w:val="Border"/>
    <w:basedOn w:val="Normal"/>
    <w:qFormat/>
    <w:rsid w:val="00D12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EDF"/>
    <w:rPr>
      <w:b/>
      <w:bCs/>
      <w:i/>
      <w:iCs/>
      <w:color w:val="auto"/>
    </w:rPr>
  </w:style>
  <w:style w:type="paragraph" w:styleId="IntenseQuote">
    <w:name w:val="Intense Quote"/>
    <w:basedOn w:val="Normal"/>
    <w:next w:val="Normal"/>
    <w:link w:val="IntenseQuoteChar"/>
    <w:uiPriority w:val="30"/>
    <w:qFormat/>
    <w:rsid w:val="00D12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EDF"/>
    <w:rPr>
      <w:smallCaps/>
      <w:color w:val="auto"/>
      <w:u w:val="single"/>
    </w:rPr>
  </w:style>
  <w:style w:type="character" w:styleId="IntenseReference">
    <w:name w:val="Intense Reference"/>
    <w:basedOn w:val="DefaultParagraphFont"/>
    <w:uiPriority w:val="32"/>
    <w:qFormat/>
    <w:rsid w:val="00D12EDF"/>
    <w:rPr>
      <w:b/>
      <w:bCs/>
      <w:smallCaps/>
      <w:color w:val="auto"/>
      <w:spacing w:val="5"/>
      <w:u w:val="single"/>
    </w:rPr>
  </w:style>
  <w:style w:type="paragraph" w:customStyle="1" w:styleId="2ColumnHeading">
    <w:name w:val="2Column Heading"/>
    <w:basedOn w:val="BodyText"/>
    <w:qFormat/>
    <w:rsid w:val="00D12EDF"/>
    <w:pPr>
      <w:spacing w:after="60"/>
      <w:ind w:left="-2268"/>
    </w:pPr>
    <w:rPr>
      <w:b/>
    </w:rPr>
  </w:style>
  <w:style w:type="paragraph" w:customStyle="1" w:styleId="Heading1TOC">
    <w:name w:val="Heading1 TOC"/>
    <w:basedOn w:val="Normal"/>
    <w:qFormat/>
    <w:rsid w:val="00D12EDF"/>
    <w:pPr>
      <w:spacing w:before="240" w:after="120"/>
    </w:pPr>
    <w:rPr>
      <w:rFonts w:ascii="Times New Roman" w:hAnsi="Times New Roman"/>
      <w:b/>
      <w:sz w:val="32"/>
    </w:rPr>
  </w:style>
  <w:style w:type="paragraph" w:customStyle="1" w:styleId="Heading2TOC">
    <w:name w:val="Heading2 TOC"/>
    <w:basedOn w:val="Normal"/>
    <w:qFormat/>
    <w:rsid w:val="00D12EDF"/>
    <w:pPr>
      <w:spacing w:before="240" w:after="60"/>
    </w:pPr>
    <w:rPr>
      <w:rFonts w:ascii="Times New Roman" w:hAnsi="Times New Roman"/>
      <w:b/>
      <w:sz w:val="28"/>
    </w:rPr>
  </w:style>
  <w:style w:type="character" w:customStyle="1" w:styleId="Underline">
    <w:name w:val="Underline"/>
    <w:basedOn w:val="DefaultParagraphFont"/>
    <w:qFormat/>
    <w:rsid w:val="00D12EDF"/>
    <w:rPr>
      <w:u w:val="single"/>
    </w:rPr>
  </w:style>
  <w:style w:type="character" w:customStyle="1" w:styleId="BoldandItalics">
    <w:name w:val="Bold and Italics"/>
    <w:qFormat/>
    <w:rsid w:val="00D12EDF"/>
    <w:rPr>
      <w:b/>
      <w:i/>
      <w:u w:val="none"/>
    </w:rPr>
  </w:style>
  <w:style w:type="paragraph" w:styleId="BalloonText">
    <w:name w:val="Balloon Text"/>
    <w:basedOn w:val="Normal"/>
    <w:link w:val="BalloonTextChar"/>
    <w:rsid w:val="00D12EDF"/>
    <w:rPr>
      <w:rFonts w:ascii="Tahoma" w:hAnsi="Tahoma" w:cs="Tahoma"/>
      <w:sz w:val="16"/>
      <w:szCs w:val="16"/>
    </w:rPr>
  </w:style>
  <w:style w:type="character" w:customStyle="1" w:styleId="BalloonTextChar">
    <w:name w:val="Balloon Text Char"/>
    <w:basedOn w:val="DefaultParagraphFont"/>
    <w:link w:val="BalloonText"/>
    <w:rsid w:val="00D12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E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EDF"/>
    <w:rPr>
      <w:b/>
      <w:color w:val="660033"/>
      <w:spacing w:val="0"/>
    </w:rPr>
  </w:style>
  <w:style w:type="paragraph" w:customStyle="1" w:styleId="Nameditemlist">
    <w:name w:val="Named item list"/>
    <w:basedOn w:val="BodyText"/>
    <w:qFormat/>
    <w:rsid w:val="00D12E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1618</Words>
  <Characters>10814</Characters>
  <Application>Microsoft Office Word</Application>
  <DocSecurity>0</DocSecurity>
  <Lines>409</Lines>
  <Paragraphs>217</Paragraphs>
  <ScaleCrop>false</ScaleCrop>
  <Company>Author-it Software Corporation Ltd.</Company>
  <LinksUpToDate>false</LinksUpToDate>
  <CharactersWithSpaces>12376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HLTEN519B Administer and monitor intravenous medication in the nursing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2012-10-05T12:47:00Z</dcterms:created>
  <dcterms:modified xsi:type="dcterms:W3CDTF">2012-10-05T12:47:00Z</dcterms:modified>
</cp:coreProperties>
</file>