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B56" w:rsidP="00766B56">
      <w:pPr>
        <w:pStyle w:val="Title"/>
      </w:pPr>
      <w:r>
        <w:fldChar w:fldCharType="begin"/>
      </w:r>
      <w:r>
        <w:instrText xml:space="preserve"> TITLE   \* MERGEFORMAT </w:instrText>
      </w:r>
      <w:r>
        <w:fldChar w:fldCharType="separate"/>
      </w:r>
      <w:r>
        <w:t>HLTEN407B Administer a range of medications</w:t>
      </w:r>
      <w:r>
        <w:fldChar w:fldCharType="end"/>
      </w:r>
    </w:p>
    <w:p w:rsidR="00766B56" w:rsidP="00766B56">
      <w:pPr>
        <w:pStyle w:val="Version"/>
        <w:sectPr w:rsidSect="00833E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E1C" w:rsidP="00833E1C">
      <w:pPr>
        <w:pStyle w:val="SuperHeading"/>
      </w:pPr>
      <w:r w:rsidRPr="00833E1C">
        <w:t>HLTEN407B Administer a range of medications</w:t>
      </w:r>
    </w:p>
    <w:p w:rsidR="00000000" w:rsidRPr="00833E1C" w:rsidP="00833E1C">
      <w:pPr>
        <w:pStyle w:val="Heading1"/>
      </w:pPr>
      <w:bookmarkStart w:id="1" w:name="O_271151"/>
      <w:bookmarkEnd w:id="1"/>
      <w:r w:rsidRPr="00833E1C">
        <w:t>Modification History</w:t>
      </w:r>
    </w:p>
    <w:p w:rsidR="00000000" w:rsidRPr="00833E1C" w:rsidP="00833E1C">
      <w:pPr>
        <w:pStyle w:val="BodyText"/>
      </w:pPr>
      <w:r w:rsidRPr="00833E1C">
        <w:t>Not Applicable</w:t>
      </w:r>
    </w:p>
    <w:p w:rsidR="00000000" w:rsidRPr="00833E1C" w:rsidP="00833E1C">
      <w:pPr>
        <w:pStyle w:val="AllowPageBreak"/>
      </w:pPr>
    </w:p>
    <w:p w:rsidR="00000000" w:rsidRPr="00833E1C" w:rsidP="00833E1C">
      <w:pPr>
        <w:pStyle w:val="Heading1"/>
      </w:pPr>
      <w:bookmarkStart w:id="2" w:name="O_205787"/>
      <w:bookmarkEnd w:id="2"/>
      <w:r w:rsidRPr="00833E1C">
        <w:t>Unit Descriptor</w:t>
      </w:r>
    </w:p>
    <w:tbl>
      <w:tblPr>
        <w:tblW w:w="0" w:type="auto"/>
        <w:tblLayout w:type="fixed"/>
        <w:tblCellMar>
          <w:left w:w="62" w:type="dxa"/>
          <w:right w:w="62" w:type="dxa"/>
        </w:tblCellMar>
        <w:tblLook w:val="0000"/>
      </w:tblPr>
      <w:tblGrid>
        <w:gridCol w:w="3331"/>
        <w:gridCol w:w="5225"/>
      </w:tblGrid>
      <w:tr w:rsidTr="00766B56">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 xml:space="preserve">This unit of competency describes the skills and knowledge required of Enrolled/Division 2 Nurses to administer </w:t>
            </w:r>
            <w:r w:rsidRPr="00833E1C">
              <w:t>a limited range of medications</w:t>
            </w:r>
          </w:p>
        </w:tc>
      </w:tr>
    </w:tbl>
    <w:p w:rsidR="00766B56" w:rsidP="00833E1C">
      <w:pPr>
        <w:pStyle w:val="BodyText"/>
      </w:pPr>
    </w:p>
    <w:p w:rsidR="00766B56" w:rsidP="00833E1C">
      <w:pPr>
        <w:pStyle w:val="BodyText"/>
      </w:pPr>
    </w:p>
    <w:p w:rsidR="00000000" w:rsidRPr="00833E1C" w:rsidP="00833E1C">
      <w:pPr>
        <w:pStyle w:val="Heading1"/>
      </w:pPr>
      <w:bookmarkStart w:id="3" w:name="O_205790"/>
      <w:bookmarkEnd w:id="3"/>
      <w:r w:rsidRPr="00833E1C">
        <w:t>Application of the Unit</w:t>
      </w:r>
    </w:p>
    <w:tbl>
      <w:tblPr>
        <w:tblW w:w="0" w:type="auto"/>
        <w:tblLayout w:type="fixed"/>
        <w:tblCellMar>
          <w:left w:w="62" w:type="dxa"/>
          <w:right w:w="62" w:type="dxa"/>
        </w:tblCellMar>
        <w:tblLook w:val="0000"/>
      </w:tblPr>
      <w:tblGrid>
        <w:gridCol w:w="3329"/>
        <w:gridCol w:w="5227"/>
      </w:tblGrid>
      <w:tr w:rsidTr="00766B56">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The knowledge and skills described in this competency unit are to be applied within jurisdictional nursing and midwifery regulatory authority legislative requirements</w:t>
            </w:r>
          </w:p>
          <w:p w:rsidR="00000000" w:rsidRPr="00833E1C" w:rsidP="00833E1C">
            <w:pPr>
              <w:pStyle w:val="BodyText"/>
            </w:pPr>
            <w:r w:rsidRPr="00833E1C">
              <w:t>Enrolled/Division 2 nursing work is to be carried out in consultation/collaboration with registered nurses and under direct or indirect supervisory arrangements in line with jurisdictional regulatory requirements</w:t>
            </w:r>
          </w:p>
        </w:tc>
      </w:tr>
    </w:tbl>
    <w:p w:rsidR="00766B56" w:rsidP="00833E1C">
      <w:pPr>
        <w:pStyle w:val="BodyText"/>
      </w:pPr>
    </w:p>
    <w:p w:rsidR="00766B56" w:rsidP="00833E1C">
      <w:pPr>
        <w:pStyle w:val="BodyText"/>
      </w:pPr>
    </w:p>
    <w:p w:rsidR="00000000" w:rsidRPr="00833E1C" w:rsidP="00833E1C">
      <w:pPr>
        <w:pStyle w:val="Heading1"/>
      </w:pPr>
      <w:bookmarkStart w:id="4" w:name="O_279411"/>
      <w:bookmarkEnd w:id="4"/>
      <w:r w:rsidRPr="00833E1C">
        <w:t xml:space="preserve">Licensing/Regulatory </w:t>
      </w:r>
      <w:r w:rsidRPr="00833E1C">
        <w:t>Information</w:t>
      </w:r>
    </w:p>
    <w:p w:rsidR="00000000" w:rsidRPr="00833E1C" w:rsidP="00833E1C">
      <w:pPr>
        <w:pStyle w:val="BodyText"/>
      </w:pPr>
      <w:r w:rsidRPr="00833E1C">
        <w:t>Not Applicable</w:t>
      </w:r>
    </w:p>
    <w:p w:rsidR="00000000" w:rsidRPr="00833E1C" w:rsidP="00833E1C">
      <w:pPr>
        <w:pStyle w:val="AllowPageBreak"/>
      </w:pPr>
    </w:p>
    <w:p w:rsidR="00000000" w:rsidRPr="00833E1C" w:rsidP="00833E1C">
      <w:pPr>
        <w:pStyle w:val="Heading1"/>
      </w:pPr>
      <w:bookmarkStart w:id="5" w:name="O_205789"/>
      <w:bookmarkEnd w:id="5"/>
      <w:r w:rsidRPr="00833E1C">
        <w:t>Pre-Requisites</w:t>
      </w:r>
    </w:p>
    <w:tbl>
      <w:tblPr>
        <w:tblW w:w="0" w:type="auto"/>
        <w:tblLayout w:type="fixed"/>
        <w:tblCellMar>
          <w:left w:w="62" w:type="dxa"/>
          <w:right w:w="62" w:type="dxa"/>
        </w:tblCellMar>
        <w:tblLook w:val="0000"/>
      </w:tblPr>
      <w:tblGrid>
        <w:gridCol w:w="3219"/>
        <w:gridCol w:w="5337"/>
      </w:tblGrid>
      <w:tr w:rsidTr="00766B56">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 xml:space="preserve">This unit must be assessed after successful achievement of pre-requisites: </w:t>
            </w:r>
          </w:p>
          <w:p w:rsidR="00000000" w:rsidRPr="00833E1C" w:rsidP="00833E1C">
            <w:pPr>
              <w:pStyle w:val="ListBullet"/>
            </w:pPr>
            <w:r w:rsidRPr="00833E1C">
              <w:t>HLTAP401B Confirm physical health status</w:t>
            </w:r>
          </w:p>
          <w:p w:rsidR="00000000" w:rsidRPr="00833E1C" w:rsidP="00833E1C">
            <w:pPr>
              <w:pStyle w:val="ListBullet"/>
            </w:pPr>
            <w:r w:rsidRPr="00833E1C">
              <w:t>HLTEN509B Apply legal and ethical parameters to nursing practice</w:t>
            </w:r>
          </w:p>
          <w:p w:rsidR="00000000" w:rsidRPr="00833E1C" w:rsidP="00833E1C">
            <w:pPr>
              <w:pStyle w:val="ListBullet"/>
            </w:pPr>
            <w:r w:rsidRPr="00833E1C">
              <w:t xml:space="preserve">HLTEN403B Undertake basic client assessment </w:t>
            </w:r>
          </w:p>
        </w:tc>
      </w:tr>
    </w:tbl>
    <w:p w:rsidR="00766B56" w:rsidP="00833E1C">
      <w:pPr>
        <w:pStyle w:val="BodyText"/>
      </w:pPr>
    </w:p>
    <w:p w:rsidR="00766B56" w:rsidP="00833E1C">
      <w:pPr>
        <w:pStyle w:val="BodyText"/>
      </w:pPr>
    </w:p>
    <w:p w:rsidR="00000000" w:rsidRPr="00833E1C" w:rsidP="00833E1C">
      <w:pPr>
        <w:pStyle w:val="Heading1"/>
      </w:pPr>
      <w:bookmarkStart w:id="6" w:name="O_205788"/>
      <w:bookmarkEnd w:id="6"/>
      <w:r w:rsidRPr="00833E1C">
        <w:t>Employability Skills Information</w:t>
      </w:r>
    </w:p>
    <w:tbl>
      <w:tblPr>
        <w:tblW w:w="0" w:type="auto"/>
        <w:tblLayout w:type="fixed"/>
        <w:tblCellMar>
          <w:left w:w="62" w:type="dxa"/>
          <w:right w:w="62" w:type="dxa"/>
        </w:tblCellMar>
        <w:tblLook w:val="0000"/>
      </w:tblPr>
      <w:tblGrid>
        <w:gridCol w:w="3320"/>
        <w:gridCol w:w="5236"/>
      </w:tblGrid>
      <w:tr w:rsidTr="00766B5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This unit contains Employability Skills</w:t>
            </w:r>
          </w:p>
        </w:tc>
      </w:tr>
    </w:tbl>
    <w:p w:rsidR="00766B56" w:rsidP="00833E1C">
      <w:pPr>
        <w:pStyle w:val="BodyText"/>
      </w:pPr>
    </w:p>
    <w:p w:rsidR="00766B56" w:rsidP="00833E1C">
      <w:pPr>
        <w:pStyle w:val="BodyText"/>
      </w:pPr>
    </w:p>
    <w:p w:rsidR="00000000" w:rsidRPr="00833E1C" w:rsidP="00833E1C">
      <w:pPr>
        <w:pStyle w:val="Heading1"/>
      </w:pPr>
      <w:bookmarkStart w:id="7" w:name="O_289197"/>
      <w:bookmarkEnd w:id="7"/>
      <w:r w:rsidRPr="00833E1C">
        <w:t>Elements and Performance Criteria Pre-Content</w:t>
      </w:r>
    </w:p>
    <w:tbl>
      <w:tblPr>
        <w:tblW w:w="0" w:type="auto"/>
        <w:tblLayout w:type="fixed"/>
        <w:tblCellMar>
          <w:left w:w="62" w:type="dxa"/>
          <w:right w:w="62" w:type="dxa"/>
        </w:tblCellMar>
        <w:tblLook w:val="0000"/>
      </w:tblPr>
      <w:tblGrid>
        <w:gridCol w:w="3369"/>
        <w:gridCol w:w="5702"/>
      </w:tblGrid>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 xml:space="preserve">The Performance Criteria specify the level of performance required to demonstrate achievement of the Element. </w:t>
            </w:r>
          </w:p>
        </w:tc>
      </w:tr>
    </w:tbl>
    <w:p w:rsidR="00000000" w:rsidRPr="00833E1C" w:rsidP="00833E1C">
      <w:pPr>
        <w:pStyle w:val="BodyText"/>
      </w:pPr>
    </w:p>
    <w:p w:rsidR="00000000" w:rsidRPr="00833E1C" w:rsidP="00833E1C">
      <w:pPr>
        <w:pStyle w:val="AllowPageBreak"/>
      </w:pPr>
    </w:p>
    <w:p w:rsidR="00000000" w:rsidRPr="00833E1C" w:rsidP="00833E1C">
      <w:pPr>
        <w:pStyle w:val="Heading1"/>
      </w:pPr>
      <w:bookmarkStart w:id="8" w:name="O_235864"/>
      <w:bookmarkEnd w:id="8"/>
      <w:r w:rsidRPr="00833E1C">
        <w:t>Elements and Per</w:t>
      </w:r>
      <w:r w:rsidRPr="00833E1C">
        <w:t>formance Criteria</w:t>
      </w:r>
    </w:p>
    <w:tbl>
      <w:tblPr>
        <w:tblW w:w="0" w:type="auto"/>
        <w:tblLayout w:type="fixed"/>
        <w:tblCellMar>
          <w:left w:w="62" w:type="dxa"/>
          <w:right w:w="62" w:type="dxa"/>
        </w:tblCellMar>
        <w:tblLook w:val="0000"/>
      </w:tblPr>
      <w:tblGrid>
        <w:gridCol w:w="3369"/>
        <w:gridCol w:w="5702"/>
      </w:tblGrid>
      <w:tr w:rsidTr="00766B5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SpecialBold"/>
              </w:rPr>
              <w:t>PERFORMANCE CRITERIA</w:t>
            </w: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E1C">
            <w:pPr>
              <w:pStyle w:val="List"/>
              <w:rPr>
                <w:lang w:val="en-NZ"/>
              </w:rPr>
            </w:pPr>
            <w:r w:rsidRPr="00833E1C">
              <w:t>1.</w:t>
            </w:r>
            <w:r w:rsidRPr="00833E1C">
              <w:tab/>
              <w:t xml:space="preserve">Minimise </w:t>
            </w:r>
            <w:r w:rsidRPr="00833E1C">
              <w:rPr>
                <w:rStyle w:val="Emphasis"/>
              </w:rPr>
              <w:t>potential risk</w:t>
            </w:r>
            <w:r w:rsidRPr="00833E1C">
              <w:t xml:space="preserve"> to safe administration of medications</w:t>
            </w:r>
          </w:p>
        </w:tc>
        <w:tc>
          <w:tcPr>
            <w:tcW w:w="5702"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1.1</w:t>
            </w:r>
            <w:r w:rsidRPr="00833E1C">
              <w:tab/>
              <w:t xml:space="preserve">Check expiry dates of medication prior to administration </w:t>
            </w:r>
          </w:p>
          <w:p w:rsidR="00000000" w:rsidRPr="00833E1C" w:rsidP="00833E1C">
            <w:pPr>
              <w:pStyle w:val="BodyText"/>
            </w:pPr>
            <w:r w:rsidRPr="00833E1C">
              <w:t>1.2</w:t>
            </w:r>
            <w:r w:rsidRPr="00833E1C">
              <w:tab/>
            </w:r>
            <w:r w:rsidRPr="00833E1C">
              <w:t xml:space="preserve">Check client medication chart in relation to timing and route of medication to be administered </w:t>
            </w:r>
          </w:p>
          <w:p w:rsidR="00000000" w:rsidRPr="00833E1C" w:rsidP="00833E1C">
            <w:pPr>
              <w:pStyle w:val="BodyText"/>
            </w:pPr>
            <w:r w:rsidRPr="00833E1C">
              <w:t>1.3</w:t>
            </w:r>
            <w:r w:rsidRPr="00833E1C">
              <w:tab/>
              <w:t>Raise issues related to drug and poison administration with the registered nurse or another appropriate person if the registered nurse is not available</w:t>
            </w:r>
          </w:p>
          <w:p w:rsidR="00000000" w:rsidRPr="00833E1C" w:rsidP="00833E1C">
            <w:pPr>
              <w:pStyle w:val="BodyText"/>
            </w:pPr>
            <w:r w:rsidRPr="00833E1C">
              <w:t>1.4</w:t>
            </w:r>
            <w:r w:rsidRPr="00833E1C">
              <w:tab/>
            </w:r>
            <w:r w:rsidRPr="00833E1C">
              <w:t>Check for and identify common contraindications and adverse reactions of prescribed medications and refer to the registered nurse</w:t>
            </w:r>
          </w:p>
          <w:p w:rsidR="00000000" w:rsidRPr="00833E1C" w:rsidP="00833E1C">
            <w:pPr>
              <w:pStyle w:val="BodyText"/>
            </w:pPr>
            <w:r w:rsidRPr="00833E1C">
              <w:t>1.5</w:t>
            </w:r>
            <w:r w:rsidRPr="00833E1C">
              <w:tab/>
              <w:t>Confirm client identity and check for any known allergies</w:t>
            </w:r>
          </w:p>
          <w:p w:rsidR="00000000" w:rsidP="00833E1C">
            <w:pPr>
              <w:pStyle w:val="BodyText"/>
              <w:rPr>
                <w:lang w:val="en-NZ"/>
              </w:rPr>
            </w:pPr>
            <w:r w:rsidRPr="00833E1C">
              <w:t>1.6</w:t>
            </w:r>
            <w:r w:rsidRPr="00833E1C">
              <w:tab/>
              <w:t>Ensure infection control methods are applied correctly</w:t>
            </w: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E1C">
            <w:pPr>
              <w:pStyle w:val="List"/>
              <w:rPr>
                <w:lang w:val="en-NZ"/>
              </w:rPr>
            </w:pPr>
            <w:r w:rsidRPr="00833E1C">
              <w:t>2.</w:t>
            </w:r>
            <w:r w:rsidRPr="00833E1C">
              <w:tab/>
              <w:t>Prepare for administration of non-injectable medications within scope of Enrolled/Division 2 nurse</w:t>
            </w:r>
          </w:p>
        </w:tc>
        <w:tc>
          <w:tcPr>
            <w:tcW w:w="5702"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2.1</w:t>
            </w:r>
            <w:r w:rsidRPr="00833E1C">
              <w:tab/>
              <w:t xml:space="preserve">Explain the process of </w:t>
            </w:r>
            <w:r w:rsidRPr="00833E1C">
              <w:rPr>
                <w:rStyle w:val="Emphasis"/>
              </w:rPr>
              <w:t>medication administration</w:t>
            </w:r>
            <w:r w:rsidRPr="00833E1C">
              <w:t xml:space="preserve"> to the client and ensure their readiness </w:t>
            </w:r>
          </w:p>
          <w:p w:rsidR="00000000" w:rsidRPr="00833E1C" w:rsidP="00833E1C">
            <w:pPr>
              <w:pStyle w:val="BodyText"/>
            </w:pPr>
            <w:r w:rsidRPr="00833E1C">
              <w:t>2.2</w:t>
            </w:r>
            <w:r w:rsidRPr="00833E1C">
              <w:tab/>
              <w:t>Position the client appropriately prior to administrati</w:t>
            </w:r>
            <w:r w:rsidRPr="00833E1C">
              <w:t>on of medication</w:t>
            </w:r>
          </w:p>
          <w:p w:rsidR="00000000" w:rsidRPr="00833E1C" w:rsidP="00833E1C">
            <w:pPr>
              <w:pStyle w:val="BodyText"/>
            </w:pPr>
            <w:r w:rsidRPr="00833E1C">
              <w:t>2.3</w:t>
            </w:r>
            <w:r w:rsidRPr="00833E1C">
              <w:tab/>
              <w:t xml:space="preserve">Correctly identify administration route for each medication to be administered, using appropriate </w:t>
            </w:r>
            <w:r w:rsidRPr="00833E1C">
              <w:rPr>
                <w:rStyle w:val="Emphasis"/>
              </w:rPr>
              <w:t>terminology</w:t>
            </w:r>
          </w:p>
          <w:p w:rsidR="00000000" w:rsidRPr="00833E1C" w:rsidP="00833E1C">
            <w:pPr>
              <w:pStyle w:val="BodyText"/>
            </w:pPr>
            <w:r w:rsidRPr="00833E1C">
              <w:t>2.4</w:t>
            </w:r>
            <w:r w:rsidRPr="00833E1C">
              <w:tab/>
              <w:t>Consider the effect of commonly used medications on the body prior to medication administration</w:t>
            </w:r>
          </w:p>
          <w:p w:rsidR="00000000" w:rsidRPr="00833E1C" w:rsidP="00833E1C">
            <w:pPr>
              <w:pStyle w:val="BodyText"/>
            </w:pPr>
            <w:r w:rsidRPr="00833E1C">
              <w:t>2.5</w:t>
            </w:r>
            <w:r w:rsidRPr="00833E1C">
              <w:tab/>
              <w:t>Prepare medications i</w:t>
            </w:r>
            <w:r w:rsidRPr="00833E1C">
              <w:t>n accordance with legislative requirements and organisation guidelines</w:t>
            </w:r>
          </w:p>
          <w:p w:rsidR="00000000" w:rsidRPr="00833E1C" w:rsidP="00833E1C">
            <w:pPr>
              <w:pStyle w:val="BodyText"/>
            </w:pPr>
            <w:r w:rsidRPr="00833E1C">
              <w:t>2.6</w:t>
            </w:r>
            <w:r w:rsidRPr="00833E1C">
              <w:tab/>
              <w:t>Apply medication administration techniques and precautions specific to each client situation and as per medication orders</w:t>
            </w:r>
          </w:p>
          <w:p w:rsidR="00000000" w:rsidP="00833E1C">
            <w:pPr>
              <w:pStyle w:val="BodyText"/>
              <w:rPr>
                <w:lang w:val="en-NZ"/>
              </w:rPr>
            </w:pPr>
            <w:r w:rsidRPr="00833E1C">
              <w:t>2.7</w:t>
            </w:r>
            <w:r w:rsidRPr="00833E1C">
              <w:tab/>
              <w:t>Ensure medication is stored and disposed of in accordan</w:t>
            </w:r>
            <w:r w:rsidRPr="00833E1C">
              <w:t>ce with medical instructions and organisation policy and procedures</w:t>
            </w: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E1C">
            <w:pPr>
              <w:pStyle w:val="List"/>
              <w:rPr>
                <w:lang w:val="en-NZ"/>
              </w:rPr>
            </w:pPr>
            <w:r w:rsidRPr="00833E1C">
              <w:t>3.</w:t>
            </w:r>
            <w:r w:rsidRPr="00833E1C">
              <w:tab/>
              <w:t>Administer non-injectable medications within legal parameters</w:t>
            </w:r>
          </w:p>
        </w:tc>
        <w:tc>
          <w:tcPr>
            <w:tcW w:w="5702"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3.1</w:t>
            </w:r>
            <w:r w:rsidRPr="00833E1C">
              <w:tab/>
              <w:t>Administer non-injectable medications within scope of own role in line with the jurisdictional legislative requirem</w:t>
            </w:r>
            <w:r w:rsidRPr="00833E1C">
              <w:t>ents and organisation policy</w:t>
            </w:r>
          </w:p>
          <w:p w:rsidR="00000000" w:rsidRPr="00833E1C" w:rsidP="00833E1C">
            <w:pPr>
              <w:pStyle w:val="BodyText"/>
            </w:pPr>
            <w:r w:rsidRPr="00833E1C">
              <w:t>3.2</w:t>
            </w:r>
            <w:r w:rsidRPr="00833E1C">
              <w:tab/>
              <w:t>Ensure infection control principles are applied in the administration of non-injectable medication</w:t>
            </w:r>
          </w:p>
          <w:p w:rsidR="00000000" w:rsidP="00833E1C">
            <w:pPr>
              <w:pStyle w:val="BodyText"/>
              <w:rPr>
                <w:lang w:val="en-NZ"/>
              </w:rPr>
            </w:pPr>
            <w:r w:rsidRPr="00833E1C">
              <w:t>3.3</w:t>
            </w:r>
            <w:r w:rsidRPr="00833E1C">
              <w:tab/>
              <w:t>Store medications in a safe manner according to legislative requirements and organisation policy</w:t>
            </w: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E1C">
            <w:pPr>
              <w:pStyle w:val="List"/>
              <w:rPr>
                <w:lang w:val="en-NZ"/>
              </w:rPr>
            </w:pPr>
            <w:r w:rsidRPr="00833E1C">
              <w:t>4.</w:t>
            </w:r>
            <w:r w:rsidRPr="00833E1C">
              <w:tab/>
            </w:r>
            <w:r w:rsidRPr="00833E1C">
              <w:t>Respond appropriately to signs of pain</w:t>
            </w:r>
          </w:p>
        </w:tc>
        <w:tc>
          <w:tcPr>
            <w:tcW w:w="5702"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t>4.1</w:t>
            </w:r>
            <w:r w:rsidRPr="00833E1C">
              <w:tab/>
              <w:t xml:space="preserve">Identify cause of pain if possible </w:t>
            </w:r>
          </w:p>
          <w:p w:rsidR="00000000" w:rsidRPr="00833E1C" w:rsidP="00833E1C">
            <w:pPr>
              <w:pStyle w:val="BodyText"/>
            </w:pPr>
            <w:r w:rsidRPr="00833E1C">
              <w:t>4.2</w:t>
            </w:r>
            <w:r w:rsidRPr="00833E1C">
              <w:tab/>
              <w:t>Use the VAS score (or appropriate pain scale) to identify level of pain</w:t>
            </w:r>
          </w:p>
          <w:p w:rsidR="00000000" w:rsidRPr="00833E1C" w:rsidP="00833E1C">
            <w:pPr>
              <w:pStyle w:val="BodyText"/>
            </w:pPr>
            <w:r w:rsidRPr="00833E1C">
              <w:t>4.3</w:t>
            </w:r>
            <w:r w:rsidRPr="00833E1C">
              <w:tab/>
              <w:t>Report any irregular or abnormal findings to Registered Nurse</w:t>
            </w:r>
          </w:p>
          <w:p w:rsidR="00000000" w:rsidP="00833E1C">
            <w:pPr>
              <w:pStyle w:val="BodyText"/>
              <w:rPr>
                <w:lang w:val="en-NZ"/>
              </w:rPr>
            </w:pPr>
            <w:r w:rsidRPr="00833E1C">
              <w:t>4.4</w:t>
            </w:r>
            <w:r w:rsidRPr="00833E1C">
              <w:tab/>
              <w:t>Allay any fears or anxiety expe</w:t>
            </w:r>
            <w:r w:rsidRPr="00833E1C">
              <w:t>rienced by the client</w:t>
            </w: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E1C">
            <w:pPr>
              <w:pStyle w:val="List"/>
              <w:rPr>
                <w:lang w:val="en-NZ"/>
              </w:rPr>
            </w:pPr>
            <w:r w:rsidRPr="00833E1C">
              <w:t>5.</w:t>
            </w:r>
            <w:r w:rsidRPr="00833E1C">
              <w:tab/>
              <w:t xml:space="preserve">Monitor and </w:t>
            </w:r>
            <w:r w:rsidRPr="00833E1C">
              <w:rPr>
                <w:rStyle w:val="Emphasis"/>
              </w:rPr>
              <w:t>report</w:t>
            </w:r>
            <w:r w:rsidRPr="00833E1C">
              <w:t xml:space="preserve"> client response to administered medication</w:t>
            </w:r>
          </w:p>
        </w:tc>
        <w:tc>
          <w:tcPr>
            <w:tcW w:w="5702" w:type="dxa"/>
            <w:tcBorders>
              <w:top w:val="nil"/>
              <w:left w:val="nil"/>
              <w:bottom w:val="nil"/>
              <w:right w:val="nil"/>
            </w:tcBorders>
            <w:tcMar>
              <w:top w:w="0" w:type="dxa"/>
              <w:left w:w="62" w:type="dxa"/>
              <w:bottom w:w="0" w:type="dxa"/>
              <w:right w:w="62" w:type="dxa"/>
            </w:tcMar>
          </w:tcPr>
          <w:p w:rsidR="00000000" w:rsidRPr="00833E1C" w:rsidP="00833E1C">
            <w:pPr>
              <w:pStyle w:val="List2"/>
            </w:pPr>
            <w:r w:rsidRPr="00833E1C">
              <w:t>5.1.</w:t>
            </w:r>
            <w:r w:rsidRPr="00833E1C">
              <w:tab/>
              <w:t xml:space="preserve">Record administration of </w:t>
            </w:r>
            <w:r w:rsidRPr="00833E1C">
              <w:rPr>
                <w:rStyle w:val="Emphasis"/>
              </w:rPr>
              <w:t>medications</w:t>
            </w:r>
            <w:r w:rsidRPr="00833E1C">
              <w:t xml:space="preserve"> in accordance with relevant policy and procedures</w:t>
            </w:r>
          </w:p>
          <w:p w:rsidR="00000000" w:rsidRPr="00833E1C" w:rsidP="00833E1C">
            <w:pPr>
              <w:pStyle w:val="List2"/>
            </w:pPr>
            <w:r w:rsidRPr="00833E1C">
              <w:t>5.2.</w:t>
            </w:r>
            <w:r w:rsidRPr="00833E1C">
              <w:tab/>
              <w:t>Evaluate client understanding of information provided</w:t>
            </w:r>
          </w:p>
          <w:p w:rsidR="00000000" w:rsidRPr="00833E1C" w:rsidP="00833E1C">
            <w:pPr>
              <w:pStyle w:val="List2"/>
            </w:pPr>
            <w:r w:rsidRPr="00833E1C">
              <w:t>5.3.</w:t>
            </w:r>
            <w:r w:rsidRPr="00833E1C">
              <w:tab/>
              <w:t>Recognise</w:t>
            </w:r>
            <w:r w:rsidRPr="00833E1C">
              <w:t xml:space="preserve"> acute and delayed adverse reactions to medications and act upon within role responsibility</w:t>
            </w:r>
          </w:p>
          <w:p w:rsidR="00000000" w:rsidRPr="00833E1C" w:rsidP="00833E1C">
            <w:pPr>
              <w:pStyle w:val="List2"/>
            </w:pPr>
            <w:r w:rsidRPr="00833E1C">
              <w:t>5.4.</w:t>
            </w:r>
            <w:r w:rsidRPr="00833E1C">
              <w:tab/>
              <w:t>Implement emergency actions to address acute and delayed adverse reactions within role responsibility</w:t>
            </w:r>
          </w:p>
          <w:p w:rsidR="00000000" w:rsidRPr="00833E1C" w:rsidP="00833E1C">
            <w:pPr>
              <w:pStyle w:val="List2"/>
            </w:pPr>
            <w:r w:rsidRPr="00833E1C">
              <w:t>5.5.</w:t>
            </w:r>
            <w:r w:rsidRPr="00833E1C">
              <w:tab/>
              <w:t>Record and report response to emergency strategies</w:t>
            </w:r>
          </w:p>
          <w:p w:rsidR="00000000" w:rsidRPr="00833E1C" w:rsidP="00833E1C">
            <w:pPr>
              <w:pStyle w:val="List2"/>
            </w:pPr>
            <w:r w:rsidRPr="00833E1C">
              <w:t>5</w:t>
            </w:r>
            <w:r w:rsidRPr="00833E1C">
              <w:t>.6.</w:t>
            </w:r>
            <w:r w:rsidRPr="00833E1C">
              <w:tab/>
              <w:t>Monitor client experiencing pain and undertake appropriate medication and non-medication therapies in consultation/collaboration with Registered Nurse</w:t>
            </w:r>
          </w:p>
          <w:p w:rsidR="00000000" w:rsidRPr="00833E1C" w:rsidP="00833E1C">
            <w:pPr>
              <w:pStyle w:val="List2"/>
            </w:pPr>
            <w:r w:rsidRPr="00833E1C">
              <w:t>5.7.</w:t>
            </w:r>
            <w:r w:rsidRPr="00833E1C">
              <w:tab/>
              <w:t>Record and report effectiveness of pain relieving medication</w:t>
            </w:r>
          </w:p>
        </w:tc>
      </w:tr>
    </w:tbl>
    <w:p w:rsidR="00766B56" w:rsidP="00833E1C">
      <w:pPr>
        <w:pStyle w:val="BodyText"/>
      </w:pPr>
    </w:p>
    <w:p w:rsidR="00766B56" w:rsidP="00833E1C">
      <w:pPr>
        <w:pStyle w:val="BodyText"/>
      </w:pPr>
    </w:p>
    <w:p w:rsidR="00000000" w:rsidRPr="00833E1C" w:rsidP="00833E1C">
      <w:pPr>
        <w:pStyle w:val="Heading1"/>
      </w:pPr>
      <w:bookmarkStart w:id="9" w:name="O_259814"/>
      <w:bookmarkEnd w:id="9"/>
      <w:r w:rsidRPr="00833E1C">
        <w:t>Required Skills and Knowledge</w:t>
      </w:r>
    </w:p>
    <w:tbl>
      <w:tblPr>
        <w:tblW w:w="0" w:type="auto"/>
        <w:tblLayout w:type="fixed"/>
        <w:tblCellMar>
          <w:left w:w="62" w:type="dxa"/>
          <w:right w:w="62" w:type="dxa"/>
        </w:tblCellMar>
        <w:tblLook w:val="0000"/>
      </w:tblPr>
      <w:tblGrid>
        <w:gridCol w:w="9072"/>
      </w:tblGrid>
      <w:tr w:rsidTr="00766B5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SpecialBold"/>
              </w:rPr>
              <w:t>REQUIRED SKILLS AND KNOWLEDGE</w:t>
            </w:r>
          </w:p>
        </w:tc>
      </w:tr>
      <w:tr w:rsidTr="0076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t>This describes the essential skills and knowledge and their level required for this unit.</w:t>
            </w:r>
          </w:p>
        </w:tc>
      </w:tr>
      <w:tr w:rsidTr="0076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rPr>
                <w:rStyle w:val="Emphasis"/>
              </w:rPr>
              <w:t>Essential knowledge</w:t>
            </w:r>
            <w:r w:rsidRPr="00833E1C">
              <w:t>:</w:t>
            </w:r>
          </w:p>
          <w:p w:rsidR="00000000" w:rsidRPr="00833E1C" w:rsidP="00833E1C">
            <w:pPr>
              <w:pStyle w:val="BodyText"/>
            </w:pPr>
            <w:r w:rsidRPr="00833E1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33E1C" w:rsidP="00833E1C">
            <w:pPr>
              <w:pStyle w:val="BodyText"/>
            </w:pPr>
            <w:r w:rsidRPr="00833E1C">
              <w:t xml:space="preserve">This includes </w:t>
            </w:r>
            <w:r w:rsidRPr="00833E1C">
              <w:t>knowledge of:</w:t>
            </w:r>
          </w:p>
          <w:p w:rsidR="00000000" w:rsidRPr="00833E1C" w:rsidP="00833E1C">
            <w:pPr>
              <w:pStyle w:val="ListBullet"/>
            </w:pPr>
            <w:r w:rsidRPr="00833E1C">
              <w:t>An awareness of the role of complementary therapies</w:t>
            </w:r>
          </w:p>
          <w:p w:rsidR="00000000" w:rsidRPr="00833E1C" w:rsidP="00833E1C">
            <w:pPr>
              <w:pStyle w:val="ListBullet"/>
            </w:pPr>
            <w:r w:rsidRPr="00833E1C">
              <w:t>An awareness of traditional medicine in the context of health of Aboriginal and Torres Strait Islander people</w:t>
            </w:r>
          </w:p>
          <w:p w:rsidR="00000000" w:rsidRPr="00833E1C" w:rsidP="00833E1C">
            <w:pPr>
              <w:pStyle w:val="ListBullet"/>
            </w:pPr>
            <w:r w:rsidRPr="00833E1C">
              <w:t>Application of guidelines to individual needs of clients(ie. therapeutic interv</w:t>
            </w:r>
            <w:r w:rsidRPr="00833E1C">
              <w:t>entions, hygiene, dignity, esteem, physical, cultural and cognitive restrictions)</w:t>
            </w:r>
          </w:p>
          <w:p w:rsidR="00000000" w:rsidRPr="00833E1C" w:rsidP="00833E1C">
            <w:pPr>
              <w:pStyle w:val="ListBullet"/>
            </w:pPr>
            <w:r w:rsidRPr="00833E1C">
              <w:t>Documentation associated with medication administration</w:t>
            </w:r>
          </w:p>
          <w:p w:rsidR="00000000" w:rsidRPr="00833E1C" w:rsidP="00833E1C">
            <w:pPr>
              <w:pStyle w:val="ListBullet"/>
            </w:pPr>
            <w:r w:rsidRPr="00833E1C">
              <w:t>Ethical guidelines including confidentiality, duty of care and public safety</w:t>
            </w:r>
          </w:p>
          <w:p w:rsidR="00000000" w:rsidRPr="00833E1C" w:rsidP="00833E1C">
            <w:pPr>
              <w:pStyle w:val="ListBullet"/>
            </w:pPr>
            <w:r w:rsidRPr="00833E1C">
              <w:t>Factors influencing medication actions</w:t>
            </w:r>
          </w:p>
          <w:p w:rsidR="00000000" w:rsidRPr="00833E1C" w:rsidP="00833E1C">
            <w:pPr>
              <w:pStyle w:val="ListBullet"/>
            </w:pPr>
            <w:r w:rsidRPr="00833E1C">
              <w:t>Le</w:t>
            </w:r>
            <w:r w:rsidRPr="00833E1C">
              <w:t>gal requirements for practice parameters of Enrolled/Division 2 nurse relating to the administration of medications, including legal requirements of each route of administration</w:t>
            </w:r>
          </w:p>
          <w:p w:rsidR="00000000" w:rsidRPr="00833E1C" w:rsidP="00833E1C">
            <w:pPr>
              <w:pStyle w:val="ListBullet"/>
            </w:pPr>
            <w:r w:rsidRPr="00833E1C">
              <w:t>Major medication groups</w:t>
            </w:r>
          </w:p>
          <w:p w:rsidR="00000000" w:rsidRPr="00833E1C" w:rsidP="00833E1C">
            <w:pPr>
              <w:pStyle w:val="ListBullet"/>
            </w:pPr>
            <w:r w:rsidRPr="00833E1C">
              <w:t>Methods of storage, handling and usage of medications</w:t>
            </w:r>
          </w:p>
          <w:p w:rsidR="00000000" w:rsidRPr="00833E1C" w:rsidP="00833E1C">
            <w:pPr>
              <w:pStyle w:val="ListBullet"/>
            </w:pPr>
            <w:r w:rsidRPr="00833E1C">
              <w:t>Organisation policies and procedures, guidelines and protocols, including workplace health and safety policies to ensure safe practice eg management of sharps</w:t>
            </w:r>
          </w:p>
          <w:p w:rsidR="00000000" w:rsidRPr="00833E1C" w:rsidP="00833E1C">
            <w:pPr>
              <w:pStyle w:val="ListBullet"/>
            </w:pPr>
            <w:r w:rsidRPr="00833E1C">
              <w:t>Own role in medical emergency</w:t>
            </w:r>
          </w:p>
          <w:p w:rsidR="00000000" w:rsidRPr="00833E1C" w:rsidP="00833E1C">
            <w:pPr>
              <w:pStyle w:val="ListBullet"/>
            </w:pPr>
            <w:r w:rsidRPr="00833E1C">
              <w:t>People's perception of pain and principles of pain management Relev</w:t>
            </w:r>
            <w:r w:rsidRPr="00833E1C">
              <w:t>ant medical/medication terminology and approved medication abbreviations</w:t>
            </w:r>
          </w:p>
          <w:p w:rsidR="00000000" w:rsidRPr="00833E1C" w:rsidP="00833E1C">
            <w:pPr>
              <w:pStyle w:val="ListBullet"/>
            </w:pPr>
            <w:r w:rsidRPr="00833E1C">
              <w:t>Role of the health care team in the administration of medications</w:t>
            </w:r>
          </w:p>
          <w:p w:rsidR="00000000" w:rsidRPr="00833E1C" w:rsidP="00833E1C">
            <w:pPr>
              <w:pStyle w:val="ListBullet"/>
            </w:pPr>
            <w:r w:rsidRPr="00833E1C">
              <w:t>State/territory legislative requirements relating to medication administration</w:t>
            </w:r>
          </w:p>
          <w:p w:rsidR="00000000" w:rsidRPr="00833E1C" w:rsidP="00833E1C">
            <w:pPr>
              <w:pStyle w:val="ListBullet"/>
            </w:pPr>
            <w:r w:rsidRPr="00833E1C">
              <w:t xml:space="preserve">Systems of medication delivery within </w:t>
            </w:r>
            <w:r w:rsidRPr="00833E1C">
              <w:t xml:space="preserve">the scope of own role </w:t>
            </w:r>
          </w:p>
          <w:p w:rsidR="00000000" w:rsidRPr="00833E1C" w:rsidP="00833E1C">
            <w:pPr>
              <w:pStyle w:val="ListBullet"/>
            </w:pPr>
            <w:r w:rsidRPr="00833E1C">
              <w:t>Relevant medication delivery devices, such as:</w:t>
            </w:r>
          </w:p>
          <w:p w:rsidR="00000000" w:rsidRPr="00833E1C" w:rsidP="00833E1C">
            <w:pPr>
              <w:pStyle w:val="ListBullet2"/>
            </w:pPr>
            <w:r w:rsidRPr="00833E1C">
              <w:t>dosage administration aids</w:t>
            </w:r>
          </w:p>
          <w:p w:rsidR="00000000" w:rsidRPr="00833E1C" w:rsidP="00833E1C">
            <w:pPr>
              <w:pStyle w:val="ListBullet2"/>
            </w:pPr>
            <w:r w:rsidRPr="00833E1C">
              <w:t>feeding tube infusion pumps</w:t>
            </w:r>
          </w:p>
          <w:p w:rsidR="00000000" w:rsidRPr="00833E1C" w:rsidP="00833E1C">
            <w:pPr>
              <w:pStyle w:val="ListBullet"/>
            </w:pPr>
            <w:r w:rsidRPr="00833E1C">
              <w:t>Scheduling of medications, including:</w:t>
            </w:r>
          </w:p>
          <w:p w:rsidR="00000000" w:rsidRPr="00833E1C" w:rsidP="00833E1C">
            <w:pPr>
              <w:pStyle w:val="ListBullet2"/>
            </w:pPr>
            <w:r w:rsidRPr="00833E1C">
              <w:t>Schedule 2</w:t>
            </w:r>
          </w:p>
          <w:p w:rsidR="00000000" w:rsidRPr="00833E1C" w:rsidP="00833E1C">
            <w:pPr>
              <w:pStyle w:val="ListBullet2"/>
            </w:pPr>
            <w:r w:rsidRPr="00833E1C">
              <w:t>Schedule 3</w:t>
            </w:r>
          </w:p>
          <w:p w:rsidR="00000000" w:rsidRPr="00833E1C" w:rsidP="00833E1C">
            <w:pPr>
              <w:pStyle w:val="ListBullet2"/>
            </w:pPr>
            <w:r w:rsidRPr="00833E1C">
              <w:t>Schedule 4</w:t>
            </w:r>
          </w:p>
          <w:p w:rsidR="00000000" w:rsidRPr="00833E1C" w:rsidP="00833E1C">
            <w:pPr>
              <w:pStyle w:val="ListBullet2"/>
            </w:pPr>
            <w:r w:rsidRPr="00833E1C">
              <w:t>Schedule 8</w:t>
            </w:r>
          </w:p>
          <w:p w:rsidR="00000000" w:rsidRPr="00833E1C" w:rsidP="00833E1C">
            <w:pPr>
              <w:pStyle w:val="ListBullet"/>
            </w:pPr>
            <w:r w:rsidRPr="00833E1C">
              <w:t>Substance incompatibilities, including:</w:t>
            </w:r>
          </w:p>
          <w:p w:rsidR="00000000" w:rsidRPr="00833E1C" w:rsidP="00833E1C">
            <w:pPr>
              <w:pStyle w:val="ListBullet2"/>
            </w:pPr>
            <w:r w:rsidRPr="00833E1C">
              <w:t>adverse reactions</w:t>
            </w:r>
          </w:p>
          <w:p w:rsidR="00000000" w:rsidRPr="00833E1C" w:rsidP="00833E1C">
            <w:pPr>
              <w:pStyle w:val="ListBullet2"/>
            </w:pPr>
            <w:r w:rsidRPr="00833E1C">
              <w:t xml:space="preserve">an understanding of the pharmacology of the major medication groups </w:t>
            </w:r>
          </w:p>
          <w:p w:rsidR="00000000" w:rsidRPr="00833E1C" w:rsidP="00833E1C">
            <w:pPr>
              <w:pStyle w:val="ListBullet2"/>
            </w:pPr>
            <w:r w:rsidRPr="00833E1C">
              <w:t>anaphylactic reactions</w:t>
            </w:r>
          </w:p>
          <w:p w:rsidR="00000000" w:rsidRPr="00833E1C" w:rsidP="00833E1C">
            <w:pPr>
              <w:pStyle w:val="ListBullet2"/>
            </w:pPr>
            <w:r w:rsidRPr="00833E1C">
              <w:t>contraindications</w:t>
            </w:r>
          </w:p>
          <w:p w:rsidR="00000000" w:rsidRPr="00833E1C" w:rsidP="00833E1C">
            <w:pPr>
              <w:pStyle w:val="ListBullet2"/>
            </w:pPr>
            <w:r w:rsidRPr="00833E1C">
              <w:t>precautions</w:t>
            </w:r>
          </w:p>
          <w:p w:rsidR="00000000" w:rsidP="00833E1C">
            <w:pPr>
              <w:pStyle w:val="ListBullet2"/>
              <w:rPr>
                <w:lang w:val="en-NZ"/>
              </w:rPr>
            </w:pPr>
            <w:r w:rsidRPr="00833E1C">
              <w:t xml:space="preserve">side effects </w:t>
            </w:r>
          </w:p>
        </w:tc>
      </w:tr>
      <w:tr w:rsidTr="0076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rPr>
                <w:rStyle w:val="Emphasis"/>
              </w:rPr>
              <w:t>Essential skills</w:t>
            </w:r>
            <w:r w:rsidRPr="00833E1C">
              <w:t>:</w:t>
            </w:r>
          </w:p>
          <w:p w:rsidR="00000000" w:rsidRPr="00833E1C" w:rsidP="00833E1C">
            <w:pPr>
              <w:pStyle w:val="BodyText"/>
            </w:pPr>
            <w:r w:rsidRPr="00833E1C">
              <w:t>It is critical that the candidate demonstrate the ability to effectively do the task outlined in elements and performance criteria of this unit, manage the task and manage contingencies in the context of the identified work role</w:t>
            </w:r>
          </w:p>
          <w:p w:rsidR="00000000" w:rsidRPr="00833E1C" w:rsidP="00833E1C">
            <w:pPr>
              <w:pStyle w:val="BodyText"/>
            </w:pPr>
            <w:r w:rsidRPr="00833E1C">
              <w:t>This includes the ability t</w:t>
            </w:r>
            <w:r w:rsidRPr="00833E1C">
              <w:t>o:</w:t>
            </w:r>
          </w:p>
          <w:p w:rsidR="00000000" w:rsidRPr="00833E1C" w:rsidP="00833E1C">
            <w:pPr>
              <w:pStyle w:val="ListBullet"/>
            </w:pPr>
            <w:r w:rsidRPr="00833E1C">
              <w:t>Apply infection control principles - hand washing, handling of medications, universal precautions</w:t>
            </w:r>
          </w:p>
          <w:p w:rsidR="00000000" w:rsidRPr="00833E1C" w:rsidP="00833E1C">
            <w:pPr>
              <w:pStyle w:val="ListBullet"/>
            </w:pPr>
            <w:r w:rsidRPr="00833E1C">
              <w:t>Apply Professional Standards of Practice:</w:t>
            </w:r>
          </w:p>
          <w:p w:rsidR="00000000" w:rsidRPr="00833E1C" w:rsidP="00833E1C">
            <w:pPr>
              <w:pStyle w:val="ListBullet2"/>
            </w:pPr>
            <w:r w:rsidRPr="00833E1C">
              <w:t>ANMC code of conduct</w:t>
            </w:r>
          </w:p>
          <w:p w:rsidR="00000000" w:rsidRPr="00833E1C" w:rsidP="00833E1C">
            <w:pPr>
              <w:pStyle w:val="ListBullet2"/>
            </w:pPr>
            <w:r w:rsidRPr="00833E1C">
              <w:t>ANMC code of ethics</w:t>
            </w:r>
          </w:p>
          <w:p w:rsidR="00000000" w:rsidRPr="00833E1C" w:rsidP="00833E1C">
            <w:pPr>
              <w:pStyle w:val="ListBullet2"/>
            </w:pPr>
            <w:r w:rsidRPr="00833E1C">
              <w:t>ANMC national Enrolled/Division 2 nurse competency standards</w:t>
            </w:r>
          </w:p>
          <w:p w:rsidR="00000000" w:rsidRPr="00833E1C" w:rsidP="00833E1C">
            <w:pPr>
              <w:pStyle w:val="ListBullet2"/>
            </w:pPr>
            <w:r w:rsidRPr="00833E1C">
              <w:t>state/territory Nurse Regulatory Nurses Act</w:t>
            </w:r>
          </w:p>
          <w:p w:rsidR="00000000" w:rsidRPr="00833E1C" w:rsidP="00833E1C">
            <w:pPr>
              <w:pStyle w:val="ListBullet2"/>
            </w:pPr>
            <w:r w:rsidRPr="00833E1C">
              <w:t>state/territory Nursing and Midwifery Regulatory Authority standards of practice</w:t>
            </w:r>
          </w:p>
          <w:p w:rsidR="00000000" w:rsidRPr="00833E1C" w:rsidP="00833E1C">
            <w:pPr>
              <w:pStyle w:val="ListBullet2"/>
            </w:pPr>
            <w:r w:rsidRPr="00833E1C">
              <w:t>state/Territory Drugs and Poisons Act</w:t>
            </w:r>
          </w:p>
          <w:p w:rsidR="00000000" w:rsidRPr="00833E1C" w:rsidP="00833E1C">
            <w:pPr>
              <w:pStyle w:val="ListBullet2"/>
            </w:pPr>
            <w:r w:rsidRPr="00833E1C">
              <w:t>scheduling of medications and implications for Enrolled/Division 2 nursing practice</w:t>
            </w:r>
          </w:p>
          <w:p w:rsidR="00000000" w:rsidRPr="00833E1C" w:rsidP="00833E1C">
            <w:pPr>
              <w:pStyle w:val="ListBullet"/>
            </w:pPr>
            <w:r w:rsidRPr="00833E1C">
              <w:t>Demonstr</w:t>
            </w:r>
            <w:r w:rsidRPr="00833E1C">
              <w:t xml:space="preserve">ate preparation, administration and recording of medication/s within the scope of practice of the Enrolled/Division 2 nurse </w:t>
            </w:r>
          </w:p>
          <w:p w:rsidR="00000000" w:rsidRPr="00833E1C" w:rsidP="00833E1C">
            <w:pPr>
              <w:pStyle w:val="ListBullet"/>
            </w:pPr>
            <w:r w:rsidRPr="00833E1C">
              <w:t>Demonstrate professional conduct, skills and knowledge</w:t>
            </w:r>
          </w:p>
          <w:p w:rsidR="00000000" w:rsidRPr="00833E1C" w:rsidP="00833E1C">
            <w:pPr>
              <w:pStyle w:val="ListBullet"/>
            </w:pPr>
            <w:r w:rsidRPr="00833E1C">
              <w:t>Perform emergency nursing interventions for a client experiencing an adverse</w:t>
            </w:r>
            <w:r w:rsidRPr="00833E1C">
              <w:t xml:space="preserve"> medication reaction</w:t>
            </w:r>
          </w:p>
          <w:p w:rsidR="00000000" w:rsidRPr="00833E1C" w:rsidP="00833E1C">
            <w:pPr>
              <w:pStyle w:val="ListBullet"/>
            </w:pPr>
            <w:r w:rsidRPr="00833E1C">
              <w:t>Use interpersonal skills, including working with others, using sensitivity when dealing with people and relating to persons from differing cultural, social and religious backgrounds</w:t>
            </w:r>
          </w:p>
          <w:p w:rsidR="00000000" w:rsidRPr="00833E1C" w:rsidP="00833E1C">
            <w:pPr>
              <w:pStyle w:val="ListBullet"/>
            </w:pPr>
            <w:r w:rsidRPr="00833E1C">
              <w:t>Use language, literacy and numeracy competence requir</w:t>
            </w:r>
            <w:r w:rsidRPr="00833E1C">
              <w:t>ed for drug administration and documentation</w:t>
            </w:r>
          </w:p>
          <w:p w:rsidR="00000000" w:rsidRPr="00833E1C" w:rsidP="00833E1C">
            <w:pPr>
              <w:pStyle w:val="ListBullet"/>
            </w:pPr>
            <w:r w:rsidRPr="00833E1C">
              <w:t>Use oral communication skills (language competence) required to fulfil job roles as specified by the organisation/service. Oral communication skills include interviewing techniques, asking questions, active list</w:t>
            </w:r>
            <w:r w:rsidRPr="00833E1C">
              <w:t>ening, asking for clarification</w:t>
            </w:r>
          </w:p>
        </w:tc>
      </w:tr>
    </w:tbl>
    <w:p w:rsidR="00766B56" w:rsidP="00833E1C">
      <w:pPr>
        <w:pStyle w:val="BodyText"/>
      </w:pPr>
    </w:p>
    <w:p w:rsidR="00766B56" w:rsidP="00833E1C">
      <w:pPr>
        <w:pStyle w:val="BodyText"/>
      </w:pPr>
    </w:p>
    <w:p w:rsidR="00000000" w:rsidRPr="00833E1C" w:rsidP="00833E1C">
      <w:pPr>
        <w:pStyle w:val="Heading1"/>
      </w:pPr>
      <w:bookmarkStart w:id="10" w:name="O_243848"/>
      <w:bookmarkEnd w:id="10"/>
      <w:r w:rsidRPr="00833E1C">
        <w:t>Evidence Guide</w:t>
      </w:r>
    </w:p>
    <w:tbl>
      <w:tblPr>
        <w:tblW w:w="0" w:type="auto"/>
        <w:tblLayout w:type="fixed"/>
        <w:tblCellMar>
          <w:left w:w="62" w:type="dxa"/>
          <w:right w:w="62" w:type="dxa"/>
        </w:tblCellMar>
        <w:tblLook w:val="0000"/>
      </w:tblPr>
      <w:tblGrid>
        <w:gridCol w:w="3402"/>
        <w:gridCol w:w="5670"/>
      </w:tblGrid>
      <w:tr w:rsidTr="00766B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SpecialBold"/>
              </w:rPr>
              <w:t>EVIDENCE GUIDE</w:t>
            </w:r>
          </w:p>
        </w:tc>
      </w:tr>
      <w:tr w:rsidTr="0076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t xml:space="preserve">The evidence guide provides advice on assessment and must be read in conjunction with the Performance Criteria, Required Skills and Knowledge, </w:t>
            </w:r>
            <w:r w:rsidRPr="00833E1C">
              <w:t>the Range Statement and the Assessment Guidelines for this Training Package.</w:t>
            </w:r>
          </w:p>
        </w:tc>
      </w:tr>
      <w:tr w:rsidTr="0076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Critical aspects for assessment and evidence required to demonstrate this competency unit</w:t>
            </w:r>
            <w:r w:rsidRPr="00833E1C">
              <w:t xml:space="preserve">: </w:t>
            </w:r>
            <w:r w:rsidRPr="00833E1C">
              <w:br/>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The individual being assessed must provide evidence of specified essential knowl</w:t>
            </w:r>
            <w:r w:rsidRPr="00833E1C">
              <w:t>edge as well as skills</w:t>
            </w:r>
          </w:p>
          <w:p w:rsidR="00000000" w:rsidRPr="00833E1C" w:rsidP="00833E1C">
            <w:pPr>
              <w:pStyle w:val="ListBullet"/>
            </w:pPr>
            <w:r w:rsidRPr="00833E1C">
              <w:t>Observation of performance in a work context is essential for assessment of this unit</w:t>
            </w:r>
          </w:p>
          <w:p w:rsidR="00000000" w:rsidRPr="00833E1C" w:rsidP="00833E1C">
            <w:pPr>
              <w:pStyle w:val="ListBullet"/>
            </w:pPr>
            <w:r w:rsidRPr="00833E1C">
              <w:t>Consistency of performance should be demonstrated over the required range of workplace situations and should occur on more than one occasion and be</w:t>
            </w:r>
            <w:r w:rsidRPr="00833E1C">
              <w:t xml:space="preserve"> assessed by a registered nurse</w:t>
            </w:r>
          </w:p>
          <w:p w:rsidR="00000000" w:rsidP="00833E1C">
            <w:pPr>
              <w:pStyle w:val="ListBullet"/>
              <w:rPr>
                <w:lang w:val="en-NZ"/>
              </w:rPr>
            </w:pPr>
            <w:r w:rsidRPr="00833E1C">
              <w:t>Assessment must include a written calculation test with 100% mastery</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Context of and specific resources for assessment</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 xml:space="preserve">Assessment must be undertaken in a simulated clinical laboratory prior to clinical placement </w:t>
            </w:r>
          </w:p>
          <w:p w:rsidR="00000000" w:rsidP="00833E1C">
            <w:pPr>
              <w:pStyle w:val="ListBullet"/>
              <w:rPr>
                <w:lang w:val="en-NZ"/>
              </w:rPr>
            </w:pPr>
            <w:r w:rsidRPr="00833E1C">
              <w:t>Where, for reasons of safety, access to equipment and resources and space, assessment takes place away from the workplace, simulations should be used to represent workplace conditions as closely as possible</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Method of assessment</w:t>
            </w:r>
            <w:r w:rsidRPr="00833E1C">
              <w:t xml:space="preserve"> </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Observation in the wor</w:t>
            </w:r>
            <w:r w:rsidRPr="00833E1C">
              <w:t xml:space="preserve">k place </w:t>
            </w:r>
          </w:p>
          <w:p w:rsidR="00000000" w:rsidRPr="00833E1C" w:rsidP="00833E1C">
            <w:pPr>
              <w:pStyle w:val="ListBullet"/>
            </w:pPr>
            <w:r w:rsidRPr="00833E1C">
              <w:t>Evidence gathered from clinical work environment</w:t>
            </w:r>
          </w:p>
          <w:p w:rsidR="00000000" w:rsidRPr="00833E1C" w:rsidP="00833E1C">
            <w:pPr>
              <w:pStyle w:val="ListBullet"/>
            </w:pPr>
            <w:r w:rsidRPr="00833E1C">
              <w:t>Written assignments/projects</w:t>
            </w:r>
          </w:p>
          <w:p w:rsidR="00000000" w:rsidRPr="00833E1C" w:rsidP="00833E1C">
            <w:pPr>
              <w:pStyle w:val="ListBullet"/>
            </w:pPr>
            <w:r w:rsidRPr="00833E1C">
              <w:t>Case study and scenario as a basis for discussion of issues and strategies to contribute to best practice</w:t>
            </w:r>
          </w:p>
          <w:p w:rsidR="00000000" w:rsidRPr="00833E1C" w:rsidP="00833E1C">
            <w:pPr>
              <w:pStyle w:val="ListBullet"/>
            </w:pPr>
            <w:r w:rsidRPr="00833E1C">
              <w:t>Questioning - verbal and written</w:t>
            </w:r>
          </w:p>
          <w:p w:rsidR="00000000" w:rsidP="00833E1C">
            <w:pPr>
              <w:pStyle w:val="ListBullet"/>
              <w:rPr>
                <w:lang w:val="en-NZ"/>
              </w:rPr>
            </w:pPr>
            <w:r w:rsidRPr="00833E1C">
              <w:t>Role play/simulation</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Access and equity considerations</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All workers in the health industry should be aware of access and equity issues in relation to their own area of work</w:t>
            </w:r>
          </w:p>
          <w:p w:rsidR="00000000" w:rsidRPr="00833E1C" w:rsidP="00833E1C">
            <w:pPr>
              <w:pStyle w:val="ListBullet"/>
            </w:pPr>
            <w:r w:rsidRPr="00833E1C">
              <w:t xml:space="preserve">All workers should develop their ability to work in a culturally diverse environment </w:t>
            </w:r>
          </w:p>
          <w:p w:rsidR="00000000" w:rsidRPr="00833E1C" w:rsidP="00833E1C">
            <w:pPr>
              <w:pStyle w:val="ListBullet"/>
            </w:pPr>
            <w:r w:rsidRPr="00833E1C">
              <w:t xml:space="preserve">In recognition of </w:t>
            </w:r>
            <w:r w:rsidRPr="00833E1C">
              <w:t>particular health issues facing Aboriginal and Torres Strait Islander communities, workers should be aware of cultural, historical and current issues impacting on health of Aboriginal and Torres Strait Islander people</w:t>
            </w:r>
          </w:p>
          <w:p w:rsidR="00000000" w:rsidP="00833E1C">
            <w:pPr>
              <w:pStyle w:val="ListBullet"/>
              <w:rPr>
                <w:lang w:val="en-NZ"/>
              </w:rPr>
            </w:pPr>
            <w:r w:rsidRPr="00833E1C">
              <w:t xml:space="preserve">Assessors and trainers must take into </w:t>
            </w:r>
            <w:r w:rsidRPr="00833E1C">
              <w:t>account relevant access and equity issues, in particular relating to factors impacting on health of Aboriginal and/or Torres Strait Islander clients and communities</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BodyText"/>
            </w:pPr>
          </w:p>
        </w:tc>
      </w:tr>
    </w:tbl>
    <w:p w:rsidR="00766B56" w:rsidP="00833E1C">
      <w:pPr>
        <w:pStyle w:val="BodyText"/>
      </w:pPr>
    </w:p>
    <w:p w:rsidR="00766B56" w:rsidP="00833E1C">
      <w:pPr>
        <w:pStyle w:val="BodyText"/>
      </w:pPr>
    </w:p>
    <w:p w:rsidR="00000000" w:rsidRPr="00833E1C" w:rsidP="00833E1C">
      <w:pPr>
        <w:pStyle w:val="Heading1"/>
      </w:pPr>
      <w:bookmarkStart w:id="11" w:name="O_251831"/>
      <w:bookmarkEnd w:id="11"/>
      <w:r w:rsidRPr="00833E1C">
        <w:t>Range Statement</w:t>
      </w:r>
    </w:p>
    <w:tbl>
      <w:tblPr>
        <w:tblW w:w="0" w:type="auto"/>
        <w:tblLayout w:type="fixed"/>
        <w:tblCellMar>
          <w:left w:w="62" w:type="dxa"/>
          <w:right w:w="62" w:type="dxa"/>
        </w:tblCellMar>
        <w:tblLook w:val="0000"/>
      </w:tblPr>
      <w:tblGrid>
        <w:gridCol w:w="3402"/>
        <w:gridCol w:w="5670"/>
      </w:tblGrid>
      <w:tr w:rsidTr="00766B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SpecialBold"/>
              </w:rPr>
              <w:t>RANGE STATEMENT</w:t>
            </w:r>
          </w:p>
        </w:tc>
      </w:tr>
      <w:tr w:rsidTr="0076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t>The Range Statement relates to the unit of competency as a whole. It allows for different work environments and situations that may affect performance. Add any essential operating conditions that may be present with training and assessment depending on the</w:t>
            </w:r>
            <w:r w:rsidRPr="00833E1C">
              <w:t xml:space="preserve"> work situation, needs of the candidate, accessibility of the item, and local industry and regional contexts.</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Health environments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Residential aged care facility</w:t>
            </w:r>
          </w:p>
          <w:p w:rsidR="00000000" w:rsidRPr="00833E1C" w:rsidP="00833E1C">
            <w:pPr>
              <w:pStyle w:val="ListBullet"/>
            </w:pPr>
            <w:r w:rsidRPr="00833E1C">
              <w:t>Community settings</w:t>
            </w:r>
          </w:p>
          <w:p w:rsidR="00000000" w:rsidRPr="00833E1C" w:rsidP="00833E1C">
            <w:pPr>
              <w:pStyle w:val="ListBullet"/>
            </w:pPr>
            <w:r w:rsidRPr="00833E1C">
              <w:t>Hospitals</w:t>
            </w:r>
          </w:p>
          <w:p w:rsidR="00000000" w:rsidRPr="00833E1C" w:rsidP="00833E1C">
            <w:pPr>
              <w:pStyle w:val="ListBullet"/>
            </w:pPr>
            <w:r w:rsidRPr="00833E1C">
              <w:t>Clients home</w:t>
            </w:r>
          </w:p>
          <w:p w:rsidR="00000000" w:rsidP="00833E1C">
            <w:pPr>
              <w:pStyle w:val="ListBullet"/>
              <w:rPr>
                <w:lang w:val="en-NZ"/>
              </w:rPr>
            </w:pPr>
            <w:r w:rsidRPr="00833E1C">
              <w:t xml:space="preserve">Clinics </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Potential ris</w:t>
            </w:r>
            <w:r w:rsidRPr="00833E1C">
              <w:rPr>
                <w:rStyle w:val="Emphasis"/>
              </w:rPr>
              <w:t>ks include but are not limited to</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Client identification</w:t>
            </w:r>
          </w:p>
          <w:p w:rsidR="00000000" w:rsidRPr="00833E1C" w:rsidP="00833E1C">
            <w:pPr>
              <w:pStyle w:val="ListBullet"/>
            </w:pPr>
            <w:r w:rsidRPr="00833E1C">
              <w:t>Allergic reactions</w:t>
            </w:r>
          </w:p>
          <w:p w:rsidR="00000000" w:rsidRPr="00833E1C" w:rsidP="00833E1C">
            <w:pPr>
              <w:pStyle w:val="ListBullet"/>
            </w:pPr>
            <w:r w:rsidRPr="00833E1C">
              <w:t>Immunization status</w:t>
            </w:r>
          </w:p>
          <w:p w:rsidR="00000000" w:rsidRPr="00833E1C" w:rsidP="00833E1C">
            <w:pPr>
              <w:pStyle w:val="ListBullet"/>
            </w:pPr>
            <w:r w:rsidRPr="00833E1C">
              <w:t>Medication incompatibilities</w:t>
            </w:r>
          </w:p>
          <w:p w:rsidR="00000000" w:rsidP="00833E1C">
            <w:pPr>
              <w:pStyle w:val="ListBullet"/>
              <w:rPr>
                <w:lang w:val="en-NZ"/>
              </w:rPr>
            </w:pPr>
            <w:r w:rsidRPr="00833E1C">
              <w:t>Contra-indications for drug administration</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Medication administration routes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Oral</w:t>
            </w:r>
          </w:p>
          <w:p w:rsidR="00000000" w:rsidRPr="00833E1C" w:rsidP="00833E1C">
            <w:pPr>
              <w:pStyle w:val="ListBullet"/>
            </w:pPr>
            <w:r w:rsidRPr="00833E1C">
              <w:t>Intranasal (including nebulis</w:t>
            </w:r>
            <w:r w:rsidRPr="00833E1C">
              <w:t>ed medications)</w:t>
            </w:r>
          </w:p>
          <w:p w:rsidR="00000000" w:rsidRPr="00833E1C" w:rsidP="00833E1C">
            <w:pPr>
              <w:pStyle w:val="ListBullet"/>
            </w:pPr>
            <w:r w:rsidRPr="00833E1C">
              <w:t>Topical (including transdermal)</w:t>
            </w:r>
          </w:p>
          <w:p w:rsidR="00000000" w:rsidRPr="00833E1C" w:rsidP="00833E1C">
            <w:pPr>
              <w:pStyle w:val="ListBullet"/>
            </w:pPr>
            <w:r w:rsidRPr="00833E1C">
              <w:t>Ocular</w:t>
            </w:r>
          </w:p>
          <w:p w:rsidR="00000000" w:rsidRPr="00833E1C" w:rsidP="00833E1C">
            <w:pPr>
              <w:pStyle w:val="ListBullet"/>
            </w:pPr>
            <w:r w:rsidRPr="00833E1C">
              <w:t>Aural</w:t>
            </w:r>
          </w:p>
          <w:p w:rsidR="00000000" w:rsidRPr="00833E1C" w:rsidP="00833E1C">
            <w:pPr>
              <w:pStyle w:val="ListBullet"/>
            </w:pPr>
            <w:r w:rsidRPr="00833E1C">
              <w:t>Rectal</w:t>
            </w:r>
          </w:p>
          <w:p w:rsidR="00000000" w:rsidRPr="00833E1C" w:rsidP="00833E1C">
            <w:pPr>
              <w:pStyle w:val="ListBullet"/>
            </w:pPr>
            <w:r w:rsidRPr="00833E1C">
              <w:t>Vaginal administration</w:t>
            </w:r>
          </w:p>
          <w:p w:rsidR="00000000" w:rsidP="00833E1C">
            <w:pPr>
              <w:pStyle w:val="ListBullet"/>
              <w:rPr>
                <w:lang w:val="en-NZ"/>
              </w:rPr>
            </w:pPr>
            <w:r w:rsidRPr="00833E1C">
              <w:t>Enteral administration</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Terminology associated with medications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Medication</w:t>
            </w:r>
          </w:p>
          <w:p w:rsidR="00000000" w:rsidRPr="00833E1C" w:rsidP="00833E1C">
            <w:pPr>
              <w:pStyle w:val="ListBullet"/>
            </w:pPr>
            <w:r w:rsidRPr="00833E1C">
              <w:t>Administer</w:t>
            </w:r>
          </w:p>
          <w:p w:rsidR="00000000" w:rsidRPr="00833E1C" w:rsidP="00833E1C">
            <w:pPr>
              <w:pStyle w:val="ListBullet"/>
            </w:pPr>
            <w:r w:rsidRPr="00833E1C">
              <w:t>Side effect/adverse reaction/allergic reaction</w:t>
            </w:r>
          </w:p>
          <w:p w:rsidR="00000000" w:rsidRPr="00833E1C" w:rsidP="00833E1C">
            <w:pPr>
              <w:pStyle w:val="ListBullet"/>
            </w:pPr>
            <w:r w:rsidRPr="00833E1C">
              <w:t>Anaphylaxis</w:t>
            </w:r>
          </w:p>
          <w:p w:rsidR="00000000" w:rsidRPr="00833E1C" w:rsidP="00833E1C">
            <w:pPr>
              <w:pStyle w:val="ListBullet"/>
            </w:pPr>
            <w:r w:rsidRPr="00833E1C">
              <w:t>Allergy</w:t>
            </w:r>
          </w:p>
          <w:p w:rsidR="00000000" w:rsidRPr="00833E1C" w:rsidP="00833E1C">
            <w:pPr>
              <w:pStyle w:val="ListBullet"/>
            </w:pPr>
            <w:r w:rsidRPr="00833E1C">
              <w:t>Suspension/mixture/syrup/linctus/lozenge</w:t>
            </w:r>
          </w:p>
          <w:p w:rsidR="00000000" w:rsidRPr="00833E1C" w:rsidP="00833E1C">
            <w:pPr>
              <w:pStyle w:val="ListBullet"/>
            </w:pPr>
            <w:r w:rsidRPr="00833E1C">
              <w:t>Ointment/cream/lotion</w:t>
            </w:r>
          </w:p>
          <w:p w:rsidR="00000000" w:rsidRPr="00833E1C" w:rsidP="00833E1C">
            <w:pPr>
              <w:pStyle w:val="ListBullet"/>
            </w:pPr>
            <w:r w:rsidRPr="00833E1C">
              <w:t>Tincture/emulsion</w:t>
            </w:r>
          </w:p>
          <w:p w:rsidR="00000000" w:rsidRPr="00833E1C" w:rsidP="00833E1C">
            <w:pPr>
              <w:pStyle w:val="ListBullet"/>
            </w:pPr>
            <w:r w:rsidRPr="00833E1C">
              <w:t>Tablet/pill</w:t>
            </w:r>
          </w:p>
          <w:p w:rsidR="00000000" w:rsidRPr="00833E1C" w:rsidP="00833E1C">
            <w:pPr>
              <w:pStyle w:val="ListBullet"/>
            </w:pPr>
            <w:r w:rsidRPr="00833E1C">
              <w:t>Transdermal patch</w:t>
            </w:r>
          </w:p>
          <w:p w:rsidR="00000000" w:rsidP="00833E1C">
            <w:pPr>
              <w:pStyle w:val="ListBullet"/>
              <w:rPr>
                <w:lang w:val="en-NZ"/>
              </w:rPr>
            </w:pPr>
            <w:r w:rsidRPr="00833E1C">
              <w:t>Nebuliser/aerosol/volumetric spacer</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Legal and regulatory framework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State/territory Nurses Act.</w:t>
            </w:r>
          </w:p>
          <w:p w:rsidR="00000000" w:rsidRPr="00833E1C" w:rsidP="00833E1C">
            <w:pPr>
              <w:pStyle w:val="ListBullet"/>
            </w:pPr>
            <w:r w:rsidRPr="00833E1C">
              <w:t>State/territory Drugs and Poisons Act</w:t>
            </w:r>
          </w:p>
          <w:p w:rsidR="00000000" w:rsidRPr="00833E1C" w:rsidP="00833E1C">
            <w:pPr>
              <w:pStyle w:val="ListBullet2"/>
            </w:pPr>
            <w:r w:rsidRPr="00833E1C">
              <w:t xml:space="preserve">Health (Drugs and Poisons) Regulations </w:t>
            </w:r>
          </w:p>
          <w:p w:rsidR="00000000" w:rsidRPr="00833E1C" w:rsidP="00833E1C">
            <w:pPr>
              <w:pStyle w:val="ListBullet"/>
            </w:pPr>
            <w:r w:rsidRPr="00833E1C">
              <w:t>State/territory Nurse Regulatory Authority competency standards, codes and guidelines</w:t>
            </w:r>
          </w:p>
          <w:p w:rsidR="00000000" w:rsidP="00833E1C">
            <w:pPr>
              <w:pStyle w:val="ListBullet"/>
              <w:rPr>
                <w:lang w:val="en-NZ"/>
              </w:rPr>
            </w:pPr>
            <w:r w:rsidRPr="00833E1C">
              <w:t xml:space="preserve">Legal requirements of documentation </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Client history may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Pre-existing conditions</w:t>
            </w:r>
          </w:p>
          <w:p w:rsidR="00000000" w:rsidRPr="00833E1C" w:rsidP="00833E1C">
            <w:pPr>
              <w:pStyle w:val="ListBullet"/>
            </w:pPr>
            <w:r w:rsidRPr="00833E1C">
              <w:t>Admission diagnosis</w:t>
            </w:r>
          </w:p>
          <w:p w:rsidR="00000000" w:rsidRPr="00833E1C" w:rsidP="00833E1C">
            <w:pPr>
              <w:pStyle w:val="ListBullet"/>
            </w:pPr>
            <w:r w:rsidRPr="00833E1C">
              <w:t>Allergies</w:t>
            </w:r>
          </w:p>
          <w:p w:rsidR="00000000" w:rsidRPr="00833E1C" w:rsidP="00833E1C">
            <w:pPr>
              <w:pStyle w:val="ListBullet"/>
            </w:pPr>
            <w:r w:rsidRPr="00833E1C">
              <w:t>Current history</w:t>
            </w:r>
          </w:p>
          <w:p w:rsidR="00000000" w:rsidRPr="00833E1C" w:rsidP="00833E1C">
            <w:pPr>
              <w:pStyle w:val="ListBullet"/>
            </w:pPr>
            <w:r w:rsidRPr="00833E1C">
              <w:t>Current medication</w:t>
            </w:r>
          </w:p>
          <w:p w:rsidR="00000000" w:rsidRPr="00833E1C" w:rsidP="00833E1C">
            <w:pPr>
              <w:pStyle w:val="ListBullet"/>
            </w:pPr>
            <w:r w:rsidRPr="00833E1C">
              <w:t>Behavioural characteristics</w:t>
            </w:r>
          </w:p>
          <w:p w:rsidR="00000000" w:rsidRPr="00833E1C" w:rsidP="00833E1C">
            <w:pPr>
              <w:pStyle w:val="ListBullet"/>
            </w:pPr>
            <w:r w:rsidRPr="00833E1C">
              <w:t>Nutritional status</w:t>
            </w:r>
          </w:p>
          <w:p w:rsidR="00000000" w:rsidRPr="00833E1C" w:rsidP="00833E1C">
            <w:pPr>
              <w:pStyle w:val="ListBullet"/>
            </w:pPr>
            <w:r w:rsidRPr="00833E1C">
              <w:t>Hydration status</w:t>
            </w:r>
          </w:p>
          <w:p w:rsidR="00000000" w:rsidRPr="00833E1C" w:rsidP="00833E1C">
            <w:pPr>
              <w:pStyle w:val="ListBullet"/>
            </w:pPr>
            <w:r w:rsidRPr="00833E1C">
              <w:t>Psychological needs</w:t>
            </w:r>
          </w:p>
          <w:p w:rsidR="00000000" w:rsidRPr="00833E1C" w:rsidP="00833E1C">
            <w:pPr>
              <w:pStyle w:val="ListBullet"/>
            </w:pPr>
            <w:r w:rsidRPr="00833E1C">
              <w:t>Psychosocial needs</w:t>
            </w:r>
          </w:p>
          <w:p w:rsidR="00000000" w:rsidRPr="00833E1C" w:rsidP="00833E1C">
            <w:pPr>
              <w:pStyle w:val="ListBullet"/>
            </w:pPr>
            <w:r w:rsidRPr="00833E1C">
              <w:t>Compliance history</w:t>
            </w:r>
          </w:p>
          <w:p w:rsidR="00000000" w:rsidP="00833E1C">
            <w:pPr>
              <w:pStyle w:val="ListBullet"/>
              <w:rPr>
                <w:lang w:val="en-NZ"/>
              </w:rPr>
            </w:pPr>
            <w:r w:rsidRPr="00833E1C">
              <w:t>Concurrent medications</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Reports can be verbal or written</w:t>
            </w:r>
            <w:r w:rsidRPr="00833E1C">
              <w:t xml:space="preserve">, </w:t>
            </w:r>
            <w:r w:rsidRPr="00833E1C">
              <w:rPr>
                <w:rStyle w:val="Emphasis"/>
              </w:rPr>
              <w:t>and may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Individual client records</w:t>
            </w:r>
          </w:p>
          <w:p w:rsidR="00000000" w:rsidRPr="00833E1C" w:rsidP="00833E1C">
            <w:pPr>
              <w:pStyle w:val="ListBullet"/>
            </w:pPr>
            <w:r w:rsidRPr="00833E1C">
              <w:t>Pain management plans</w:t>
            </w:r>
          </w:p>
          <w:p w:rsidR="00000000" w:rsidRPr="00833E1C" w:rsidP="00833E1C">
            <w:pPr>
              <w:pStyle w:val="ListBullet"/>
            </w:pPr>
            <w:r w:rsidRPr="00833E1C">
              <w:t>Fluid status management</w:t>
            </w:r>
          </w:p>
          <w:p w:rsidR="00000000" w:rsidRPr="00833E1C" w:rsidP="00833E1C">
            <w:pPr>
              <w:pStyle w:val="ListBullet"/>
            </w:pPr>
            <w:r w:rsidRPr="00833E1C">
              <w:t>Nutritional status management</w:t>
            </w:r>
          </w:p>
          <w:p w:rsidR="00000000" w:rsidRPr="00833E1C" w:rsidP="00833E1C">
            <w:pPr>
              <w:pStyle w:val="ListBullet"/>
            </w:pPr>
            <w:r w:rsidRPr="00833E1C">
              <w:t>Observational documentation</w:t>
            </w:r>
          </w:p>
          <w:p w:rsidR="00000000" w:rsidRPr="00833E1C" w:rsidP="00833E1C">
            <w:pPr>
              <w:pStyle w:val="ListBullet"/>
            </w:pPr>
            <w:r w:rsidRPr="00833E1C">
              <w:t>Medication charts</w:t>
            </w:r>
          </w:p>
          <w:p w:rsidR="00000000" w:rsidRPr="00833E1C" w:rsidP="00833E1C">
            <w:pPr>
              <w:pStyle w:val="ListBullet"/>
            </w:pPr>
            <w:r w:rsidRPr="00833E1C">
              <w:t>Admission and discharge planning</w:t>
            </w:r>
          </w:p>
          <w:p w:rsidR="00000000" w:rsidRPr="00833E1C" w:rsidP="00833E1C">
            <w:pPr>
              <w:pStyle w:val="ListBullet"/>
            </w:pPr>
            <w:r w:rsidRPr="00833E1C">
              <w:t>Diagnostic reports/results</w:t>
            </w:r>
          </w:p>
          <w:p w:rsidR="00000000" w:rsidRPr="00833E1C" w:rsidP="00833E1C">
            <w:pPr>
              <w:pStyle w:val="ListBullet"/>
            </w:pPr>
            <w:r w:rsidRPr="00833E1C">
              <w:t>Clinical progress notes</w:t>
            </w:r>
          </w:p>
          <w:p w:rsidR="00000000" w:rsidRPr="00833E1C" w:rsidP="00833E1C">
            <w:pPr>
              <w:pStyle w:val="ListBullet"/>
            </w:pPr>
            <w:r w:rsidRPr="00833E1C">
              <w:t>Hand-over at end of shift</w:t>
            </w:r>
          </w:p>
          <w:p w:rsidR="00000000" w:rsidP="00833E1C">
            <w:pPr>
              <w:pStyle w:val="ListBullet"/>
              <w:rPr>
                <w:lang w:val="en-NZ"/>
              </w:rPr>
            </w:pPr>
            <w:r w:rsidRPr="00833E1C">
              <w:t>Medication incident reports</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Policies and procedures relating to infection control can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Effective hand washing and hand drying techniques</w:t>
            </w:r>
          </w:p>
          <w:p w:rsidR="00000000" w:rsidRPr="00833E1C" w:rsidP="00833E1C">
            <w:pPr>
              <w:pStyle w:val="ListBullet"/>
            </w:pPr>
            <w:r w:rsidRPr="00833E1C">
              <w:t>Handling of medication</w:t>
            </w:r>
          </w:p>
          <w:p w:rsidR="00000000" w:rsidP="00833E1C">
            <w:pPr>
              <w:pStyle w:val="ListBullet"/>
              <w:rPr>
                <w:lang w:val="en-NZ"/>
              </w:rPr>
            </w:pPr>
            <w:r w:rsidRPr="00833E1C">
              <w:t>Approp</w:t>
            </w:r>
            <w:r w:rsidRPr="00833E1C">
              <w:t>riate use and disposal of personal protective equipment</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Relevant client information may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Medication side effects</w:t>
            </w:r>
          </w:p>
          <w:p w:rsidR="00000000" w:rsidRPr="00833E1C" w:rsidP="00833E1C">
            <w:pPr>
              <w:pStyle w:val="ListBullet"/>
            </w:pPr>
            <w:r w:rsidRPr="00833E1C">
              <w:t>Length of treatment</w:t>
            </w:r>
          </w:p>
          <w:p w:rsidR="00000000" w:rsidRPr="00833E1C" w:rsidP="00833E1C">
            <w:pPr>
              <w:pStyle w:val="ListBullet"/>
            </w:pPr>
            <w:r w:rsidRPr="00833E1C">
              <w:t>Drug interactions</w:t>
            </w:r>
          </w:p>
          <w:p w:rsidR="00000000" w:rsidRPr="00833E1C" w:rsidP="00833E1C">
            <w:pPr>
              <w:pStyle w:val="ListBullet"/>
            </w:pPr>
            <w:r w:rsidRPr="00833E1C">
              <w:t>Consequences of non-compliance</w:t>
            </w:r>
          </w:p>
          <w:p w:rsidR="00000000" w:rsidP="00833E1C">
            <w:pPr>
              <w:pStyle w:val="ListBullet"/>
              <w:rPr>
                <w:lang w:val="en-NZ"/>
              </w:rPr>
            </w:pPr>
            <w:r w:rsidRPr="00833E1C">
              <w:t>Anatomical positioning</w:t>
            </w:r>
            <w:r w:rsidRPr="00833E1C">
              <w:t xml:space="preserve"> for safe non-injectable drug administration</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Factors influencing medication actions may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Rate of absorption</w:t>
            </w:r>
          </w:p>
          <w:p w:rsidR="00000000" w:rsidRPr="00833E1C" w:rsidP="00833E1C">
            <w:pPr>
              <w:pStyle w:val="ListBullet"/>
            </w:pPr>
            <w:r w:rsidRPr="00833E1C">
              <w:t>Distribution</w:t>
            </w:r>
          </w:p>
          <w:p w:rsidR="00000000" w:rsidRPr="00833E1C" w:rsidP="00833E1C">
            <w:pPr>
              <w:pStyle w:val="ListBullet"/>
            </w:pPr>
            <w:r w:rsidRPr="00833E1C">
              <w:t>Metabolism</w:t>
            </w:r>
          </w:p>
          <w:p w:rsidR="00000000" w:rsidRPr="00833E1C" w:rsidP="00833E1C">
            <w:pPr>
              <w:pStyle w:val="ListBullet"/>
            </w:pPr>
            <w:r w:rsidRPr="00833E1C">
              <w:t>Drug interactions</w:t>
            </w:r>
          </w:p>
          <w:p w:rsidR="00000000" w:rsidRPr="00833E1C" w:rsidP="00833E1C">
            <w:pPr>
              <w:pStyle w:val="ListBullet"/>
            </w:pPr>
            <w:r w:rsidRPr="00833E1C">
              <w:t>Excretion</w:t>
            </w:r>
          </w:p>
          <w:p w:rsidR="00000000" w:rsidRPr="00833E1C" w:rsidP="00833E1C">
            <w:pPr>
              <w:pStyle w:val="ListBullet"/>
            </w:pPr>
            <w:r w:rsidRPr="00833E1C">
              <w:t>Dosage form</w:t>
            </w:r>
          </w:p>
          <w:p w:rsidR="00000000" w:rsidRPr="00833E1C" w:rsidP="00833E1C">
            <w:pPr>
              <w:pStyle w:val="ListBullet"/>
            </w:pPr>
            <w:r w:rsidRPr="00833E1C">
              <w:t>Route of administration</w:t>
            </w:r>
          </w:p>
          <w:p w:rsidR="00000000" w:rsidRPr="00833E1C" w:rsidP="00833E1C">
            <w:pPr>
              <w:pStyle w:val="ListBullet"/>
            </w:pPr>
            <w:r w:rsidRPr="00833E1C">
              <w:t>Improper storage</w:t>
            </w:r>
          </w:p>
          <w:p w:rsidR="00000000" w:rsidRPr="00833E1C" w:rsidP="00833E1C">
            <w:pPr>
              <w:pStyle w:val="ListBullet"/>
            </w:pPr>
            <w:r w:rsidRPr="00833E1C">
              <w:t>Timing of administration</w:t>
            </w:r>
          </w:p>
          <w:p w:rsidR="00000000" w:rsidRPr="00833E1C" w:rsidP="00833E1C">
            <w:pPr>
              <w:pStyle w:val="ListBullet"/>
            </w:pPr>
            <w:r w:rsidRPr="00833E1C">
              <w:t>Client age, height, weight</w:t>
            </w:r>
          </w:p>
          <w:p w:rsidR="00000000" w:rsidP="00833E1C">
            <w:pPr>
              <w:pStyle w:val="ListBullet"/>
              <w:rPr>
                <w:lang w:val="en-NZ"/>
              </w:rPr>
            </w:pPr>
            <w:r w:rsidRPr="00833E1C">
              <w:t>Previous history</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Major medication groups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Antacids</w:t>
            </w:r>
          </w:p>
          <w:p w:rsidR="00000000" w:rsidRPr="00833E1C" w:rsidP="00833E1C">
            <w:pPr>
              <w:pStyle w:val="ListBullet"/>
            </w:pPr>
            <w:r w:rsidRPr="00833E1C">
              <w:t>Antianginals</w:t>
            </w:r>
          </w:p>
          <w:p w:rsidR="00000000" w:rsidRPr="00833E1C" w:rsidP="00833E1C">
            <w:pPr>
              <w:pStyle w:val="ListBullet"/>
            </w:pPr>
            <w:r w:rsidRPr="00833E1C">
              <w:t>Antibiotics</w:t>
            </w:r>
          </w:p>
          <w:p w:rsidR="00000000" w:rsidRPr="00833E1C" w:rsidP="00833E1C">
            <w:pPr>
              <w:pStyle w:val="ListBullet"/>
            </w:pPr>
            <w:r w:rsidRPr="00833E1C">
              <w:t>Anticholinergics</w:t>
            </w:r>
          </w:p>
          <w:p w:rsidR="00000000" w:rsidRPr="00833E1C" w:rsidP="00833E1C">
            <w:pPr>
              <w:pStyle w:val="ListBullet"/>
            </w:pPr>
            <w:r w:rsidRPr="00833E1C">
              <w:t>Antidiarrhoeals</w:t>
            </w:r>
          </w:p>
          <w:p w:rsidR="00000000" w:rsidRPr="00833E1C" w:rsidP="00833E1C">
            <w:pPr>
              <w:pStyle w:val="ListBullet"/>
            </w:pPr>
            <w:r w:rsidRPr="00833E1C">
              <w:t>Antiemetics</w:t>
            </w:r>
          </w:p>
          <w:p w:rsidR="00000000" w:rsidRPr="00833E1C" w:rsidP="00833E1C">
            <w:pPr>
              <w:pStyle w:val="ListBullet"/>
            </w:pPr>
            <w:r w:rsidRPr="00833E1C">
              <w:t>Antifungals</w:t>
            </w:r>
          </w:p>
          <w:p w:rsidR="00000000" w:rsidRPr="00833E1C" w:rsidP="00833E1C">
            <w:pPr>
              <w:pStyle w:val="ListBullet"/>
            </w:pPr>
            <w:r w:rsidRPr="00833E1C">
              <w:t>Antihistamines</w:t>
            </w:r>
          </w:p>
          <w:p w:rsidR="00000000" w:rsidRPr="00833E1C" w:rsidP="00833E1C">
            <w:pPr>
              <w:pStyle w:val="ListBullet"/>
            </w:pPr>
            <w:r w:rsidRPr="00833E1C">
              <w:t>Antihypertentives</w:t>
            </w:r>
          </w:p>
          <w:p w:rsidR="00000000" w:rsidRPr="00833E1C" w:rsidP="00833E1C">
            <w:pPr>
              <w:pStyle w:val="ListBullet"/>
            </w:pPr>
            <w:r w:rsidRPr="00833E1C">
              <w:t>Anti-inflammatory</w:t>
            </w:r>
          </w:p>
          <w:p w:rsidR="00000000" w:rsidRPr="00833E1C" w:rsidP="00833E1C">
            <w:pPr>
              <w:pStyle w:val="ListBullet"/>
            </w:pPr>
            <w:r w:rsidRPr="00833E1C">
              <w:t xml:space="preserve">Antiparkinsonion </w:t>
            </w:r>
          </w:p>
          <w:p w:rsidR="00000000" w:rsidRPr="00833E1C" w:rsidP="00833E1C">
            <w:pPr>
              <w:pStyle w:val="ListBullet"/>
            </w:pPr>
            <w:r w:rsidRPr="00833E1C">
              <w:t>Antipruritic</w:t>
            </w:r>
          </w:p>
          <w:p w:rsidR="00000000" w:rsidRPr="00833E1C" w:rsidP="00833E1C">
            <w:pPr>
              <w:pStyle w:val="ListBullet"/>
            </w:pPr>
            <w:r w:rsidRPr="00833E1C">
              <w:t>Antiseptics</w:t>
            </w:r>
          </w:p>
          <w:p w:rsidR="00000000" w:rsidRPr="00833E1C" w:rsidP="00833E1C">
            <w:pPr>
              <w:pStyle w:val="ListBullet"/>
            </w:pPr>
            <w:r w:rsidRPr="00833E1C">
              <w:t>Antiulcer</w:t>
            </w:r>
          </w:p>
          <w:p w:rsidR="00000000" w:rsidRPr="00833E1C" w:rsidP="00833E1C">
            <w:pPr>
              <w:pStyle w:val="ListBullet"/>
            </w:pPr>
            <w:r w:rsidRPr="00833E1C">
              <w:t>Antivirals</w:t>
            </w:r>
          </w:p>
          <w:p w:rsidR="00000000" w:rsidRPr="00833E1C" w:rsidP="00833E1C">
            <w:pPr>
              <w:pStyle w:val="ListBullet"/>
            </w:pPr>
            <w:r w:rsidRPr="00833E1C">
              <w:t>Anxiolytics</w:t>
            </w:r>
          </w:p>
          <w:p w:rsidR="00000000" w:rsidRPr="00833E1C" w:rsidP="00833E1C">
            <w:pPr>
              <w:pStyle w:val="ListBullet"/>
            </w:pPr>
            <w:r w:rsidRPr="00833E1C">
              <w:t>Bronchodilators</w:t>
            </w:r>
          </w:p>
          <w:p w:rsidR="00000000" w:rsidRPr="00833E1C" w:rsidP="00833E1C">
            <w:pPr>
              <w:pStyle w:val="ListBullet"/>
            </w:pPr>
            <w:r w:rsidRPr="00833E1C">
              <w:t xml:space="preserve">Beta blockers </w:t>
            </w:r>
          </w:p>
          <w:p w:rsidR="00000000" w:rsidRPr="00833E1C" w:rsidP="00833E1C">
            <w:pPr>
              <w:pStyle w:val="ListBullet"/>
            </w:pPr>
            <w:r w:rsidRPr="00833E1C">
              <w:t>Contraceptives</w:t>
            </w:r>
          </w:p>
          <w:p w:rsidR="00000000" w:rsidRPr="00833E1C" w:rsidP="00833E1C">
            <w:pPr>
              <w:pStyle w:val="ListBullet"/>
            </w:pPr>
            <w:r w:rsidRPr="00833E1C">
              <w:t>Corticosteroids</w:t>
            </w:r>
          </w:p>
          <w:p w:rsidR="00000000" w:rsidRPr="00833E1C" w:rsidP="00833E1C">
            <w:pPr>
              <w:pStyle w:val="ListBullet"/>
            </w:pPr>
            <w:r w:rsidRPr="00833E1C">
              <w:t>Diuretics</w:t>
            </w:r>
          </w:p>
          <w:p w:rsidR="00000000" w:rsidRPr="00833E1C" w:rsidP="00833E1C">
            <w:pPr>
              <w:pStyle w:val="ListBullet"/>
            </w:pPr>
            <w:r w:rsidRPr="00833E1C">
              <w:t>Electrolyte solutions</w:t>
            </w:r>
          </w:p>
          <w:p w:rsidR="00000000" w:rsidRPr="00833E1C" w:rsidP="00833E1C">
            <w:pPr>
              <w:pStyle w:val="ListBullet"/>
            </w:pPr>
            <w:r w:rsidRPr="00833E1C">
              <w:t>Hypnotics/sedatives</w:t>
            </w:r>
          </w:p>
          <w:p w:rsidR="00000000" w:rsidRPr="00833E1C" w:rsidP="00833E1C">
            <w:pPr>
              <w:pStyle w:val="ListBullet"/>
            </w:pPr>
            <w:r w:rsidRPr="00833E1C">
              <w:t>Laxatives/aperients</w:t>
            </w:r>
          </w:p>
          <w:p w:rsidR="00000000" w:rsidRPr="00833E1C" w:rsidP="00833E1C">
            <w:pPr>
              <w:pStyle w:val="ListBullet"/>
            </w:pPr>
            <w:r w:rsidRPr="00833E1C">
              <w:t>Narcotic analgesia</w:t>
            </w:r>
          </w:p>
          <w:p w:rsidR="00000000" w:rsidRPr="00833E1C" w:rsidP="00833E1C">
            <w:pPr>
              <w:pStyle w:val="ListBullet"/>
            </w:pPr>
            <w:r w:rsidRPr="00833E1C">
              <w:t>Neuroleptics</w:t>
            </w:r>
          </w:p>
          <w:p w:rsidR="00000000" w:rsidP="00833E1C">
            <w:pPr>
              <w:pStyle w:val="ListBullet"/>
              <w:rPr>
                <w:lang w:val="en-NZ"/>
              </w:rPr>
            </w:pPr>
            <w:r w:rsidRPr="00833E1C">
              <w:t>Hypoglycaemics</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Major medication groups include</w:t>
            </w:r>
            <w:r w:rsidRPr="00833E1C">
              <w:t xml:space="preserve">: </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Analgesia</w:t>
            </w:r>
          </w:p>
          <w:p w:rsidR="00000000" w:rsidP="00833E1C">
            <w:pPr>
              <w:pStyle w:val="ListBullet"/>
              <w:rPr>
                <w:lang w:val="en-NZ"/>
              </w:rPr>
            </w:pPr>
            <w:r w:rsidRPr="00833E1C">
              <w:t>Vitamins</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r w:rsidRPr="00833E1C">
              <w:rPr>
                <w:rStyle w:val="Emphasis"/>
              </w:rPr>
              <w:t>Methods of storage</w:t>
            </w:r>
            <w:r w:rsidRPr="00833E1C">
              <w:t xml:space="preserve">, </w:t>
            </w:r>
            <w:r w:rsidRPr="00833E1C">
              <w:rPr>
                <w:rStyle w:val="Emphasis"/>
              </w:rPr>
              <w:t>handling and usage of medications may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Dry/moist</w:t>
            </w:r>
          </w:p>
          <w:p w:rsidR="00000000" w:rsidRPr="00833E1C" w:rsidP="00833E1C">
            <w:pPr>
              <w:pStyle w:val="ListBullet"/>
            </w:pPr>
            <w:r w:rsidRPr="00833E1C">
              <w:t>Refrigeration</w:t>
            </w:r>
          </w:p>
          <w:p w:rsidR="00000000" w:rsidRPr="00833E1C" w:rsidP="00833E1C">
            <w:pPr>
              <w:pStyle w:val="ListBullet"/>
            </w:pPr>
            <w:r w:rsidRPr="00833E1C">
              <w:t>Away from light/heat</w:t>
            </w:r>
          </w:p>
          <w:p w:rsidR="00000000" w:rsidRPr="00833E1C" w:rsidP="00833E1C">
            <w:pPr>
              <w:pStyle w:val="ListBullet"/>
            </w:pPr>
            <w:r w:rsidRPr="00833E1C">
              <w:t xml:space="preserve">Separate storage of external use medications and internal use medications </w:t>
            </w:r>
          </w:p>
          <w:p w:rsidR="00000000" w:rsidRPr="00833E1C" w:rsidP="00833E1C">
            <w:pPr>
              <w:pStyle w:val="ListBullet"/>
            </w:pPr>
            <w:r w:rsidRPr="00833E1C">
              <w:t>Locked cupboard/trolley</w:t>
            </w:r>
          </w:p>
          <w:p w:rsidR="00000000" w:rsidRPr="00833E1C" w:rsidP="00833E1C">
            <w:pPr>
              <w:pStyle w:val="ListBullet"/>
            </w:pPr>
            <w:r w:rsidRPr="00833E1C">
              <w:t>Responsibility for security of drug cupboard/trolley keys</w:t>
            </w:r>
          </w:p>
          <w:p w:rsidR="00000000" w:rsidRPr="00833E1C" w:rsidP="00833E1C">
            <w:pPr>
              <w:pStyle w:val="ListBullet"/>
            </w:pPr>
            <w:r w:rsidRPr="00833E1C">
              <w:t>Narcotics - locked, attached to wall</w:t>
            </w:r>
          </w:p>
          <w:p w:rsidR="00000000" w:rsidRPr="00833E1C" w:rsidP="00833E1C">
            <w:pPr>
              <w:pStyle w:val="ListBullet"/>
            </w:pPr>
            <w:r w:rsidRPr="00833E1C">
              <w:t>Register for drugs of addiction</w:t>
            </w:r>
          </w:p>
          <w:p w:rsidR="00000000" w:rsidRPr="00833E1C" w:rsidP="00833E1C">
            <w:pPr>
              <w:pStyle w:val="ListBullet"/>
            </w:pPr>
            <w:r w:rsidRPr="00833E1C">
              <w:t>Routine checking of narcotic drugs in storage</w:t>
            </w:r>
          </w:p>
          <w:p w:rsidR="00000000" w:rsidRPr="00833E1C" w:rsidP="00833E1C">
            <w:pPr>
              <w:pStyle w:val="ListBullet"/>
            </w:pPr>
            <w:r w:rsidRPr="00833E1C">
              <w:t xml:space="preserve">Pharmacy responsibilities </w:t>
            </w:r>
          </w:p>
          <w:p w:rsidR="00000000" w:rsidP="00833E1C">
            <w:pPr>
              <w:pStyle w:val="ListBullet"/>
              <w:rPr>
                <w:lang w:val="en-NZ"/>
              </w:rPr>
            </w:pPr>
            <w:r w:rsidRPr="00833E1C">
              <w:t>Expiry dates</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E1C">
            <w:pPr>
              <w:pStyle w:val="BodyText"/>
              <w:rPr>
                <w:lang w:val="en-NZ"/>
              </w:rPr>
            </w:pP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833E1C" w:rsidP="00833E1C">
            <w:pPr>
              <w:pStyle w:val="BodyText"/>
            </w:pPr>
            <w:r w:rsidRPr="00833E1C">
              <w:rPr>
                <w:rStyle w:val="Emphasis"/>
              </w:rPr>
              <w:t>Administration of oral</w:t>
            </w:r>
            <w:r w:rsidRPr="00833E1C">
              <w:t xml:space="preserve"> </w:t>
            </w:r>
          </w:p>
          <w:p w:rsidR="00000000" w:rsidRPr="00833E1C" w:rsidP="00833E1C">
            <w:pPr>
              <w:pStyle w:val="BodyText"/>
            </w:pPr>
            <w:r w:rsidRPr="00833E1C">
              <w:rPr>
                <w:rStyle w:val="Emphasis"/>
              </w:rPr>
              <w:t>medications and associated</w:t>
            </w:r>
            <w:r w:rsidRPr="00833E1C">
              <w:t xml:space="preserve"> </w:t>
            </w:r>
          </w:p>
          <w:p w:rsidR="00000000" w:rsidP="00833E1C">
            <w:pPr>
              <w:pStyle w:val="BodyText"/>
              <w:rPr>
                <w:lang w:val="en-NZ"/>
              </w:rPr>
            </w:pPr>
            <w:r w:rsidRPr="00833E1C">
              <w:rPr>
                <w:rStyle w:val="Emphasis"/>
              </w:rPr>
              <w:t>terminology may include</w:t>
            </w:r>
            <w:r w:rsidRPr="00833E1C">
              <w:t>:</w:t>
            </w: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ListBullet"/>
            </w:pPr>
            <w:r w:rsidRPr="00833E1C">
              <w:t>Legible medication order</w:t>
            </w:r>
          </w:p>
          <w:p w:rsidR="00000000" w:rsidRPr="00833E1C" w:rsidP="00833E1C">
            <w:pPr>
              <w:pStyle w:val="ListBullet"/>
            </w:pPr>
            <w:r w:rsidRPr="00833E1C">
              <w:t>Preparation of medication by person administering</w:t>
            </w:r>
          </w:p>
          <w:p w:rsidR="00000000" w:rsidRPr="00833E1C" w:rsidP="00833E1C">
            <w:pPr>
              <w:pStyle w:val="ListBullet"/>
            </w:pPr>
            <w:r w:rsidRPr="00833E1C">
              <w:t>6 "Rights" of administration</w:t>
            </w:r>
          </w:p>
          <w:p w:rsidR="00000000" w:rsidRPr="00833E1C" w:rsidP="00833E1C">
            <w:pPr>
              <w:pStyle w:val="ListBullet"/>
            </w:pPr>
            <w:r w:rsidRPr="00833E1C">
              <w:t>Special precautions</w:t>
            </w:r>
          </w:p>
          <w:p w:rsidR="00000000" w:rsidRPr="00833E1C" w:rsidP="00833E1C">
            <w:pPr>
              <w:pStyle w:val="ListBullet"/>
            </w:pPr>
            <w:r w:rsidRPr="00833E1C">
              <w:t>Medication checking process</w:t>
            </w:r>
          </w:p>
          <w:p w:rsidR="00000000" w:rsidP="00833E1C">
            <w:pPr>
              <w:pStyle w:val="List"/>
              <w:rPr>
                <w:lang w:val="en-NZ"/>
              </w:rPr>
            </w:pPr>
            <w:r w:rsidRPr="00833E1C">
              <w:t>4</w:t>
            </w:r>
            <w:r w:rsidRPr="00833E1C">
              <w:tab/>
              <w:t>Documentation of drug ad</w:t>
            </w:r>
            <w:r w:rsidRPr="00833E1C">
              <w:t>ministration</w:t>
            </w:r>
          </w:p>
        </w:tc>
      </w:tr>
      <w:tr w:rsidTr="0076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E1C" w:rsidP="00833E1C">
            <w:pPr>
              <w:pStyle w:val="BodyText"/>
            </w:pPr>
          </w:p>
        </w:tc>
      </w:tr>
    </w:tbl>
    <w:p w:rsidR="00766B56" w:rsidP="00833E1C">
      <w:pPr>
        <w:pStyle w:val="BodyText"/>
      </w:pPr>
    </w:p>
    <w:p w:rsidR="00766B56" w:rsidP="00833E1C">
      <w:pPr>
        <w:pStyle w:val="BodyText"/>
      </w:pPr>
    </w:p>
    <w:p w:rsidR="00000000" w:rsidRPr="00833E1C" w:rsidP="00833E1C">
      <w:pPr>
        <w:pStyle w:val="Heading1"/>
      </w:pPr>
      <w:bookmarkStart w:id="12" w:name="O_295057"/>
      <w:bookmarkEnd w:id="12"/>
      <w:r w:rsidRPr="00833E1C">
        <w:t>Unit Sector(s)</w:t>
      </w:r>
    </w:p>
    <w:p w:rsidR="00000000" w:rsidRPr="00833E1C" w:rsidP="00833E1C">
      <w:pPr>
        <w:pStyle w:val="BodyText"/>
      </w:pPr>
      <w:r w:rsidRPr="00833E1C">
        <w:t>Not Applicable</w:t>
      </w:r>
    </w:p>
    <w:p w:rsidR="00000000" w:rsidRPr="00833E1C" w:rsidP="00833E1C"/>
    <w:sectPr w:rsidSect="00833E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B56" w:rsidP="00766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56" w:rsidP="00833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6B56" w:rsidP="00833E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6B56" w:rsidP="00833E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B56" w:rsidP="00766B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56" w:rsidP="00833E1C">
    <w:pPr>
      <w:pStyle w:val="Header"/>
      <w:framePr w:wrap="around"/>
    </w:pPr>
    <w:r>
      <w:fldChar w:fldCharType="begin"/>
    </w:r>
    <w:r>
      <w:instrText xml:space="preserve"> TITLE   \* MERGEFORMAT </w:instrText>
    </w:r>
    <w:r>
      <w:fldChar w:fldCharType="separate"/>
    </w:r>
    <w:r>
      <w:t>HLTEN407B Administer a range of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6B56" w:rsidP="00833E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443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0F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F65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E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3E1C"/>
    <w:pPr>
      <w:spacing w:before="360" w:after="60"/>
      <w:outlineLvl w:val="0"/>
    </w:pPr>
    <w:rPr>
      <w:sz w:val="32"/>
    </w:rPr>
  </w:style>
  <w:style w:type="paragraph" w:styleId="Heading2">
    <w:name w:val="heading 2"/>
    <w:basedOn w:val="HeadingBase"/>
    <w:next w:val="BodyText"/>
    <w:link w:val="Heading2Char"/>
    <w:qFormat/>
    <w:rsid w:val="00833E1C"/>
    <w:pPr>
      <w:keepLines/>
      <w:spacing w:before="240" w:after="120"/>
      <w:outlineLvl w:val="1"/>
    </w:pPr>
    <w:rPr>
      <w:sz w:val="28"/>
      <w:szCs w:val="40"/>
    </w:rPr>
  </w:style>
  <w:style w:type="paragraph" w:styleId="Heading3">
    <w:name w:val="heading 3"/>
    <w:basedOn w:val="HeadingBase"/>
    <w:next w:val="BodyText"/>
    <w:link w:val="Heading3Char"/>
    <w:qFormat/>
    <w:rsid w:val="00833E1C"/>
    <w:pPr>
      <w:spacing w:before="180" w:after="120"/>
      <w:outlineLvl w:val="2"/>
    </w:pPr>
    <w:rPr>
      <w:spacing w:val="-10"/>
      <w:kern w:val="32"/>
    </w:rPr>
  </w:style>
  <w:style w:type="paragraph" w:styleId="Heading4">
    <w:name w:val="heading 4"/>
    <w:basedOn w:val="HeadingBase"/>
    <w:next w:val="BodyText"/>
    <w:link w:val="Heading4Char"/>
    <w:qFormat/>
    <w:rsid w:val="00833E1C"/>
    <w:pPr>
      <w:spacing w:before="160" w:after="120"/>
      <w:outlineLvl w:val="3"/>
    </w:pPr>
    <w:rPr>
      <w:sz w:val="22"/>
    </w:rPr>
  </w:style>
  <w:style w:type="paragraph" w:styleId="Heading5">
    <w:name w:val="heading 5"/>
    <w:basedOn w:val="HeadingBase"/>
    <w:next w:val="Normal"/>
    <w:link w:val="Heading5Char"/>
    <w:qFormat/>
    <w:rsid w:val="00833E1C"/>
    <w:pPr>
      <w:spacing w:before="80"/>
      <w:outlineLvl w:val="4"/>
    </w:pPr>
    <w:rPr>
      <w:color w:val="918585"/>
      <w:sz w:val="20"/>
    </w:rPr>
  </w:style>
  <w:style w:type="paragraph" w:styleId="Heading6">
    <w:name w:val="heading 6"/>
    <w:basedOn w:val="HeadingBase"/>
    <w:next w:val="Normal"/>
    <w:link w:val="Heading6Char"/>
    <w:qFormat/>
    <w:rsid w:val="00833E1C"/>
    <w:pPr>
      <w:spacing w:before="60"/>
      <w:outlineLvl w:val="5"/>
    </w:pPr>
    <w:rPr>
      <w:color w:val="918585"/>
      <w:sz w:val="20"/>
    </w:rPr>
  </w:style>
  <w:style w:type="paragraph" w:styleId="Heading7">
    <w:name w:val="heading 7"/>
    <w:basedOn w:val="Normal"/>
    <w:next w:val="Normal"/>
    <w:link w:val="Heading7Char"/>
    <w:qFormat/>
    <w:rsid w:val="00833E1C"/>
    <w:pPr>
      <w:ind w:left="720"/>
      <w:outlineLvl w:val="6"/>
    </w:pPr>
    <w:rPr>
      <w:i/>
    </w:rPr>
  </w:style>
  <w:style w:type="paragraph" w:styleId="Heading8">
    <w:name w:val="heading 8"/>
    <w:basedOn w:val="Normal"/>
    <w:next w:val="Normal"/>
    <w:link w:val="Heading8Char"/>
    <w:qFormat/>
    <w:rsid w:val="00833E1C"/>
    <w:pPr>
      <w:ind w:left="720"/>
      <w:outlineLvl w:val="7"/>
    </w:pPr>
    <w:rPr>
      <w:i/>
    </w:rPr>
  </w:style>
  <w:style w:type="paragraph" w:styleId="Heading9">
    <w:name w:val="heading 9"/>
    <w:basedOn w:val="Normal"/>
    <w:next w:val="Normal"/>
    <w:link w:val="Heading9Char"/>
    <w:qFormat/>
    <w:rsid w:val="00833E1C"/>
    <w:pPr>
      <w:ind w:left="720"/>
      <w:outlineLvl w:val="8"/>
    </w:pPr>
    <w:rPr>
      <w:i/>
    </w:rPr>
  </w:style>
  <w:style w:type="character" w:default="1" w:styleId="DefaultParagraphFont">
    <w:name w:val="Default Paragraph Font"/>
    <w:uiPriority w:val="1"/>
    <w:unhideWhenUsed/>
    <w:rsid w:val="00833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E1C"/>
  </w:style>
  <w:style w:type="character" w:customStyle="1" w:styleId="Heading1Char">
    <w:name w:val="Heading 1 Char"/>
    <w:basedOn w:val="DefaultParagraphFont"/>
    <w:link w:val="Heading1"/>
    <w:rsid w:val="00833E1C"/>
    <w:rPr>
      <w:rFonts w:ascii="Times New Roman" w:eastAsia="Times New Roman" w:hAnsi="Times New Roman" w:cs="Times New Roman"/>
      <w:b/>
      <w:sz w:val="32"/>
      <w:szCs w:val="20"/>
      <w:lang w:eastAsia="en-US"/>
    </w:rPr>
  </w:style>
  <w:style w:type="paragraph" w:styleId="BodyText">
    <w:name w:val="Body Text"/>
    <w:basedOn w:val="Normal"/>
    <w:link w:val="BodyTextChar"/>
    <w:rsid w:val="00833E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E1C"/>
    <w:rPr>
      <w:rFonts w:ascii="Times New Roman" w:eastAsia="Times New Roman" w:hAnsi="Times New Roman" w:cs="Times New Roman"/>
      <w:sz w:val="24"/>
      <w:lang w:val="en-US" w:eastAsia="en-US"/>
    </w:rPr>
  </w:style>
  <w:style w:type="paragraph" w:styleId="Footer">
    <w:name w:val="footer"/>
    <w:basedOn w:val="Normal"/>
    <w:link w:val="FooterChar"/>
    <w:rsid w:val="00833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E1C"/>
    <w:rPr>
      <w:rFonts w:ascii="Times New Roman" w:eastAsia="Times New Roman" w:hAnsi="Times New Roman" w:cs="Times New Roman"/>
      <w:sz w:val="16"/>
      <w:lang w:val="en-US" w:eastAsia="en-US"/>
    </w:rPr>
  </w:style>
  <w:style w:type="paragraph" w:styleId="List">
    <w:name w:val="List"/>
    <w:basedOn w:val="BodyText"/>
    <w:next w:val="BodyText"/>
    <w:rsid w:val="00833E1C"/>
    <w:pPr>
      <w:tabs>
        <w:tab w:val="left" w:pos="340"/>
      </w:tabs>
      <w:spacing w:before="60" w:after="60"/>
      <w:ind w:left="340" w:hanging="340"/>
    </w:pPr>
  </w:style>
  <w:style w:type="paragraph" w:styleId="ListBullet">
    <w:name w:val="List Bullet"/>
    <w:basedOn w:val="List"/>
    <w:rsid w:val="00833E1C"/>
    <w:pPr>
      <w:numPr>
        <w:numId w:val="13"/>
      </w:numPr>
      <w:tabs>
        <w:tab w:val="clear" w:pos="340"/>
      </w:tabs>
      <w:spacing w:before="40" w:after="40"/>
    </w:pPr>
  </w:style>
  <w:style w:type="character" w:customStyle="1" w:styleId="SpecialBold">
    <w:name w:val="Special Bold"/>
    <w:basedOn w:val="DefaultParagraphFont"/>
    <w:rsid w:val="00833E1C"/>
    <w:rPr>
      <w:b/>
      <w:spacing w:val="0"/>
    </w:rPr>
  </w:style>
  <w:style w:type="paragraph" w:styleId="ListBullet2">
    <w:name w:val="List Bullet 2"/>
    <w:basedOn w:val="List2"/>
    <w:rsid w:val="00833E1C"/>
    <w:pPr>
      <w:numPr>
        <w:numId w:val="14"/>
      </w:numPr>
      <w:tabs>
        <w:tab w:val="clear" w:pos="680"/>
      </w:tabs>
    </w:pPr>
  </w:style>
  <w:style w:type="paragraph" w:styleId="Header">
    <w:name w:val="header"/>
    <w:basedOn w:val="Normal"/>
    <w:link w:val="HeaderChar"/>
    <w:rsid w:val="00833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E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3E1C"/>
    <w:rPr>
      <w:i/>
    </w:rPr>
  </w:style>
  <w:style w:type="paragraph" w:customStyle="1" w:styleId="SuperHeading">
    <w:name w:val="SuperHeading"/>
    <w:basedOn w:val="Normal"/>
    <w:rsid w:val="00833E1C"/>
    <w:pPr>
      <w:spacing w:before="240" w:after="120"/>
      <w:outlineLvl w:val="0"/>
    </w:pPr>
    <w:rPr>
      <w:rFonts w:ascii="Times New Roman" w:hAnsi="Times New Roman"/>
      <w:b/>
      <w:sz w:val="28"/>
    </w:rPr>
  </w:style>
  <w:style w:type="paragraph" w:customStyle="1" w:styleId="AllowPageBreak">
    <w:name w:val="AllowPageBreak"/>
    <w:rsid w:val="00833E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3E1C"/>
    <w:pPr>
      <w:tabs>
        <w:tab w:val="left" w:pos="680"/>
      </w:tabs>
      <w:spacing w:before="60" w:after="60"/>
      <w:ind w:left="680" w:hanging="340"/>
    </w:pPr>
  </w:style>
  <w:style w:type="character" w:customStyle="1" w:styleId="Heading2Char">
    <w:name w:val="Heading 2 Char"/>
    <w:basedOn w:val="DefaultParagraphFont"/>
    <w:link w:val="Heading2"/>
    <w:rsid w:val="00833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E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3E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3E1C"/>
    <w:rPr>
      <w:rFonts w:ascii="Courier New" w:eastAsia="Times New Roman" w:hAnsi="Courier New" w:cs="Times New Roman"/>
      <w:i/>
      <w:szCs w:val="20"/>
      <w:lang w:val="en-US" w:eastAsia="en-US"/>
    </w:rPr>
  </w:style>
  <w:style w:type="paragraph" w:customStyle="1" w:styleId="HeadingBase">
    <w:name w:val="Heading Base"/>
    <w:rsid w:val="00833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E1C"/>
    <w:pPr>
      <w:tabs>
        <w:tab w:val="right" w:leader="dot" w:pos="9072"/>
      </w:tabs>
      <w:ind w:left="567"/>
    </w:pPr>
    <w:rPr>
      <w:szCs w:val="22"/>
    </w:rPr>
  </w:style>
  <w:style w:type="paragraph" w:customStyle="1" w:styleId="TOCBase">
    <w:name w:val="TOC Base"/>
    <w:rsid w:val="00833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E1C"/>
    <w:pPr>
      <w:tabs>
        <w:tab w:val="right" w:leader="dot" w:pos="9072"/>
      </w:tabs>
      <w:spacing w:before="40" w:after="40"/>
      <w:ind w:left="284"/>
    </w:pPr>
    <w:rPr>
      <w:rFonts w:ascii="Times New Roman" w:hAnsi="Times New Roman"/>
    </w:rPr>
  </w:style>
  <w:style w:type="paragraph" w:styleId="TOC1">
    <w:name w:val="toc 1"/>
    <w:basedOn w:val="TOCBase"/>
    <w:next w:val="Normal"/>
    <w:rsid w:val="00833E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E1C"/>
    <w:pPr>
      <w:spacing w:before="5040"/>
      <w:jc w:val="center"/>
    </w:pPr>
    <w:rPr>
      <w:sz w:val="48"/>
      <w:szCs w:val="72"/>
      <w:lang w:val="en-US"/>
    </w:rPr>
  </w:style>
  <w:style w:type="character" w:customStyle="1" w:styleId="TitleChar">
    <w:name w:val="Title Char"/>
    <w:basedOn w:val="DefaultParagraphFont"/>
    <w:link w:val="Title"/>
    <w:rsid w:val="00833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E1C"/>
    <w:pPr>
      <w:tabs>
        <w:tab w:val="left" w:pos="3600"/>
        <w:tab w:val="left" w:pos="3958"/>
      </w:tabs>
    </w:pPr>
  </w:style>
  <w:style w:type="paragraph" w:customStyle="1" w:styleId="Note">
    <w:name w:val="Note"/>
    <w:basedOn w:val="BodyText"/>
    <w:rsid w:val="00833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E1C"/>
    <w:pPr>
      <w:framePr w:wrap="auto" w:hAnchor="text" w:y="6049"/>
    </w:pPr>
    <w:rPr>
      <w:color w:val="000000"/>
      <w:sz w:val="40"/>
    </w:rPr>
  </w:style>
  <w:style w:type="paragraph" w:customStyle="1" w:styleId="TOCTitle">
    <w:name w:val="TOCTitle"/>
    <w:basedOn w:val="Heading1"/>
    <w:rsid w:val="00833E1C"/>
    <w:pPr>
      <w:spacing w:after="240"/>
      <w:jc w:val="center"/>
      <w:outlineLvl w:val="9"/>
    </w:pPr>
    <w:rPr>
      <w:caps/>
    </w:rPr>
  </w:style>
  <w:style w:type="paragraph" w:customStyle="1" w:styleId="Version">
    <w:name w:val="Version"/>
    <w:rsid w:val="00833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E1C"/>
    <w:pPr>
      <w:keepNext w:val="0"/>
      <w:tabs>
        <w:tab w:val="right" w:pos="4176"/>
      </w:tabs>
      <w:ind w:left="198" w:hanging="198"/>
    </w:pPr>
    <w:rPr>
      <w:rFonts w:ascii="Garamond" w:hAnsi="Garamond"/>
    </w:rPr>
  </w:style>
  <w:style w:type="paragraph" w:styleId="IndexHeading">
    <w:name w:val="index heading"/>
    <w:basedOn w:val="Normal"/>
    <w:next w:val="Index1"/>
    <w:semiHidden/>
    <w:rsid w:val="00833E1C"/>
    <w:pPr>
      <w:spacing w:before="120" w:after="120"/>
    </w:pPr>
    <w:rPr>
      <w:rFonts w:ascii="Arial" w:hAnsi="Arial"/>
      <w:b/>
      <w:color w:val="918585"/>
      <w:sz w:val="24"/>
    </w:rPr>
  </w:style>
  <w:style w:type="paragraph" w:customStyle="1" w:styleId="Chapter">
    <w:name w:val="Chapter"/>
    <w:basedOn w:val="Normal"/>
    <w:rsid w:val="00833E1C"/>
    <w:pPr>
      <w:spacing w:before="240"/>
    </w:pPr>
    <w:rPr>
      <w:rFonts w:ascii="Times New Roman" w:hAnsi="Times New Roman"/>
      <w:smallCaps/>
      <w:spacing w:val="80"/>
      <w:sz w:val="28"/>
    </w:rPr>
  </w:style>
  <w:style w:type="paragraph" w:customStyle="1" w:styleId="InChapter">
    <w:name w:val="InChapter"/>
    <w:basedOn w:val="Heading3"/>
    <w:rsid w:val="00833E1C"/>
    <w:pPr>
      <w:spacing w:after="240"/>
      <w:outlineLvl w:val="9"/>
    </w:pPr>
    <w:rPr>
      <w:noProof/>
    </w:rPr>
  </w:style>
  <w:style w:type="paragraph" w:styleId="Index2">
    <w:name w:val="index 2"/>
    <w:basedOn w:val="Normal"/>
    <w:next w:val="Normal"/>
    <w:semiHidden/>
    <w:rsid w:val="00833E1C"/>
    <w:pPr>
      <w:tabs>
        <w:tab w:val="right" w:pos="4176"/>
      </w:tabs>
      <w:ind w:left="568" w:hanging="284"/>
    </w:pPr>
    <w:rPr>
      <w:rFonts w:ascii="Garamond" w:hAnsi="Garamond"/>
    </w:rPr>
  </w:style>
  <w:style w:type="paragraph" w:customStyle="1" w:styleId="Byline">
    <w:name w:val="Byline"/>
    <w:rsid w:val="00833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E1C"/>
    <w:pPr>
      <w:tabs>
        <w:tab w:val="clear" w:pos="3600"/>
        <w:tab w:val="clear" w:pos="3958"/>
      </w:tabs>
      <w:jc w:val="right"/>
    </w:pPr>
  </w:style>
  <w:style w:type="paragraph" w:styleId="Caption">
    <w:name w:val="caption"/>
    <w:basedOn w:val="BodyText"/>
    <w:next w:val="Normal"/>
    <w:qFormat/>
    <w:rsid w:val="00833E1C"/>
    <w:pPr>
      <w:framePr w:w="2268" w:hSpace="181" w:vSpace="181" w:wrap="around" w:vAnchor="text" w:hAnchor="page" w:x="1135" w:y="285" w:anchorLock="1"/>
    </w:pPr>
    <w:rPr>
      <w:i/>
    </w:rPr>
  </w:style>
  <w:style w:type="paragraph" w:customStyle="1" w:styleId="MiniTOCTitle">
    <w:name w:val="MiniTOCTitle"/>
    <w:basedOn w:val="Heading4"/>
    <w:rsid w:val="00833E1C"/>
    <w:pPr>
      <w:spacing w:before="240"/>
      <w:outlineLvl w:val="9"/>
    </w:pPr>
    <w:rPr>
      <w:noProof/>
      <w:sz w:val="24"/>
    </w:rPr>
  </w:style>
  <w:style w:type="paragraph" w:customStyle="1" w:styleId="MiniTOCItem">
    <w:name w:val="MiniTOCItem"/>
    <w:basedOn w:val="ListBullet"/>
    <w:rsid w:val="00833E1C"/>
    <w:pPr>
      <w:numPr>
        <w:numId w:val="0"/>
      </w:numPr>
      <w:tabs>
        <w:tab w:val="right" w:leader="dot" w:pos="6521"/>
      </w:tabs>
      <w:spacing w:before="0" w:after="0"/>
    </w:pPr>
  </w:style>
  <w:style w:type="paragraph" w:customStyle="1" w:styleId="TOFTitle">
    <w:name w:val="TOFTitle"/>
    <w:basedOn w:val="TOCTitle"/>
    <w:rsid w:val="00833E1C"/>
  </w:style>
  <w:style w:type="paragraph" w:styleId="TableofFigures">
    <w:name w:val="table of figures"/>
    <w:basedOn w:val="Normal"/>
    <w:next w:val="Normal"/>
    <w:semiHidden/>
    <w:rsid w:val="00833E1C"/>
    <w:pPr>
      <w:tabs>
        <w:tab w:val="right" w:leader="dot" w:pos="9072"/>
      </w:tabs>
      <w:ind w:left="970" w:hanging="403"/>
    </w:pPr>
    <w:rPr>
      <w:rFonts w:ascii="Times New Roman" w:hAnsi="Times New Roman"/>
      <w:b/>
    </w:rPr>
  </w:style>
  <w:style w:type="paragraph" w:styleId="ListNumber">
    <w:name w:val="List Number"/>
    <w:basedOn w:val="List"/>
    <w:rsid w:val="00833E1C"/>
    <w:pPr>
      <w:numPr>
        <w:numId w:val="11"/>
      </w:numPr>
    </w:pPr>
  </w:style>
  <w:style w:type="character" w:customStyle="1" w:styleId="WingdingSymbols">
    <w:name w:val="Wingding Symbols"/>
    <w:rsid w:val="00833E1C"/>
    <w:rPr>
      <w:rFonts w:ascii="Wingdings" w:hAnsi="Wingdings"/>
    </w:rPr>
  </w:style>
  <w:style w:type="paragraph" w:customStyle="1" w:styleId="TableHeading">
    <w:name w:val="Table Heading"/>
    <w:basedOn w:val="HeadingBase"/>
    <w:rsid w:val="00833E1C"/>
    <w:pPr>
      <w:keepLines/>
      <w:pBdr>
        <w:bottom w:val="single" w:sz="6" w:space="1" w:color="918585"/>
      </w:pBdr>
      <w:spacing w:before="240"/>
    </w:pPr>
  </w:style>
  <w:style w:type="character" w:customStyle="1" w:styleId="HotSpot">
    <w:name w:val="HotSpot"/>
    <w:rsid w:val="00833E1C"/>
    <w:rPr>
      <w:color w:val="0033CC"/>
      <w:u w:val="none"/>
    </w:rPr>
  </w:style>
  <w:style w:type="paragraph" w:customStyle="1" w:styleId="BodyTextRight">
    <w:name w:val="Body Text Right"/>
    <w:basedOn w:val="BodyText"/>
    <w:rsid w:val="00833E1C"/>
    <w:pPr>
      <w:spacing w:before="0" w:after="0"/>
      <w:jc w:val="right"/>
    </w:pPr>
  </w:style>
  <w:style w:type="paragraph" w:styleId="Index3">
    <w:name w:val="index 3"/>
    <w:basedOn w:val="ListNumber2"/>
    <w:next w:val="Normal"/>
    <w:semiHidden/>
    <w:rsid w:val="00833E1C"/>
    <w:pPr>
      <w:numPr>
        <w:numId w:val="0"/>
      </w:numPr>
      <w:tabs>
        <w:tab w:val="right" w:leader="dot" w:pos="4176"/>
      </w:tabs>
    </w:pPr>
  </w:style>
  <w:style w:type="paragraph" w:styleId="ListNumber2">
    <w:name w:val="List Number 2"/>
    <w:basedOn w:val="List2"/>
    <w:rsid w:val="00833E1C"/>
    <w:pPr>
      <w:numPr>
        <w:numId w:val="10"/>
      </w:numPr>
      <w:tabs>
        <w:tab w:val="clear" w:pos="1060"/>
      </w:tabs>
    </w:pPr>
  </w:style>
  <w:style w:type="paragraph" w:customStyle="1" w:styleId="MarginNote">
    <w:name w:val="Margin Note"/>
    <w:basedOn w:val="BodyText"/>
    <w:rsid w:val="00833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E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3E1C"/>
    <w:rPr>
      <w:sz w:val="32"/>
    </w:rPr>
  </w:style>
  <w:style w:type="paragraph" w:customStyle="1" w:styleId="HeadingProcedure">
    <w:name w:val="Heading Procedure"/>
    <w:basedOn w:val="HeadingBase"/>
    <w:next w:val="Normal"/>
    <w:rsid w:val="00833E1C"/>
    <w:pPr>
      <w:tabs>
        <w:tab w:val="left" w:pos="0"/>
      </w:tabs>
      <w:spacing w:before="120" w:after="60"/>
    </w:pPr>
    <w:rPr>
      <w:i/>
      <w:color w:val="918585"/>
      <w:sz w:val="22"/>
    </w:rPr>
  </w:style>
  <w:style w:type="paragraph" w:customStyle="1" w:styleId="TableBodyText">
    <w:name w:val="Table Body Text"/>
    <w:basedOn w:val="BodyText"/>
    <w:rsid w:val="00833E1C"/>
    <w:pPr>
      <w:spacing w:before="60" w:after="60"/>
    </w:pPr>
  </w:style>
  <w:style w:type="paragraph" w:styleId="ListContinue">
    <w:name w:val="List Continue"/>
    <w:basedOn w:val="List"/>
    <w:rsid w:val="00833E1C"/>
    <w:pPr>
      <w:ind w:firstLine="0"/>
    </w:pPr>
  </w:style>
  <w:style w:type="paragraph" w:customStyle="1" w:styleId="ListNote">
    <w:name w:val="List Note"/>
    <w:basedOn w:val="List"/>
    <w:rsid w:val="00833E1C"/>
    <w:pPr>
      <w:pBdr>
        <w:top w:val="single" w:sz="6" w:space="2" w:color="918585"/>
        <w:bottom w:val="single" w:sz="6" w:space="2" w:color="918585"/>
      </w:pBdr>
      <w:tabs>
        <w:tab w:val="left" w:pos="1021"/>
      </w:tabs>
      <w:ind w:firstLine="0"/>
    </w:pPr>
  </w:style>
  <w:style w:type="paragraph" w:customStyle="1" w:styleId="Warning">
    <w:name w:val="Warning"/>
    <w:basedOn w:val="BodyText"/>
    <w:rsid w:val="00833E1C"/>
    <w:pPr>
      <w:shd w:val="clear" w:color="auto" w:fill="D9D9D9"/>
      <w:tabs>
        <w:tab w:val="left" w:pos="992"/>
      </w:tabs>
      <w:ind w:left="119" w:right="119"/>
    </w:pPr>
    <w:rPr>
      <w:sz w:val="20"/>
    </w:rPr>
  </w:style>
  <w:style w:type="paragraph" w:customStyle="1" w:styleId="MarginIcons">
    <w:name w:val="Margin Icons"/>
    <w:basedOn w:val="BodyText"/>
    <w:rsid w:val="00833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E1C"/>
    <w:rPr>
      <w:rFonts w:ascii="Courier New" w:hAnsi="Courier New"/>
    </w:rPr>
  </w:style>
  <w:style w:type="paragraph" w:customStyle="1" w:styleId="NoteBullet">
    <w:name w:val="Note Bullet"/>
    <w:basedOn w:val="Note"/>
    <w:rsid w:val="00833E1C"/>
    <w:pPr>
      <w:tabs>
        <w:tab w:val="clear" w:pos="680"/>
      </w:tabs>
      <w:spacing w:before="60" w:after="60"/>
    </w:pPr>
  </w:style>
  <w:style w:type="paragraph" w:customStyle="1" w:styleId="SubHeading2">
    <w:name w:val="SubHeading2"/>
    <w:basedOn w:val="HeadingBase"/>
    <w:rsid w:val="00833E1C"/>
    <w:pPr>
      <w:spacing w:before="240" w:after="60"/>
    </w:pPr>
    <w:rPr>
      <w:sz w:val="20"/>
    </w:rPr>
  </w:style>
  <w:style w:type="paragraph" w:customStyle="1" w:styleId="SubHeading1">
    <w:name w:val="SubHeading1"/>
    <w:basedOn w:val="HeadingBase"/>
    <w:rsid w:val="00833E1C"/>
    <w:pPr>
      <w:spacing w:before="240" w:after="60"/>
    </w:pPr>
    <w:rPr>
      <w:color w:val="918585"/>
      <w:sz w:val="22"/>
    </w:rPr>
  </w:style>
  <w:style w:type="paragraph" w:customStyle="1" w:styleId="SideHeading">
    <w:name w:val="Side Heading"/>
    <w:basedOn w:val="HeadingBase"/>
    <w:rsid w:val="00833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E1C"/>
    <w:pPr>
      <w:numPr>
        <w:numId w:val="12"/>
      </w:numPr>
    </w:pPr>
  </w:style>
  <w:style w:type="paragraph" w:styleId="PlainText">
    <w:name w:val="Plain Text"/>
    <w:basedOn w:val="Normal"/>
    <w:link w:val="PlainTextChar"/>
    <w:rsid w:val="00833E1C"/>
    <w:rPr>
      <w:sz w:val="20"/>
    </w:rPr>
  </w:style>
  <w:style w:type="character" w:customStyle="1" w:styleId="PlainTextChar">
    <w:name w:val="Plain Text Char"/>
    <w:basedOn w:val="DefaultParagraphFont"/>
    <w:link w:val="PlainText"/>
    <w:rsid w:val="00833E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3E1C"/>
    <w:rPr>
      <w:b/>
      <w:smallCaps/>
    </w:rPr>
  </w:style>
  <w:style w:type="paragraph" w:customStyle="1" w:styleId="TableListNumber">
    <w:name w:val="Table List Number"/>
    <w:basedOn w:val="ListNumber"/>
    <w:rsid w:val="00833E1C"/>
    <w:pPr>
      <w:numPr>
        <w:numId w:val="0"/>
      </w:numPr>
    </w:pPr>
  </w:style>
  <w:style w:type="paragraph" w:styleId="TOC4">
    <w:name w:val="toc 4"/>
    <w:basedOn w:val="TOCBase"/>
    <w:next w:val="Normal"/>
    <w:semiHidden/>
    <w:rsid w:val="00833E1C"/>
    <w:pPr>
      <w:tabs>
        <w:tab w:val="right" w:leader="dot" w:pos="9071"/>
      </w:tabs>
      <w:ind w:left="1701"/>
    </w:pPr>
  </w:style>
  <w:style w:type="paragraph" w:customStyle="1" w:styleId="ListAlpha">
    <w:name w:val="List Alpha"/>
    <w:basedOn w:val="List"/>
    <w:rsid w:val="00833E1C"/>
    <w:pPr>
      <w:numPr>
        <w:numId w:val="9"/>
      </w:numPr>
    </w:pPr>
  </w:style>
  <w:style w:type="paragraph" w:customStyle="1" w:styleId="ListAlpha2">
    <w:name w:val="List Alpha 2"/>
    <w:basedOn w:val="List2"/>
    <w:rsid w:val="00833E1C"/>
    <w:pPr>
      <w:numPr>
        <w:numId w:val="8"/>
      </w:numPr>
    </w:pPr>
  </w:style>
  <w:style w:type="paragraph" w:styleId="List3">
    <w:name w:val="List 3"/>
    <w:basedOn w:val="BodyText"/>
    <w:rsid w:val="00833E1C"/>
    <w:pPr>
      <w:tabs>
        <w:tab w:val="left" w:pos="1021"/>
      </w:tabs>
      <w:spacing w:before="60" w:after="60"/>
      <w:ind w:left="1020" w:hanging="340"/>
    </w:pPr>
  </w:style>
  <w:style w:type="paragraph" w:styleId="List4">
    <w:name w:val="List 4"/>
    <w:basedOn w:val="BodyText"/>
    <w:rsid w:val="00833E1C"/>
    <w:pPr>
      <w:tabs>
        <w:tab w:val="left" w:pos="1361"/>
      </w:tabs>
      <w:spacing w:before="60" w:after="60"/>
      <w:ind w:left="1361" w:hanging="340"/>
    </w:pPr>
  </w:style>
  <w:style w:type="paragraph" w:styleId="List5">
    <w:name w:val="List 5"/>
    <w:basedOn w:val="BodyText"/>
    <w:rsid w:val="00833E1C"/>
    <w:pPr>
      <w:tabs>
        <w:tab w:val="left" w:pos="1701"/>
      </w:tabs>
      <w:spacing w:before="60" w:after="60"/>
      <w:ind w:left="1701" w:hanging="340"/>
    </w:pPr>
  </w:style>
  <w:style w:type="paragraph" w:styleId="ListBullet3">
    <w:name w:val="List Bullet 3"/>
    <w:basedOn w:val="List3"/>
    <w:rsid w:val="00833E1C"/>
    <w:pPr>
      <w:numPr>
        <w:numId w:val="15"/>
      </w:numPr>
      <w:tabs>
        <w:tab w:val="clear" w:pos="1021"/>
      </w:tabs>
      <w:ind w:left="1037" w:hanging="357"/>
    </w:pPr>
  </w:style>
  <w:style w:type="paragraph" w:styleId="ListBullet4">
    <w:name w:val="List Bullet 4"/>
    <w:basedOn w:val="List4"/>
    <w:rsid w:val="00833E1C"/>
    <w:pPr>
      <w:numPr>
        <w:numId w:val="3"/>
      </w:numPr>
    </w:pPr>
  </w:style>
  <w:style w:type="paragraph" w:styleId="ListBullet5">
    <w:name w:val="List Bullet 5"/>
    <w:basedOn w:val="List5"/>
    <w:rsid w:val="00833E1C"/>
    <w:pPr>
      <w:numPr>
        <w:numId w:val="4"/>
      </w:numPr>
    </w:pPr>
  </w:style>
  <w:style w:type="paragraph" w:styleId="ListContinue2">
    <w:name w:val="List Continue 2"/>
    <w:basedOn w:val="List2"/>
    <w:rsid w:val="00833E1C"/>
    <w:pPr>
      <w:ind w:firstLine="0"/>
    </w:pPr>
  </w:style>
  <w:style w:type="paragraph" w:styleId="ListContinue3">
    <w:name w:val="List Continue 3"/>
    <w:basedOn w:val="List3"/>
    <w:rsid w:val="00833E1C"/>
    <w:pPr>
      <w:ind w:left="1021" w:firstLine="0"/>
    </w:pPr>
  </w:style>
  <w:style w:type="paragraph" w:styleId="ListContinue4">
    <w:name w:val="List Continue 4"/>
    <w:basedOn w:val="List4"/>
    <w:rsid w:val="00833E1C"/>
    <w:pPr>
      <w:ind w:firstLine="0"/>
    </w:pPr>
  </w:style>
  <w:style w:type="paragraph" w:styleId="ListContinue5">
    <w:name w:val="List Continue 5"/>
    <w:basedOn w:val="List5"/>
    <w:rsid w:val="00833E1C"/>
    <w:pPr>
      <w:ind w:firstLine="0"/>
    </w:pPr>
  </w:style>
  <w:style w:type="paragraph" w:styleId="ListNumber3">
    <w:name w:val="List Number 3"/>
    <w:basedOn w:val="List3"/>
    <w:rsid w:val="00833E1C"/>
    <w:pPr>
      <w:numPr>
        <w:numId w:val="5"/>
      </w:numPr>
    </w:pPr>
  </w:style>
  <w:style w:type="paragraph" w:styleId="ListNumber4">
    <w:name w:val="List Number 4"/>
    <w:basedOn w:val="List4"/>
    <w:rsid w:val="00833E1C"/>
    <w:pPr>
      <w:numPr>
        <w:numId w:val="6"/>
      </w:numPr>
    </w:pPr>
  </w:style>
  <w:style w:type="paragraph" w:styleId="ListNumber5">
    <w:name w:val="List Number 5"/>
    <w:basedOn w:val="List5"/>
    <w:rsid w:val="00833E1C"/>
    <w:pPr>
      <w:numPr>
        <w:numId w:val="7"/>
      </w:numPr>
    </w:pPr>
  </w:style>
  <w:style w:type="paragraph" w:styleId="BlockText">
    <w:name w:val="Block Text"/>
    <w:basedOn w:val="Normal"/>
    <w:rsid w:val="00833E1C"/>
    <w:pPr>
      <w:spacing w:after="120"/>
      <w:ind w:left="1440" w:right="1440"/>
    </w:pPr>
  </w:style>
  <w:style w:type="character" w:customStyle="1" w:styleId="Subscript">
    <w:name w:val="Subscript"/>
    <w:basedOn w:val="DefaultParagraphFont"/>
    <w:rsid w:val="00833E1C"/>
    <w:rPr>
      <w:sz w:val="16"/>
      <w:vertAlign w:val="subscript"/>
    </w:rPr>
  </w:style>
  <w:style w:type="character" w:customStyle="1" w:styleId="Superscript">
    <w:name w:val="Superscript"/>
    <w:basedOn w:val="DefaultParagraphFont"/>
    <w:rsid w:val="00833E1C"/>
    <w:rPr>
      <w:sz w:val="16"/>
      <w:vertAlign w:val="superscript"/>
    </w:rPr>
  </w:style>
  <w:style w:type="character" w:customStyle="1" w:styleId="Symbols">
    <w:name w:val="Symbols"/>
    <w:basedOn w:val="DefaultParagraphFont"/>
    <w:rsid w:val="00833E1C"/>
    <w:rPr>
      <w:rFonts w:ascii="Symbol" w:hAnsi="Symbol"/>
    </w:rPr>
  </w:style>
  <w:style w:type="character" w:customStyle="1" w:styleId="MenuOptions">
    <w:name w:val="Menu Options"/>
    <w:basedOn w:val="DefaultParagraphFont"/>
    <w:rsid w:val="00833E1C"/>
    <w:rPr>
      <w:rFonts w:ascii="Arial Narrow" w:hAnsi="Arial Narrow"/>
      <w:smallCaps/>
    </w:rPr>
  </w:style>
  <w:style w:type="character" w:customStyle="1" w:styleId="Buttons">
    <w:name w:val="Buttons"/>
    <w:basedOn w:val="DefaultParagraphFont"/>
    <w:rsid w:val="00833E1C"/>
    <w:rPr>
      <w:b/>
    </w:rPr>
  </w:style>
  <w:style w:type="character" w:customStyle="1" w:styleId="Underlined">
    <w:name w:val="Underlined"/>
    <w:basedOn w:val="DefaultParagraphFont"/>
    <w:rsid w:val="00833E1C"/>
    <w:rPr>
      <w:u w:val="single"/>
    </w:rPr>
  </w:style>
  <w:style w:type="paragraph" w:customStyle="1" w:styleId="TableBodyTextRight">
    <w:name w:val="Table Body Text Right"/>
    <w:basedOn w:val="TableBodyText"/>
    <w:rsid w:val="00833E1C"/>
    <w:pPr>
      <w:widowControl w:val="0"/>
      <w:autoSpaceDE w:val="0"/>
      <w:autoSpaceDN w:val="0"/>
      <w:adjustRightInd w:val="0"/>
      <w:jc w:val="right"/>
    </w:pPr>
    <w:rPr>
      <w:rFonts w:cs="Arial"/>
      <w:szCs w:val="18"/>
    </w:rPr>
  </w:style>
  <w:style w:type="paragraph" w:customStyle="1" w:styleId="CopyrightText">
    <w:name w:val="Copyright Text"/>
    <w:basedOn w:val="BodyText"/>
    <w:rsid w:val="00833E1C"/>
    <w:rPr>
      <w:sz w:val="18"/>
    </w:rPr>
  </w:style>
  <w:style w:type="paragraph" w:customStyle="1" w:styleId="BodySmallRight">
    <w:name w:val="Body Small Right"/>
    <w:basedOn w:val="BodyTextRight"/>
    <w:rsid w:val="00833E1C"/>
    <w:rPr>
      <w:sz w:val="18"/>
      <w:szCs w:val="18"/>
    </w:rPr>
  </w:style>
  <w:style w:type="paragraph" w:customStyle="1" w:styleId="MarginEdition">
    <w:name w:val="Margin Edition"/>
    <w:basedOn w:val="MarginNote"/>
    <w:rsid w:val="00833E1C"/>
    <w:pPr>
      <w:spacing w:before="0" w:after="0"/>
    </w:pPr>
    <w:rPr>
      <w:rFonts w:ascii="Times New Roman" w:hAnsi="Times New Roman"/>
      <w:color w:val="999999"/>
    </w:rPr>
  </w:style>
  <w:style w:type="paragraph" w:customStyle="1" w:styleId="Spacer">
    <w:name w:val="Spacer"/>
    <w:basedOn w:val="Normal"/>
    <w:rsid w:val="00833E1C"/>
    <w:rPr>
      <w:sz w:val="2"/>
      <w:szCs w:val="2"/>
    </w:rPr>
  </w:style>
  <w:style w:type="character" w:customStyle="1" w:styleId="Small">
    <w:name w:val="Small"/>
    <w:basedOn w:val="DefaultParagraphFont"/>
    <w:rsid w:val="00833E1C"/>
    <w:rPr>
      <w:sz w:val="16"/>
    </w:rPr>
  </w:style>
  <w:style w:type="paragraph" w:customStyle="1" w:styleId="WideTable">
    <w:name w:val="Wide Table"/>
    <w:basedOn w:val="Normal"/>
    <w:rsid w:val="00833E1C"/>
    <w:pPr>
      <w:ind w:left="-1418"/>
    </w:pPr>
    <w:rPr>
      <w:sz w:val="2"/>
      <w:szCs w:val="2"/>
    </w:rPr>
  </w:style>
  <w:style w:type="character" w:styleId="PageNumber">
    <w:name w:val="page number"/>
    <w:basedOn w:val="DefaultParagraphFont"/>
    <w:rsid w:val="00833E1C"/>
  </w:style>
  <w:style w:type="paragraph" w:styleId="Quote">
    <w:name w:val="Quote"/>
    <w:basedOn w:val="Heading1"/>
    <w:link w:val="QuoteChar"/>
    <w:qFormat/>
    <w:rsid w:val="00833E1C"/>
    <w:rPr>
      <w:b w:val="0"/>
      <w:sz w:val="72"/>
      <w:szCs w:val="72"/>
      <w:lang w:val="en-NZ"/>
    </w:rPr>
  </w:style>
  <w:style w:type="character" w:customStyle="1" w:styleId="QuoteChar">
    <w:name w:val="Quote Char"/>
    <w:basedOn w:val="DefaultParagraphFont"/>
    <w:link w:val="Quote"/>
    <w:rsid w:val="00833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E1C"/>
    <w:pPr>
      <w:pageBreakBefore/>
    </w:pPr>
  </w:style>
  <w:style w:type="paragraph" w:customStyle="1" w:styleId="Border">
    <w:name w:val="Border"/>
    <w:basedOn w:val="Normal"/>
    <w:qFormat/>
    <w:rsid w:val="00833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E1C"/>
    <w:rPr>
      <w:b/>
      <w:bCs/>
      <w:i/>
      <w:iCs/>
      <w:color w:val="auto"/>
    </w:rPr>
  </w:style>
  <w:style w:type="paragraph" w:styleId="IntenseQuote">
    <w:name w:val="Intense Quote"/>
    <w:basedOn w:val="Normal"/>
    <w:next w:val="Normal"/>
    <w:link w:val="IntenseQuoteChar"/>
    <w:uiPriority w:val="30"/>
    <w:qFormat/>
    <w:rsid w:val="00833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E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3E1C"/>
    <w:rPr>
      <w:smallCaps/>
      <w:color w:val="auto"/>
      <w:u w:val="single"/>
    </w:rPr>
  </w:style>
  <w:style w:type="character" w:styleId="IntenseReference">
    <w:name w:val="Intense Reference"/>
    <w:basedOn w:val="DefaultParagraphFont"/>
    <w:uiPriority w:val="32"/>
    <w:qFormat/>
    <w:rsid w:val="00833E1C"/>
    <w:rPr>
      <w:b/>
      <w:bCs/>
      <w:smallCaps/>
      <w:color w:val="auto"/>
      <w:spacing w:val="5"/>
      <w:u w:val="single"/>
    </w:rPr>
  </w:style>
  <w:style w:type="paragraph" w:customStyle="1" w:styleId="2ColumnHeading">
    <w:name w:val="2Column Heading"/>
    <w:basedOn w:val="BodyText"/>
    <w:qFormat/>
    <w:rsid w:val="00833E1C"/>
    <w:pPr>
      <w:spacing w:after="60"/>
      <w:ind w:left="-2268"/>
    </w:pPr>
    <w:rPr>
      <w:b/>
    </w:rPr>
  </w:style>
  <w:style w:type="paragraph" w:customStyle="1" w:styleId="Heading1TOC">
    <w:name w:val="Heading1 TOC"/>
    <w:basedOn w:val="Normal"/>
    <w:qFormat/>
    <w:rsid w:val="00833E1C"/>
    <w:pPr>
      <w:spacing w:before="240" w:after="120"/>
    </w:pPr>
    <w:rPr>
      <w:rFonts w:ascii="Times New Roman" w:hAnsi="Times New Roman"/>
      <w:b/>
      <w:sz w:val="32"/>
    </w:rPr>
  </w:style>
  <w:style w:type="paragraph" w:customStyle="1" w:styleId="Heading2TOC">
    <w:name w:val="Heading2 TOC"/>
    <w:basedOn w:val="Normal"/>
    <w:qFormat/>
    <w:rsid w:val="00833E1C"/>
    <w:pPr>
      <w:spacing w:before="240" w:after="60"/>
    </w:pPr>
    <w:rPr>
      <w:rFonts w:ascii="Times New Roman" w:hAnsi="Times New Roman"/>
      <w:b/>
      <w:sz w:val="28"/>
    </w:rPr>
  </w:style>
  <w:style w:type="character" w:customStyle="1" w:styleId="Underline">
    <w:name w:val="Underline"/>
    <w:basedOn w:val="DefaultParagraphFont"/>
    <w:qFormat/>
    <w:rsid w:val="00833E1C"/>
    <w:rPr>
      <w:u w:val="single"/>
    </w:rPr>
  </w:style>
  <w:style w:type="character" w:customStyle="1" w:styleId="BoldandItalics">
    <w:name w:val="Bold and Italics"/>
    <w:qFormat/>
    <w:rsid w:val="00833E1C"/>
    <w:rPr>
      <w:b/>
      <w:i/>
      <w:u w:val="none"/>
    </w:rPr>
  </w:style>
  <w:style w:type="paragraph" w:styleId="BalloonText">
    <w:name w:val="Balloon Text"/>
    <w:basedOn w:val="Normal"/>
    <w:link w:val="BalloonTextChar"/>
    <w:rsid w:val="00833E1C"/>
    <w:rPr>
      <w:rFonts w:ascii="Tahoma" w:hAnsi="Tahoma" w:cs="Tahoma"/>
      <w:sz w:val="16"/>
      <w:szCs w:val="16"/>
    </w:rPr>
  </w:style>
  <w:style w:type="character" w:customStyle="1" w:styleId="BalloonTextChar">
    <w:name w:val="Balloon Text Char"/>
    <w:basedOn w:val="DefaultParagraphFont"/>
    <w:link w:val="BalloonText"/>
    <w:rsid w:val="00833E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3E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E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1814</Words>
  <Characters>12299</Characters>
  <Application>Microsoft Office Word</Application>
  <DocSecurity>0</DocSecurity>
  <Lines>485</Lines>
  <Paragraphs>281</Paragraphs>
  <ScaleCrop>false</ScaleCrop>
  <Company>Author-it Software Corporation Ltd.</Company>
  <LinksUpToDate>false</LinksUpToDate>
  <CharactersWithSpaces>14043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HLTEN407B Administer a range of medications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2012-05-27T00:22:00Z</dcterms:created>
  <dcterms:modified xsi:type="dcterms:W3CDTF">2012-05-27T00:22:00Z</dcterms:modified>
</cp:coreProperties>
</file>