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EEA" w:rsidP="00181EEA">
      <w:pPr>
        <w:pStyle w:val="Title"/>
      </w:pPr>
      <w:r>
        <w:fldChar w:fldCharType="begin"/>
      </w:r>
      <w:r>
        <w:instrText xml:space="preserve"> TITLE   \* MERGEFORMAT </w:instrText>
      </w:r>
      <w:r>
        <w:fldChar w:fldCharType="separate"/>
      </w:r>
      <w:r>
        <w:t>HLTEN406B Undertake basic wound care</w:t>
      </w:r>
      <w:r>
        <w:fldChar w:fldCharType="end"/>
      </w:r>
    </w:p>
    <w:p w:rsidR="00181EEA" w:rsidP="00181EEA">
      <w:pPr>
        <w:pStyle w:val="Version"/>
        <w:sectPr w:rsidSect="00EB4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808" w:rsidP="00EB4808">
      <w:pPr>
        <w:pStyle w:val="SuperHeading"/>
      </w:pPr>
      <w:r w:rsidRPr="00EB4808">
        <w:t>HLTEN406B Undertake basic wound care</w:t>
      </w:r>
    </w:p>
    <w:p w:rsidR="00000000" w:rsidRPr="00EB4808" w:rsidP="00EB4808">
      <w:pPr>
        <w:pStyle w:val="Heading1"/>
      </w:pPr>
      <w:bookmarkStart w:id="1" w:name="O_271150"/>
      <w:bookmarkEnd w:id="1"/>
      <w:r w:rsidRPr="00EB4808">
        <w:t>Modification History</w:t>
      </w:r>
    </w:p>
    <w:p w:rsidR="00000000" w:rsidRPr="00EB4808" w:rsidP="00EB4808">
      <w:pPr>
        <w:pStyle w:val="BodyText"/>
      </w:pPr>
      <w:r w:rsidRPr="00EB4808">
        <w:t>Not Applicable</w:t>
      </w:r>
    </w:p>
    <w:p w:rsidR="00000000" w:rsidRPr="00EB4808" w:rsidP="00EB4808">
      <w:pPr>
        <w:pStyle w:val="AllowPageBreak"/>
      </w:pPr>
    </w:p>
    <w:p w:rsidR="00000000" w:rsidRPr="00EB4808" w:rsidP="00EB4808">
      <w:pPr>
        <w:pStyle w:val="Heading1"/>
      </w:pPr>
      <w:bookmarkStart w:id="2" w:name="O_205784"/>
      <w:bookmarkEnd w:id="2"/>
      <w:r w:rsidRPr="00EB4808">
        <w:t>Unit Descriptor</w:t>
      </w:r>
    </w:p>
    <w:tbl>
      <w:tblPr>
        <w:tblW w:w="0" w:type="auto"/>
        <w:tblLayout w:type="fixed"/>
        <w:tblCellMar>
          <w:left w:w="62" w:type="dxa"/>
          <w:right w:w="62" w:type="dxa"/>
        </w:tblCellMar>
        <w:tblLook w:val="0000"/>
      </w:tblPr>
      <w:tblGrid>
        <w:gridCol w:w="3403"/>
        <w:gridCol w:w="5670"/>
      </w:tblGrid>
      <w:tr w:rsidTr="00181EEA">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This unit involves the principles of infection prevention, in relation to wound care processes in a variety of health c</w:t>
            </w:r>
            <w:r w:rsidRPr="00EB4808">
              <w:t>are contexts</w:t>
            </w:r>
          </w:p>
          <w:p w:rsidR="00000000" w:rsidRPr="00EB4808" w:rsidP="00EB4808">
            <w:pPr>
              <w:pStyle w:val="BodyText"/>
            </w:pPr>
            <w:r w:rsidRPr="00EB4808">
              <w:t>This will include wound assessments and contemporary wound care working with the wound management health care team</w:t>
            </w:r>
          </w:p>
        </w:tc>
      </w:tr>
    </w:tbl>
    <w:p w:rsidR="00181EEA" w:rsidP="00EB4808">
      <w:pPr>
        <w:pStyle w:val="BodyText"/>
      </w:pPr>
    </w:p>
    <w:p w:rsidR="00181EEA" w:rsidP="00EB4808">
      <w:pPr>
        <w:pStyle w:val="BodyText"/>
      </w:pPr>
    </w:p>
    <w:p w:rsidR="00000000" w:rsidRPr="00EB4808" w:rsidP="00EB4808">
      <w:pPr>
        <w:pStyle w:val="Heading1"/>
      </w:pPr>
      <w:bookmarkStart w:id="3" w:name="O_205786"/>
      <w:bookmarkEnd w:id="3"/>
      <w:r w:rsidRPr="00EB4808">
        <w:t>Application of the Unit</w:t>
      </w:r>
    </w:p>
    <w:tbl>
      <w:tblPr>
        <w:tblW w:w="0" w:type="auto"/>
        <w:tblLayout w:type="fixed"/>
        <w:tblCellMar>
          <w:left w:w="62" w:type="dxa"/>
          <w:right w:w="62" w:type="dxa"/>
        </w:tblCellMar>
        <w:tblLook w:val="0000"/>
      </w:tblPr>
      <w:tblGrid>
        <w:gridCol w:w="3403"/>
        <w:gridCol w:w="5670"/>
      </w:tblGrid>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The knowledge and skills described in this competency unit are to be applied within jurisdictional nursing and midwifery regulatory authority legislative requirements</w:t>
            </w:r>
          </w:p>
          <w:p w:rsidR="00000000" w:rsidRPr="00EB4808" w:rsidP="00EB4808">
            <w:pPr>
              <w:pStyle w:val="BodyText"/>
            </w:pPr>
            <w:r w:rsidRPr="00EB4808">
              <w:t xml:space="preserve">Enrolled/Division 2 nursing work is to be carried out in consultation/collaboration with </w:t>
            </w:r>
            <w:r w:rsidRPr="00EB4808">
              <w:t>registered nurses and under direct or indirect supervisory arrangements in line with jurisdictional regulatory requirements</w:t>
            </w:r>
          </w:p>
        </w:tc>
      </w:tr>
    </w:tbl>
    <w:p w:rsidR="00181EEA" w:rsidP="00EB4808">
      <w:pPr>
        <w:pStyle w:val="BodyText"/>
      </w:pPr>
    </w:p>
    <w:p w:rsidR="00181EEA" w:rsidP="00EB4808">
      <w:pPr>
        <w:pStyle w:val="BodyText"/>
      </w:pPr>
    </w:p>
    <w:p w:rsidR="00000000" w:rsidRPr="00EB4808" w:rsidP="00EB4808">
      <w:pPr>
        <w:pStyle w:val="Heading1"/>
      </w:pPr>
      <w:bookmarkStart w:id="4" w:name="O_279410"/>
      <w:bookmarkEnd w:id="4"/>
      <w:r w:rsidRPr="00EB4808">
        <w:t>Licensing/Regulatory Information</w:t>
      </w:r>
    </w:p>
    <w:p w:rsidR="00000000" w:rsidRPr="00EB4808" w:rsidP="00EB4808">
      <w:pPr>
        <w:pStyle w:val="BodyText"/>
      </w:pPr>
      <w:r w:rsidRPr="00EB4808">
        <w:t>Not Applicable</w:t>
      </w:r>
    </w:p>
    <w:p w:rsidR="00000000" w:rsidRPr="00EB4808" w:rsidP="00EB4808">
      <w:pPr>
        <w:pStyle w:val="AllowPageBreak"/>
      </w:pPr>
    </w:p>
    <w:p w:rsidR="00000000" w:rsidRPr="00EB4808" w:rsidP="00EB4808">
      <w:pPr>
        <w:pStyle w:val="Heading1"/>
      </w:pPr>
      <w:bookmarkStart w:id="5" w:name="O_284122"/>
      <w:bookmarkEnd w:id="5"/>
      <w:r w:rsidRPr="00EB4808">
        <w:t>Pre-Requisites</w:t>
      </w:r>
    </w:p>
    <w:p w:rsidR="00000000" w:rsidRPr="00EB4808" w:rsidP="00EB4808">
      <w:pPr>
        <w:pStyle w:val="BodyText"/>
      </w:pPr>
      <w:r w:rsidRPr="00EB4808">
        <w:t>Not Applicable</w:t>
      </w:r>
    </w:p>
    <w:p w:rsidR="00000000" w:rsidRPr="00EB4808" w:rsidP="00EB4808">
      <w:pPr>
        <w:pStyle w:val="AllowPageBreak"/>
      </w:pPr>
    </w:p>
    <w:p w:rsidR="00000000" w:rsidRPr="00EB4808" w:rsidP="00EB4808">
      <w:pPr>
        <w:pStyle w:val="Heading1"/>
      </w:pPr>
      <w:bookmarkStart w:id="6" w:name="O_205785"/>
      <w:bookmarkEnd w:id="6"/>
      <w:r w:rsidRPr="00EB4808">
        <w:t>Employability Skills Information</w:t>
      </w:r>
    </w:p>
    <w:tbl>
      <w:tblPr>
        <w:tblW w:w="0" w:type="auto"/>
        <w:tblLayout w:type="fixed"/>
        <w:tblCellMar>
          <w:left w:w="62" w:type="dxa"/>
          <w:right w:w="62" w:type="dxa"/>
        </w:tblCellMar>
        <w:tblLook w:val="0000"/>
      </w:tblPr>
      <w:tblGrid>
        <w:gridCol w:w="3403"/>
        <w:gridCol w:w="5670"/>
      </w:tblGrid>
      <w:tr w:rsidTr="00181EEA">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This unit contains Employability Skills</w:t>
            </w:r>
          </w:p>
        </w:tc>
      </w:tr>
    </w:tbl>
    <w:p w:rsidR="00181EEA" w:rsidP="00EB4808">
      <w:pPr>
        <w:pStyle w:val="BodyText"/>
      </w:pPr>
    </w:p>
    <w:p w:rsidR="00181EEA" w:rsidP="00EB4808">
      <w:pPr>
        <w:pStyle w:val="BodyText"/>
      </w:pPr>
    </w:p>
    <w:p w:rsidR="00000000" w:rsidRPr="00EB4808" w:rsidP="00EB4808">
      <w:pPr>
        <w:pStyle w:val="Heading1"/>
      </w:pPr>
      <w:bookmarkStart w:id="7" w:name="O_289196"/>
      <w:bookmarkEnd w:id="7"/>
      <w:r w:rsidRPr="00EB4808">
        <w:t>Elements and Performance Criteria Pre-Content</w:t>
      </w:r>
    </w:p>
    <w:tbl>
      <w:tblPr>
        <w:tblW w:w="0" w:type="auto"/>
        <w:tblLayout w:type="fixed"/>
        <w:tblCellMar>
          <w:left w:w="62" w:type="dxa"/>
          <w:right w:w="62" w:type="dxa"/>
        </w:tblCellMar>
        <w:tblLook w:val="0000"/>
      </w:tblPr>
      <w:tblGrid>
        <w:gridCol w:w="3403"/>
        <w:gridCol w:w="5670"/>
      </w:tblGrid>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The Performance Criteria</w:t>
            </w:r>
            <w:r w:rsidRPr="00EB4808">
              <w:t xml:space="preserve"> specify the level of performance required to demonstrate achievement of the Element. </w:t>
            </w:r>
          </w:p>
        </w:tc>
      </w:tr>
    </w:tbl>
    <w:p w:rsidR="00000000" w:rsidRPr="00EB4808" w:rsidP="00EB4808">
      <w:pPr>
        <w:pStyle w:val="BodyText"/>
      </w:pPr>
    </w:p>
    <w:p w:rsidR="00000000" w:rsidRPr="00EB4808" w:rsidP="00EB4808">
      <w:pPr>
        <w:pStyle w:val="AllowPageBreak"/>
      </w:pPr>
    </w:p>
    <w:p w:rsidR="00000000" w:rsidRPr="00EB4808" w:rsidP="00EB4808">
      <w:pPr>
        <w:pStyle w:val="Heading1"/>
      </w:pPr>
      <w:bookmarkStart w:id="8" w:name="O_235863"/>
      <w:bookmarkEnd w:id="8"/>
      <w:r w:rsidRPr="00EB4808">
        <w:t>Elements and Performance Criteria</w:t>
      </w:r>
    </w:p>
    <w:tbl>
      <w:tblPr>
        <w:tblW w:w="0" w:type="auto"/>
        <w:tblLayout w:type="fixed"/>
        <w:tblCellMar>
          <w:left w:w="62" w:type="dxa"/>
          <w:right w:w="62" w:type="dxa"/>
        </w:tblCellMar>
        <w:tblLook w:val="0000"/>
      </w:tblPr>
      <w:tblGrid>
        <w:gridCol w:w="3403"/>
        <w:gridCol w:w="5670"/>
      </w:tblGrid>
      <w:tr w:rsidTr="00181EEA">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PERFORMANCE CRITERIA</w:t>
            </w: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B4808">
            <w:pPr>
              <w:pStyle w:val="List"/>
              <w:rPr>
                <w:lang w:val="en-NZ"/>
              </w:rPr>
            </w:pPr>
            <w:r w:rsidRPr="00EB4808">
              <w:t>1.</w:t>
            </w:r>
            <w:r w:rsidRPr="00EB4808">
              <w:tab/>
              <w:t>Undertake wound assessment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1.1</w:t>
            </w:r>
            <w:r w:rsidRPr="00EB4808">
              <w:tab/>
            </w:r>
            <w:r w:rsidRPr="00EB4808">
              <w:t>Demonstrate understanding of common ways disease is spread and infection is developed throughout wound assessment and care</w:t>
            </w:r>
          </w:p>
          <w:p w:rsidR="00000000" w:rsidRPr="00EB4808" w:rsidP="00EB4808">
            <w:pPr>
              <w:pStyle w:val="BodyText"/>
            </w:pPr>
            <w:r w:rsidRPr="00EB4808">
              <w:t>1.2</w:t>
            </w:r>
            <w:r w:rsidRPr="00EB4808">
              <w:tab/>
              <w:t>Apply knowledge of physiological processes of healing</w:t>
            </w:r>
          </w:p>
          <w:p w:rsidR="00000000" w:rsidRPr="00EB4808" w:rsidP="00EB4808">
            <w:pPr>
              <w:pStyle w:val="BodyText"/>
            </w:pPr>
            <w:r w:rsidRPr="00EB4808">
              <w:t>1.3</w:t>
            </w:r>
            <w:r w:rsidRPr="00EB4808">
              <w:tab/>
              <w:t xml:space="preserve">Seek client cooperation and consent </w:t>
            </w:r>
          </w:p>
          <w:p w:rsidR="00000000" w:rsidRPr="00EB4808" w:rsidP="00EB4808">
            <w:pPr>
              <w:pStyle w:val="BodyText"/>
            </w:pPr>
            <w:r w:rsidRPr="00EB4808">
              <w:t>1.4</w:t>
            </w:r>
            <w:r w:rsidRPr="00EB4808">
              <w:tab/>
              <w:t>Maintain client privacy and di</w:t>
            </w:r>
            <w:r w:rsidRPr="00EB4808">
              <w:t xml:space="preserve">gnity </w:t>
            </w:r>
          </w:p>
          <w:p w:rsidR="00000000" w:rsidRPr="00EB4808" w:rsidP="00EB4808">
            <w:pPr>
              <w:pStyle w:val="BodyText"/>
            </w:pPr>
            <w:r w:rsidRPr="00EB4808">
              <w:t>1.5</w:t>
            </w:r>
            <w:r w:rsidRPr="00EB4808">
              <w:tab/>
              <w:t>Utilise strategies to minimise cross-infection during assessment and implementation</w:t>
            </w:r>
          </w:p>
          <w:p w:rsidR="00000000" w:rsidRPr="00EB4808" w:rsidP="00EB4808">
            <w:pPr>
              <w:pStyle w:val="BodyText"/>
            </w:pPr>
            <w:r w:rsidRPr="00EB4808">
              <w:t>1.6</w:t>
            </w:r>
            <w:r w:rsidRPr="00EB4808">
              <w:tab/>
              <w:t>Identify and document level of improvement in wound healing</w:t>
            </w:r>
          </w:p>
          <w:p w:rsidR="00000000" w:rsidRPr="00EB4808" w:rsidP="00EB4808">
            <w:pPr>
              <w:pStyle w:val="BodyText"/>
            </w:pPr>
            <w:r w:rsidRPr="00EB4808">
              <w:t>1.7</w:t>
            </w:r>
            <w:r w:rsidRPr="00EB4808">
              <w:tab/>
              <w:t xml:space="preserve">Record data in line with </w:t>
            </w:r>
            <w:r w:rsidRPr="00EB4808">
              <w:rPr>
                <w:rStyle w:val="Emphasis"/>
              </w:rPr>
              <w:t>organisation protocols</w:t>
            </w:r>
            <w:r w:rsidRPr="00EB4808">
              <w:t xml:space="preserve">, </w:t>
            </w:r>
            <w:r w:rsidRPr="00EB4808">
              <w:rPr>
                <w:rStyle w:val="Emphasis"/>
              </w:rPr>
              <w:t>guidelines and procedures</w:t>
            </w:r>
          </w:p>
          <w:p w:rsidR="00000000" w:rsidP="00EB4808">
            <w:pPr>
              <w:pStyle w:val="BodyText"/>
              <w:rPr>
                <w:lang w:val="en-NZ"/>
              </w:rPr>
            </w:pPr>
            <w:r w:rsidRPr="00EB4808">
              <w:t>1.8</w:t>
            </w:r>
            <w:r w:rsidRPr="00EB4808">
              <w:tab/>
            </w:r>
            <w:r w:rsidRPr="00EB4808">
              <w:t>Observe orders relating to non-disturbance of dressings</w:t>
            </w: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B4808">
            <w:pPr>
              <w:pStyle w:val="List"/>
              <w:rPr>
                <w:lang w:val="en-NZ"/>
              </w:rPr>
            </w:pPr>
            <w:r w:rsidRPr="00EB4808">
              <w:t>2.</w:t>
            </w:r>
            <w:r w:rsidRPr="00EB4808">
              <w:tab/>
              <w:t>Contribute to planning appropriate care for the client with a wound</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2.1</w:t>
            </w:r>
            <w:r w:rsidRPr="00EB4808">
              <w:tab/>
              <w:t xml:space="preserve">Discuss </w:t>
            </w:r>
            <w:r w:rsidRPr="00EB4808">
              <w:rPr>
                <w:rStyle w:val="Emphasis"/>
              </w:rPr>
              <w:t>wound care</w:t>
            </w:r>
            <w:r w:rsidRPr="00EB4808">
              <w:t xml:space="preserve"> with the client in conjunction with the registered nurse </w:t>
            </w:r>
          </w:p>
          <w:p w:rsidR="00000000" w:rsidRPr="00EB4808" w:rsidP="00EB4808">
            <w:pPr>
              <w:pStyle w:val="BodyText"/>
            </w:pPr>
            <w:r w:rsidRPr="00EB4808">
              <w:t>2.2</w:t>
            </w:r>
            <w:r w:rsidRPr="00EB4808">
              <w:tab/>
              <w:t>Observe evidence based principles and pr</w:t>
            </w:r>
            <w:r w:rsidRPr="00EB4808">
              <w:t>actice associated with wound care</w:t>
            </w:r>
          </w:p>
          <w:p w:rsidR="00000000" w:rsidRPr="00EB4808" w:rsidP="00EB4808">
            <w:pPr>
              <w:pStyle w:val="BodyText"/>
            </w:pPr>
            <w:r w:rsidRPr="00EB4808">
              <w:t>2.3</w:t>
            </w:r>
            <w:r w:rsidRPr="00EB4808">
              <w:tab/>
              <w:t>Take into account the sequencing, timing and client needs when planning care</w:t>
            </w:r>
          </w:p>
          <w:p w:rsidR="00000000" w:rsidRPr="00EB4808" w:rsidP="00EB4808">
            <w:pPr>
              <w:pStyle w:val="BodyText"/>
            </w:pPr>
            <w:r w:rsidRPr="00EB4808">
              <w:t>2.4</w:t>
            </w:r>
            <w:r w:rsidRPr="00EB4808">
              <w:tab/>
              <w:t>Take into account primary health care principles and holistic approach when planning care</w:t>
            </w:r>
          </w:p>
          <w:p w:rsidR="00000000" w:rsidRPr="00EB4808" w:rsidP="00EB4808">
            <w:pPr>
              <w:pStyle w:val="BodyText"/>
            </w:pPr>
            <w:r w:rsidRPr="00EB4808">
              <w:t>2.5</w:t>
            </w:r>
            <w:r w:rsidRPr="00EB4808">
              <w:tab/>
              <w:t>Utilise knowledge of physiological processe</w:t>
            </w:r>
            <w:r w:rsidRPr="00EB4808">
              <w:t>s associated with normal wound healing in planning and delivering treatments</w:t>
            </w:r>
          </w:p>
          <w:p w:rsidR="00000000" w:rsidRPr="00EB4808" w:rsidP="00EB4808">
            <w:pPr>
              <w:pStyle w:val="BodyText"/>
            </w:pPr>
            <w:r w:rsidRPr="00EB4808">
              <w:t>2.6</w:t>
            </w:r>
            <w:r w:rsidRPr="00EB4808">
              <w:tab/>
              <w:t>Identify client comfort needs (eg. pain relief) before undertaking wound care</w:t>
            </w:r>
          </w:p>
          <w:p w:rsidR="00000000" w:rsidRPr="00EB4808" w:rsidP="00EB4808">
            <w:pPr>
              <w:pStyle w:val="BodyText"/>
            </w:pPr>
            <w:r w:rsidRPr="00EB4808">
              <w:t>2.7</w:t>
            </w:r>
            <w:r w:rsidRPr="00EB4808">
              <w:tab/>
              <w:t>Identify impact of wound on activities of daily living for client, in consultation/collaborat</w:t>
            </w:r>
            <w:r w:rsidRPr="00EB4808">
              <w:t>ion with registered nurse</w:t>
            </w:r>
          </w:p>
          <w:p w:rsidR="00000000" w:rsidRPr="00EB4808" w:rsidP="00EB4808">
            <w:pPr>
              <w:pStyle w:val="BodyText"/>
            </w:pPr>
            <w:r w:rsidRPr="00EB4808">
              <w:t>2.8</w:t>
            </w:r>
            <w:r w:rsidRPr="00EB4808">
              <w:tab/>
              <w:t>Consult with the registered nurse regarding analgesic administration within an optimal time frame of procedure if required</w:t>
            </w:r>
          </w:p>
          <w:p w:rsidR="00000000" w:rsidP="00EB4808">
            <w:pPr>
              <w:pStyle w:val="BodyText"/>
              <w:rPr>
                <w:lang w:val="en-NZ"/>
              </w:rPr>
            </w:pPr>
            <w:r w:rsidRPr="00EB4808">
              <w:t>2.9</w:t>
            </w:r>
            <w:r w:rsidRPr="00EB4808">
              <w:tab/>
              <w:t>Be aware of the potential impact of wound on client and/or family</w:t>
            </w: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B4808">
            <w:pPr>
              <w:pStyle w:val="List"/>
              <w:rPr>
                <w:lang w:val="en-NZ"/>
              </w:rPr>
            </w:pPr>
            <w:r w:rsidRPr="00EB4808">
              <w:t>3.</w:t>
            </w:r>
            <w:r w:rsidRPr="00EB4808">
              <w:tab/>
            </w:r>
            <w:r w:rsidRPr="00EB4808">
              <w:t xml:space="preserve">Implement wound care strategies in conjunction with </w:t>
            </w:r>
            <w:r w:rsidRPr="00EB4808">
              <w:rPr>
                <w:rStyle w:val="Emphasis"/>
              </w:rPr>
              <w:t>wound management team</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3.1</w:t>
            </w:r>
            <w:r w:rsidRPr="00EB4808">
              <w:tab/>
              <w:t xml:space="preserve">Collect all requirements for the procedure </w:t>
            </w:r>
          </w:p>
          <w:p w:rsidR="00000000" w:rsidRPr="00EB4808" w:rsidP="00EB4808">
            <w:pPr>
              <w:pStyle w:val="BodyText"/>
            </w:pPr>
            <w:r w:rsidRPr="00EB4808">
              <w:t>3.2</w:t>
            </w:r>
            <w:r w:rsidRPr="00EB4808">
              <w:tab/>
              <w:t>Maintain client privacy and dignity throughout all aspects of the procedure</w:t>
            </w:r>
          </w:p>
          <w:p w:rsidR="00000000" w:rsidRPr="00EB4808" w:rsidP="00EB4808">
            <w:pPr>
              <w:pStyle w:val="BodyText"/>
            </w:pPr>
            <w:r w:rsidRPr="00EB4808">
              <w:t>3.3</w:t>
            </w:r>
            <w:r w:rsidRPr="00EB4808">
              <w:tab/>
              <w:t>Observe aseptic technique for clean surgical wound</w:t>
            </w:r>
          </w:p>
          <w:p w:rsidR="00000000" w:rsidRPr="00EB4808" w:rsidP="00EB4808">
            <w:pPr>
              <w:pStyle w:val="BodyText"/>
            </w:pPr>
            <w:r w:rsidRPr="00EB4808">
              <w:t>3.4</w:t>
            </w:r>
            <w:r w:rsidRPr="00EB4808">
              <w:tab/>
              <w:t>Use clean techniques where appropriate for clean wounds</w:t>
            </w:r>
          </w:p>
          <w:p w:rsidR="00000000" w:rsidRPr="00EB4808" w:rsidP="00EB4808">
            <w:pPr>
              <w:pStyle w:val="BodyText"/>
            </w:pPr>
            <w:r w:rsidRPr="00EB4808">
              <w:t>3.5</w:t>
            </w:r>
            <w:r w:rsidRPr="00EB4808">
              <w:tab/>
              <w:t xml:space="preserve">Undertake appropriate hand washing </w:t>
            </w:r>
          </w:p>
          <w:p w:rsidR="00000000" w:rsidRPr="00EB4808" w:rsidP="00EB4808">
            <w:pPr>
              <w:pStyle w:val="BodyText"/>
            </w:pPr>
            <w:r w:rsidRPr="00EB4808">
              <w:t>3.6</w:t>
            </w:r>
            <w:r w:rsidRPr="00EB4808">
              <w:tab/>
              <w:t xml:space="preserve">Remove sutures, clips and drains as directed by a registered nurse </w:t>
            </w:r>
          </w:p>
          <w:p w:rsidR="00000000" w:rsidRPr="00EB4808" w:rsidP="00EB4808">
            <w:pPr>
              <w:pStyle w:val="BodyText"/>
            </w:pPr>
            <w:r w:rsidRPr="00EB4808">
              <w:t>3.7</w:t>
            </w:r>
            <w:r w:rsidRPr="00EB4808">
              <w:tab/>
              <w:t>Collect specimens required for microbiology/cytology as per organisation protoc</w:t>
            </w:r>
            <w:r w:rsidRPr="00EB4808">
              <w:t>ol</w:t>
            </w:r>
          </w:p>
          <w:p w:rsidR="00000000" w:rsidRPr="00EB4808" w:rsidP="00EB4808">
            <w:pPr>
              <w:pStyle w:val="BodyText"/>
            </w:pPr>
            <w:r w:rsidRPr="00EB4808">
              <w:t>3.8</w:t>
            </w:r>
            <w:r w:rsidRPr="00EB4808">
              <w:tab/>
              <w:t>Dispose of all articles including hazardous waste in line with organisation policies and procedures</w:t>
            </w:r>
          </w:p>
          <w:p w:rsidR="00000000" w:rsidP="00EB4808">
            <w:pPr>
              <w:pStyle w:val="BodyText"/>
              <w:rPr>
                <w:lang w:val="en-NZ"/>
              </w:rPr>
            </w:pPr>
            <w:r w:rsidRPr="00EB4808">
              <w:t>3.9</w:t>
            </w:r>
            <w:r w:rsidRPr="00EB4808">
              <w:tab/>
              <w:t>Complete documentation and make the client comfortable</w:t>
            </w: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EB4808">
            <w:pPr>
              <w:pStyle w:val="List"/>
              <w:rPr>
                <w:lang w:val="en-NZ"/>
              </w:rPr>
            </w:pPr>
            <w:r w:rsidRPr="00EB4808">
              <w:t>4.</w:t>
            </w:r>
            <w:r w:rsidRPr="00EB4808">
              <w:tab/>
              <w:t>Assist in evaluating the outcomes of nursing actions</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4.1</w:t>
            </w:r>
            <w:r w:rsidRPr="00EB4808">
              <w:tab/>
              <w:t>Involve client in the eval</w:t>
            </w:r>
            <w:r w:rsidRPr="00EB4808">
              <w:t>uation process</w:t>
            </w:r>
          </w:p>
          <w:p w:rsidR="00000000" w:rsidRPr="00EB4808" w:rsidP="00EB4808">
            <w:pPr>
              <w:pStyle w:val="BodyText"/>
            </w:pPr>
            <w:r w:rsidRPr="00EB4808">
              <w:t>4.2</w:t>
            </w:r>
            <w:r w:rsidRPr="00EB4808">
              <w:tab/>
              <w:t>Ensure documentation records ongoing progress</w:t>
            </w:r>
          </w:p>
          <w:p w:rsidR="00000000" w:rsidRPr="00EB4808" w:rsidP="00EB4808">
            <w:pPr>
              <w:pStyle w:val="BodyText"/>
            </w:pPr>
            <w:r w:rsidRPr="00EB4808">
              <w:t>4.3</w:t>
            </w:r>
            <w:r w:rsidRPr="00EB4808">
              <w:tab/>
              <w:t xml:space="preserve">Report progress to and discuss with a registered nurse </w:t>
            </w:r>
          </w:p>
        </w:tc>
      </w:tr>
    </w:tbl>
    <w:p w:rsidR="00181EEA" w:rsidP="00EB4808">
      <w:pPr>
        <w:pStyle w:val="BodyText"/>
      </w:pPr>
    </w:p>
    <w:p w:rsidR="00181EEA" w:rsidP="00EB4808">
      <w:pPr>
        <w:pStyle w:val="BodyText"/>
      </w:pPr>
    </w:p>
    <w:p w:rsidR="00000000" w:rsidRPr="00EB4808" w:rsidP="00EB4808">
      <w:pPr>
        <w:pStyle w:val="Heading1"/>
      </w:pPr>
      <w:bookmarkStart w:id="9" w:name="O_259813"/>
      <w:bookmarkEnd w:id="9"/>
      <w:r w:rsidRPr="00EB4808">
        <w:t>Required Skills and Knowledge</w:t>
      </w:r>
    </w:p>
    <w:tbl>
      <w:tblPr>
        <w:tblW w:w="0" w:type="auto"/>
        <w:tblLayout w:type="fixed"/>
        <w:tblCellMar>
          <w:left w:w="62" w:type="dxa"/>
          <w:right w:w="62" w:type="dxa"/>
        </w:tblCellMar>
        <w:tblLook w:val="0000"/>
      </w:tblPr>
      <w:tblGrid>
        <w:gridCol w:w="9072"/>
      </w:tblGrid>
      <w:tr w:rsidTr="00181E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REQUIRED SKILLS AND KNOWLEDGE</w:t>
            </w:r>
          </w:p>
        </w:tc>
      </w:tr>
      <w:tr w:rsidTr="00181E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t>This describes the essential skills and knowle</w:t>
            </w:r>
            <w:r w:rsidRPr="00EB4808">
              <w:t>dge and their level required for this unit.</w:t>
            </w:r>
          </w:p>
        </w:tc>
      </w:tr>
      <w:tr w:rsidTr="00181E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rPr>
                <w:rStyle w:val="Emphasis"/>
              </w:rPr>
              <w:t>Essential knowledge</w:t>
            </w:r>
            <w:r w:rsidRPr="00EB4808">
              <w:t>:</w:t>
            </w:r>
          </w:p>
          <w:p w:rsidR="00000000" w:rsidRPr="00EB4808" w:rsidP="00EB4808">
            <w:pPr>
              <w:pStyle w:val="BodyText"/>
            </w:pPr>
            <w:r w:rsidRPr="00EB4808">
              <w:t>The candidate must be able to demonstrate essential knowledge required to effectively do the task outlined in elements and performance criteria of this unit, manage the task and manage con</w:t>
            </w:r>
            <w:r w:rsidRPr="00EB4808">
              <w:t>tingencies in the context of the identified work role</w:t>
            </w:r>
          </w:p>
          <w:p w:rsidR="00000000" w:rsidRPr="00EB4808" w:rsidP="00EB4808">
            <w:pPr>
              <w:pStyle w:val="BodyText"/>
            </w:pPr>
            <w:r w:rsidRPr="00EB4808">
              <w:t>This includes knowledge of:</w:t>
            </w:r>
          </w:p>
          <w:p w:rsidR="00000000" w:rsidRPr="00EB4808" w:rsidP="00EB4808">
            <w:pPr>
              <w:pStyle w:val="ListBullet"/>
            </w:pPr>
            <w:r w:rsidRPr="00EB4808">
              <w:t>Aetiology of chronic wounds - trauma, venous/arterial insufficiency, infection</w:t>
            </w:r>
          </w:p>
          <w:p w:rsidR="00000000" w:rsidRPr="00EB4808" w:rsidP="00EB4808">
            <w:pPr>
              <w:pStyle w:val="ListBullet"/>
            </w:pPr>
            <w:r w:rsidRPr="00EB4808">
              <w:t>Anatomy and physiology of dermis, muscle and bone and physiology of wound healing</w:t>
            </w:r>
          </w:p>
          <w:p w:rsidR="00000000" w:rsidRPr="00EB4808" w:rsidP="00EB4808">
            <w:pPr>
              <w:pStyle w:val="ListBullet"/>
            </w:pPr>
            <w:r w:rsidRPr="00EB4808">
              <w:t>Biohazard and waste disposal</w:t>
            </w:r>
          </w:p>
          <w:p w:rsidR="00000000" w:rsidRPr="00EB4808" w:rsidP="00EB4808">
            <w:pPr>
              <w:pStyle w:val="ListBullet"/>
            </w:pPr>
            <w:r w:rsidRPr="00EB4808">
              <w:t>Chain of infection: transmission of infection, defences and immunity, host factors</w:t>
            </w:r>
          </w:p>
          <w:p w:rsidR="00000000" w:rsidRPr="00EB4808" w:rsidP="00EB4808">
            <w:pPr>
              <w:pStyle w:val="ListBullet"/>
            </w:pPr>
            <w:r w:rsidRPr="00EB4808">
              <w:t xml:space="preserve">Common fungi, protozoa and viral diseases </w:t>
            </w:r>
          </w:p>
          <w:p w:rsidR="00000000" w:rsidRPr="00EB4808" w:rsidP="00EB4808">
            <w:pPr>
              <w:pStyle w:val="ListBullet"/>
            </w:pPr>
            <w:r w:rsidRPr="00EB4808">
              <w:t>Evaluation of wounds</w:t>
            </w:r>
          </w:p>
          <w:p w:rsidR="00000000" w:rsidRPr="00EB4808" w:rsidP="00EB4808">
            <w:pPr>
              <w:pStyle w:val="ListBullet"/>
            </w:pPr>
            <w:r w:rsidRPr="00EB4808">
              <w:t>Evidence-based practice - compression therapy, use of honey, hyperbaric therapy.</w:t>
            </w:r>
          </w:p>
          <w:p w:rsidR="00000000" w:rsidRPr="00EB4808" w:rsidP="00EB4808">
            <w:pPr>
              <w:pStyle w:val="ListBullet"/>
            </w:pPr>
            <w:r w:rsidRPr="00EB4808">
              <w:t>Infection prevention interventions - hand washing, asepsis and aseptic technique, sterilisation, disinfection and decontamination</w:t>
            </w:r>
          </w:p>
          <w:p w:rsidR="00000000" w:rsidRPr="00EB4808" w:rsidP="00EB4808">
            <w:pPr>
              <w:pStyle w:val="ListBullet"/>
            </w:pPr>
            <w:r w:rsidRPr="00EB4808">
              <w:t>Methods of identifying bacteria and common bacterial diseases</w:t>
            </w:r>
          </w:p>
          <w:p w:rsidR="00000000" w:rsidRPr="00EB4808" w:rsidP="00EB4808">
            <w:pPr>
              <w:pStyle w:val="ListBullet"/>
            </w:pPr>
            <w:r w:rsidRPr="00EB4808">
              <w:t>Microbiology related to  nosocomial infection, anaerobic organi</w:t>
            </w:r>
            <w:r w:rsidRPr="00EB4808">
              <w:t>sms, Gram positive and Gram negative organisms</w:t>
            </w:r>
          </w:p>
          <w:p w:rsidR="00000000" w:rsidRPr="00EB4808" w:rsidP="00EB4808">
            <w:pPr>
              <w:pStyle w:val="ListBullet"/>
            </w:pPr>
            <w:r w:rsidRPr="00EB4808">
              <w:t>Mode of action of  antiseptics, other topical solutions, hydrocolloids, agars, antibiotics</w:t>
            </w:r>
          </w:p>
          <w:p w:rsidR="00000000" w:rsidRPr="00EB4808" w:rsidP="00EB4808">
            <w:pPr>
              <w:pStyle w:val="ListBullet"/>
            </w:pPr>
            <w:r w:rsidRPr="00EB4808">
              <w:t>Signs and symptoms of infection</w:t>
            </w:r>
          </w:p>
          <w:p w:rsidR="00000000" w:rsidRPr="00EB4808" w:rsidP="00EB4808">
            <w:pPr>
              <w:pStyle w:val="ListBullet"/>
            </w:pPr>
            <w:r w:rsidRPr="00EB4808">
              <w:t>Standard precautions - compliance with current infection control practices and guideli</w:t>
            </w:r>
            <w:r w:rsidRPr="00EB4808">
              <w:t>nes</w:t>
            </w:r>
          </w:p>
          <w:p w:rsidR="00000000" w:rsidRPr="00EB4808" w:rsidP="00EB4808">
            <w:pPr>
              <w:pStyle w:val="ListBullet"/>
            </w:pPr>
            <w:r w:rsidRPr="00EB4808">
              <w:t>Types of dressings, methods of fixation</w:t>
            </w:r>
          </w:p>
          <w:p w:rsidR="00000000" w:rsidP="00EB4808">
            <w:pPr>
              <w:pStyle w:val="ListBullet"/>
              <w:rPr>
                <w:lang w:val="en-NZ"/>
              </w:rPr>
            </w:pPr>
            <w:r w:rsidRPr="00EB4808">
              <w:t>Wound management strategies and contemporary wound healing practice</w:t>
            </w:r>
          </w:p>
        </w:tc>
      </w:tr>
      <w:tr w:rsidTr="00181E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rPr>
                <w:rStyle w:val="Emphasis"/>
              </w:rPr>
              <w:t>Essential skills</w:t>
            </w:r>
            <w:r w:rsidRPr="00EB4808">
              <w:t>:</w:t>
            </w:r>
          </w:p>
          <w:p w:rsidR="00000000" w:rsidRPr="00EB4808" w:rsidP="00EB4808">
            <w:pPr>
              <w:pStyle w:val="BodyText"/>
            </w:pPr>
            <w:r w:rsidRPr="00EB4808">
              <w:t>It is critical that the candidate demonstrate the ability to:</w:t>
            </w:r>
          </w:p>
          <w:p w:rsidR="00000000" w:rsidRPr="00EB4808" w:rsidP="00EB4808">
            <w:pPr>
              <w:pStyle w:val="ListBullet"/>
            </w:pPr>
            <w:r w:rsidRPr="00EB4808">
              <w:t>Apply knowledge of processes and protocols in the setting where care is being provided</w:t>
            </w:r>
          </w:p>
          <w:p w:rsidR="00000000" w:rsidRPr="00EB4808" w:rsidP="00EB4808">
            <w:pPr>
              <w:pStyle w:val="ListBullet"/>
            </w:pPr>
            <w:r w:rsidRPr="00EB4808">
              <w:t>Demonstrate understanding when advice and referral to appropriate health professional is required</w:t>
            </w:r>
          </w:p>
          <w:p w:rsidR="00000000" w:rsidRPr="00EB4808" w:rsidP="00EB4808">
            <w:pPr>
              <w:pStyle w:val="ListBullet"/>
            </w:pPr>
            <w:r w:rsidRPr="00EB4808">
              <w:t>Maintain aseptic or 'clean' technique as appropriate</w:t>
            </w:r>
          </w:p>
          <w:p w:rsidR="00000000" w:rsidRPr="00EB4808" w:rsidP="00EB4808">
            <w:pPr>
              <w:pStyle w:val="BodyText"/>
            </w:pPr>
          </w:p>
          <w:p w:rsidR="00000000" w:rsidRPr="00EB4808" w:rsidP="00EB4808">
            <w:pPr>
              <w:pStyle w:val="BodyText"/>
            </w:pPr>
            <w:r w:rsidRPr="00EB4808">
              <w:t xml:space="preserve">In addition, the </w:t>
            </w:r>
            <w:r w:rsidRPr="00EB4808">
              <w:t>candidate must be able to effectively do the task outlined in elements and performance criteria of this unit, manage the task and manage contingencies in the context of the identified work role</w:t>
            </w:r>
          </w:p>
          <w:p w:rsidR="00000000" w:rsidRPr="00EB4808" w:rsidP="00EB4808">
            <w:pPr>
              <w:pStyle w:val="BodyText"/>
            </w:pPr>
            <w:r w:rsidRPr="00EB4808">
              <w:t>This includes the ability to:</w:t>
            </w:r>
          </w:p>
          <w:p w:rsidR="00000000" w:rsidRPr="00EB4808" w:rsidP="00EB4808">
            <w:pPr>
              <w:pStyle w:val="ListBullet"/>
            </w:pPr>
            <w:r w:rsidRPr="00EB4808">
              <w:t>Apply infection control princip</w:t>
            </w:r>
            <w:r w:rsidRPr="00EB4808">
              <w:t>les in a variety of health environments</w:t>
            </w:r>
          </w:p>
          <w:p w:rsidR="00000000" w:rsidRPr="00EB4808" w:rsidP="00EB4808">
            <w:pPr>
              <w:pStyle w:val="ListBullet"/>
            </w:pPr>
            <w:r w:rsidRPr="00EB4808">
              <w:t>Apply Professional Standards of Practice:</w:t>
            </w:r>
          </w:p>
          <w:p w:rsidR="00000000" w:rsidRPr="00EB4808" w:rsidP="00EB4808">
            <w:pPr>
              <w:pStyle w:val="ListBullet2"/>
            </w:pPr>
            <w:r w:rsidRPr="00EB4808">
              <w:t>ANMC code of conduct</w:t>
            </w:r>
          </w:p>
          <w:p w:rsidR="00000000" w:rsidRPr="00EB4808" w:rsidP="00EB4808">
            <w:pPr>
              <w:pStyle w:val="ListBullet2"/>
            </w:pPr>
            <w:r w:rsidRPr="00EB4808">
              <w:t>ANMC code of ethics</w:t>
            </w:r>
          </w:p>
          <w:p w:rsidR="00000000" w:rsidRPr="00EB4808" w:rsidP="00EB4808">
            <w:pPr>
              <w:pStyle w:val="ListBullet2"/>
            </w:pPr>
            <w:r w:rsidRPr="00EB4808">
              <w:t>ANMC national Enrolled/Division 2 nurse competency standards</w:t>
            </w:r>
          </w:p>
          <w:p w:rsidR="00000000" w:rsidRPr="00EB4808" w:rsidP="00EB4808">
            <w:pPr>
              <w:pStyle w:val="ListBullet2"/>
            </w:pPr>
            <w:r w:rsidRPr="00EB4808">
              <w:t>scope of nursing practice decision making framework</w:t>
            </w:r>
          </w:p>
          <w:p w:rsidR="00000000" w:rsidRPr="00EB4808" w:rsidP="00EB4808">
            <w:pPr>
              <w:pStyle w:val="ListBullet2"/>
            </w:pPr>
            <w:r w:rsidRPr="00EB4808">
              <w:t>state/territory Nurse Regulatory Nurses Act</w:t>
            </w:r>
          </w:p>
          <w:p w:rsidR="00000000" w:rsidRPr="00EB4808" w:rsidP="00EB4808">
            <w:pPr>
              <w:pStyle w:val="ListBullet2"/>
            </w:pPr>
            <w:r w:rsidRPr="00EB4808">
              <w:t>state/territory Nursing and Midwifery Regulatory Authority standards of practice</w:t>
            </w:r>
          </w:p>
          <w:p w:rsidR="00000000" w:rsidRPr="00EB4808" w:rsidP="00EB4808">
            <w:pPr>
              <w:pStyle w:val="ListBullet"/>
            </w:pPr>
            <w:r w:rsidRPr="00EB4808">
              <w:t>Demonstrate critical thinking in the conduct of Enrolled/Division 2 nurse practice</w:t>
            </w:r>
          </w:p>
          <w:p w:rsidR="00000000" w:rsidRPr="00EB4808" w:rsidP="00EB4808">
            <w:pPr>
              <w:pStyle w:val="ListBullet"/>
            </w:pPr>
            <w:r w:rsidRPr="00EB4808">
              <w:t>Demonstrate effective interpersonal skills</w:t>
            </w:r>
          </w:p>
          <w:p w:rsidR="00000000" w:rsidRPr="00EB4808" w:rsidP="00EB4808">
            <w:pPr>
              <w:pStyle w:val="ListBullet"/>
            </w:pPr>
            <w:r w:rsidRPr="00EB4808">
              <w:t>Main</w:t>
            </w:r>
            <w:r w:rsidRPr="00EB4808">
              <w:t>tain reporting and documentation</w:t>
            </w:r>
          </w:p>
          <w:p w:rsidR="00000000" w:rsidRPr="00EB4808" w:rsidP="00EB4808">
            <w:pPr>
              <w:pStyle w:val="ListBullet"/>
            </w:pPr>
            <w:r w:rsidRPr="00EB4808">
              <w:t>Take into account opportunities to address waste minimisation, environmental responsibility and sustainable practice issues</w:t>
            </w:r>
          </w:p>
          <w:p w:rsidR="00000000" w:rsidRPr="00EB4808" w:rsidP="00EB4808">
            <w:pPr>
              <w:pStyle w:val="ListBullet"/>
            </w:pPr>
            <w:r w:rsidRPr="00EB4808">
              <w:t>Undertake wound assessment</w:t>
            </w:r>
          </w:p>
          <w:p w:rsidR="00000000" w:rsidRPr="00EB4808" w:rsidP="00EB4808">
            <w:pPr>
              <w:pStyle w:val="ListBullet"/>
            </w:pPr>
            <w:r w:rsidRPr="00EB4808">
              <w:t>Use aseptic technique</w:t>
            </w:r>
          </w:p>
          <w:p w:rsidR="00000000" w:rsidRPr="00EB4808" w:rsidP="00EB4808">
            <w:pPr>
              <w:pStyle w:val="ListBullet"/>
            </w:pPr>
            <w:r w:rsidRPr="00EB4808">
              <w:t>Use oral communication skills (language competence</w:t>
            </w:r>
            <w:r w:rsidRPr="00EB4808">
              <w:t xml:space="preserve">) required to fulfil job roles as specified by the organisation/service. </w:t>
            </w:r>
          </w:p>
          <w:p w:rsidR="00000000" w:rsidRPr="00EB4808" w:rsidP="00EB4808">
            <w:pPr>
              <w:pStyle w:val="ListBullet"/>
            </w:pPr>
            <w:r w:rsidRPr="00EB4808">
              <w:t xml:space="preserve">Use written communication skills (literacy competence) required to fulfil job roles as specified by organisation/service. The level of skill may range from reading and understanding </w:t>
            </w:r>
            <w:r w:rsidRPr="00EB4808">
              <w:t>client documentation to completion of incident reports</w:t>
            </w:r>
          </w:p>
          <w:p w:rsidR="00000000" w:rsidRPr="00EB4808" w:rsidP="00EB4808">
            <w:pPr>
              <w:pStyle w:val="ListBullet"/>
            </w:pPr>
            <w:r w:rsidRPr="00EB4808">
              <w:t>Undertake infection control risk assessment in relation to:</w:t>
            </w:r>
          </w:p>
          <w:p w:rsidR="00000000" w:rsidRPr="00EB4808" w:rsidP="00EB4808">
            <w:pPr>
              <w:pStyle w:val="ListBullet2"/>
            </w:pPr>
            <w:r w:rsidRPr="00EB4808">
              <w:t>client</w:t>
            </w:r>
          </w:p>
          <w:p w:rsidR="00000000" w:rsidRPr="00EB4808" w:rsidP="00EB4808">
            <w:pPr>
              <w:pStyle w:val="ListBullet2"/>
            </w:pPr>
            <w:r w:rsidRPr="00EB4808">
              <w:t>others</w:t>
            </w:r>
          </w:p>
          <w:p w:rsidR="00000000" w:rsidRPr="00EB4808" w:rsidP="00EB4808">
            <w:pPr>
              <w:pStyle w:val="ListBullet2"/>
            </w:pPr>
            <w:r w:rsidRPr="00EB4808">
              <w:t xml:space="preserve">self </w:t>
            </w:r>
          </w:p>
        </w:tc>
      </w:tr>
    </w:tbl>
    <w:p w:rsidR="00181EEA" w:rsidP="00EB4808">
      <w:pPr>
        <w:pStyle w:val="BodyText"/>
      </w:pPr>
    </w:p>
    <w:p w:rsidR="00181EEA" w:rsidP="00EB4808">
      <w:pPr>
        <w:pStyle w:val="BodyText"/>
      </w:pPr>
    </w:p>
    <w:p w:rsidR="00000000" w:rsidRPr="00EB4808" w:rsidP="00EB4808">
      <w:pPr>
        <w:pStyle w:val="Heading1"/>
      </w:pPr>
      <w:bookmarkStart w:id="10" w:name="O_243847"/>
      <w:bookmarkEnd w:id="10"/>
      <w:r w:rsidRPr="00EB4808">
        <w:t>Evidence Guide</w:t>
      </w:r>
    </w:p>
    <w:tbl>
      <w:tblPr>
        <w:tblW w:w="0" w:type="auto"/>
        <w:tblLayout w:type="fixed"/>
        <w:tblCellMar>
          <w:left w:w="62" w:type="dxa"/>
          <w:right w:w="62" w:type="dxa"/>
        </w:tblCellMar>
        <w:tblLook w:val="0000"/>
      </w:tblPr>
      <w:tblGrid>
        <w:gridCol w:w="3402"/>
        <w:gridCol w:w="5670"/>
      </w:tblGrid>
      <w:tr w:rsidTr="00181E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EVIDENCE GUIDE</w:t>
            </w:r>
          </w:p>
        </w:tc>
      </w:tr>
      <w:tr w:rsidTr="00181E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t>The evidence guide provides advice on assessment and must be read in conjunction with the Performance Criteria, Required Skills and Knowledge, the Range Statement and the Assessment Guidelines for this Training Package.</w:t>
            </w:r>
          </w:p>
        </w:tc>
      </w:tr>
      <w:tr w:rsidTr="00181E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Critical aspects for assessment and evidence required to demonstrate this competency unit</w:t>
            </w:r>
            <w:r w:rsidRPr="00EB4808">
              <w:t xml:space="preserve">: </w:t>
            </w:r>
            <w:r w:rsidRPr="00EB4808">
              <w:br/>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The individual being assessed must provide evidence of specified essential knowledge as well as skills</w:t>
            </w:r>
          </w:p>
          <w:p w:rsidR="00000000" w:rsidRPr="00EB4808" w:rsidP="00EB4808">
            <w:pPr>
              <w:pStyle w:val="ListBullet"/>
            </w:pPr>
            <w:r w:rsidRPr="00EB4808">
              <w:t>Observation of performance in a work context is essential f</w:t>
            </w:r>
            <w:r w:rsidRPr="00EB4808">
              <w:t>or assessment of this unit</w:t>
            </w:r>
          </w:p>
          <w:p w:rsidR="00000000" w:rsidP="00EB4808">
            <w:pPr>
              <w:pStyle w:val="ListBullet"/>
              <w:rPr>
                <w:lang w:val="en-NZ"/>
              </w:rPr>
            </w:pPr>
            <w:r w:rsidRPr="00EB4808">
              <w:t>Consistency of performance should be demonstrated over the required range of workplace situations and should occur on more than one occasion and be assessed by a registered nurse</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Context of and specific resources for assessme</w:t>
            </w:r>
            <w:r w:rsidRPr="00EB4808">
              <w:rPr>
                <w:rStyle w:val="Emphasis"/>
              </w:rPr>
              <w:t>nt</w:t>
            </w:r>
            <w:r w:rsidRPr="00EB4808">
              <w:t xml:space="preserve">: </w:t>
            </w:r>
            <w:r w:rsidRPr="00EB4808">
              <w:br/>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This unit is most appropriately assessed in the clinical workplace</w:t>
            </w:r>
          </w:p>
          <w:p w:rsidR="00000000" w:rsidP="00EB4808">
            <w:pPr>
              <w:pStyle w:val="ListBullet"/>
              <w:rPr>
                <w:lang w:val="en-NZ"/>
              </w:rPr>
            </w:pPr>
            <w:r w:rsidRPr="00EB4808">
              <w:t>Where, for reasons of safety, access to equipment and resources and space, assessment takes place away from the workplace, simulations should be used to r</w:t>
            </w:r>
            <w:r w:rsidRPr="00EB4808">
              <w:t>epresent workplace conditions as closely as possible</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Method of assessment</w:t>
            </w:r>
            <w:r w:rsidRPr="00EB4808">
              <w:t xml:space="preserve"> </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 xml:space="preserve">Observation in the work place of clinical performance </w:t>
            </w:r>
          </w:p>
          <w:p w:rsidR="00000000" w:rsidRPr="00EB4808" w:rsidP="00EB4808">
            <w:pPr>
              <w:pStyle w:val="ListBullet"/>
            </w:pPr>
            <w:r w:rsidRPr="00EB4808">
              <w:t>Written assignments/projects</w:t>
            </w:r>
          </w:p>
          <w:p w:rsidR="00000000" w:rsidRPr="00EB4808" w:rsidP="00EB4808">
            <w:pPr>
              <w:pStyle w:val="ListBullet"/>
            </w:pPr>
            <w:r w:rsidRPr="00EB4808">
              <w:t xml:space="preserve">Case study and scenario as a basis for discussion of issues and strategies to contribute to </w:t>
            </w:r>
            <w:r w:rsidRPr="00EB4808">
              <w:t>best practice</w:t>
            </w:r>
          </w:p>
          <w:p w:rsidR="00000000" w:rsidRPr="00EB4808" w:rsidP="00EB4808">
            <w:pPr>
              <w:pStyle w:val="ListBullet"/>
            </w:pPr>
            <w:r w:rsidRPr="00EB4808">
              <w:t>Questioning verbal and written</w:t>
            </w:r>
          </w:p>
          <w:p w:rsidR="00000000" w:rsidP="00EB4808">
            <w:pPr>
              <w:pStyle w:val="ListBullet"/>
              <w:rPr>
                <w:lang w:val="en-NZ"/>
              </w:rPr>
            </w:pPr>
            <w:r w:rsidRPr="00EB4808">
              <w:t>Role play/simulation</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Access and equity considerations</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All workers in the health industry should be aware of access and equity issues in relation to their own area of work</w:t>
            </w:r>
          </w:p>
          <w:p w:rsidR="00000000" w:rsidRPr="00EB4808" w:rsidP="00EB4808">
            <w:pPr>
              <w:pStyle w:val="ListBullet"/>
            </w:pPr>
            <w:r w:rsidRPr="00EB4808">
              <w:t xml:space="preserve">All workers should develop their ability to work in a culturally diverse environment </w:t>
            </w:r>
          </w:p>
          <w:p w:rsidR="00000000" w:rsidRPr="00EB4808" w:rsidP="00EB4808">
            <w:pPr>
              <w:pStyle w:val="ListBullet"/>
            </w:pPr>
            <w:r w:rsidRPr="00EB4808">
              <w:t>In recognition of particular health issues facing Aboriginal and Torres Strait Islander communities, workers should be aware of cultural, historical and current issues im</w:t>
            </w:r>
            <w:r w:rsidRPr="00EB4808">
              <w:t>pacting on health of Aboriginal and Torres Strait Islander people</w:t>
            </w:r>
          </w:p>
          <w:p w:rsidR="00000000" w:rsidP="00EB4808">
            <w:pPr>
              <w:pStyle w:val="ListBullet"/>
              <w:rPr>
                <w:lang w:val="en-NZ"/>
              </w:rPr>
            </w:pPr>
            <w:r w:rsidRPr="00EB4808">
              <w:t>Assessors and trainers must take into account relevant access and equity issues, in particular relating to factors impacting on health of Aboriginal and/or Torres Strait Islander clients and</w:t>
            </w:r>
            <w:r w:rsidRPr="00EB4808">
              <w:t xml:space="preserve"> communities</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Related units</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r w:rsidRPr="00EB4808">
              <w:t xml:space="preserve">This unit is recommended to be assessed in conjunction with the following related competency units: </w:t>
            </w:r>
          </w:p>
          <w:p w:rsidR="00000000" w:rsidRPr="00EB4808" w:rsidP="00EB4808">
            <w:pPr>
              <w:pStyle w:val="ListBullet"/>
            </w:pPr>
            <w:r w:rsidRPr="00EB4808">
              <w:t>HLTEN405B Implement basic nursing care</w:t>
            </w:r>
          </w:p>
          <w:p w:rsidR="00000000" w:rsidRPr="00EB4808" w:rsidP="00EB4808">
            <w:pPr>
              <w:pStyle w:val="ListBullet"/>
            </w:pPr>
            <w:r w:rsidRPr="00EB4808">
              <w:t>HLTIN301C Comply with infection control policies and procedures</w:t>
            </w:r>
          </w:p>
          <w:p w:rsidR="00000000" w:rsidP="00EB4808">
            <w:pPr>
              <w:pStyle w:val="ListBullet"/>
              <w:rPr>
                <w:lang w:val="en-NZ"/>
              </w:rPr>
            </w:pPr>
            <w:r w:rsidRPr="00EB4808">
              <w:t>HLTAP401B Confirm p</w:t>
            </w:r>
            <w:r w:rsidRPr="00EB4808">
              <w:t>hysical health status</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p>
        </w:tc>
      </w:tr>
    </w:tbl>
    <w:p w:rsidR="00181EEA" w:rsidP="00EB4808">
      <w:pPr>
        <w:pStyle w:val="BodyText"/>
      </w:pPr>
    </w:p>
    <w:p w:rsidR="00181EEA" w:rsidP="00EB4808">
      <w:pPr>
        <w:pStyle w:val="BodyText"/>
      </w:pPr>
    </w:p>
    <w:p w:rsidR="00000000" w:rsidRPr="00EB4808" w:rsidP="00EB4808">
      <w:pPr>
        <w:pStyle w:val="Heading1"/>
      </w:pPr>
      <w:bookmarkStart w:id="11" w:name="O_251830"/>
      <w:bookmarkEnd w:id="11"/>
      <w:r w:rsidRPr="00EB4808">
        <w:t>Range Statement</w:t>
      </w:r>
    </w:p>
    <w:tbl>
      <w:tblPr>
        <w:tblW w:w="0" w:type="auto"/>
        <w:tblLayout w:type="fixed"/>
        <w:tblCellMar>
          <w:left w:w="62" w:type="dxa"/>
          <w:right w:w="62" w:type="dxa"/>
        </w:tblCellMar>
        <w:tblLook w:val="0000"/>
      </w:tblPr>
      <w:tblGrid>
        <w:gridCol w:w="3402"/>
        <w:gridCol w:w="5670"/>
      </w:tblGrid>
      <w:tr w:rsidTr="00181E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SpecialBold"/>
              </w:rPr>
              <w:t>RANGE STATEMENT</w:t>
            </w:r>
          </w:p>
        </w:tc>
      </w:tr>
      <w:tr w:rsidTr="00181E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t>The Range Statement relates to the unit of competency as a whole. It allows for different work environments and situations that may affect performance</w:t>
            </w:r>
          </w:p>
        </w:tc>
      </w:tr>
      <w:tr w:rsidTr="00181E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Common terms associated with microbiology may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Commensal</w:t>
            </w:r>
          </w:p>
          <w:p w:rsidR="00000000" w:rsidRPr="00EB4808" w:rsidP="00EB4808">
            <w:pPr>
              <w:pStyle w:val="ListBullet"/>
            </w:pPr>
            <w:r w:rsidRPr="00EB4808">
              <w:t>Microflora</w:t>
            </w:r>
          </w:p>
          <w:p w:rsidR="00000000" w:rsidRPr="00EB4808" w:rsidP="00EB4808">
            <w:pPr>
              <w:pStyle w:val="ListBullet"/>
            </w:pPr>
            <w:r w:rsidRPr="00EB4808">
              <w:t>Normal flora</w:t>
            </w:r>
          </w:p>
          <w:p w:rsidR="00000000" w:rsidRPr="00EB4808" w:rsidP="00EB4808">
            <w:pPr>
              <w:pStyle w:val="ListBullet"/>
            </w:pPr>
            <w:r w:rsidRPr="00EB4808">
              <w:t>Pathogen</w:t>
            </w:r>
          </w:p>
          <w:p w:rsidR="00000000" w:rsidRPr="00EB4808" w:rsidP="00EB4808">
            <w:pPr>
              <w:pStyle w:val="ListBullet"/>
            </w:pPr>
            <w:r w:rsidRPr="00EB4808">
              <w:t>Symbiosis</w:t>
            </w:r>
          </w:p>
          <w:p w:rsidR="00000000" w:rsidRPr="00EB4808" w:rsidP="00EB4808">
            <w:pPr>
              <w:pStyle w:val="ListBullet"/>
            </w:pPr>
            <w:r w:rsidRPr="00EB4808">
              <w:t>Nosocomial infection</w:t>
            </w:r>
          </w:p>
          <w:p w:rsidR="00000000" w:rsidRPr="00EB4808" w:rsidP="00EB4808">
            <w:pPr>
              <w:pStyle w:val="ListBullet"/>
            </w:pPr>
            <w:r w:rsidRPr="00EB4808">
              <w:t>Endogenous</w:t>
            </w:r>
          </w:p>
          <w:p w:rsidR="00000000" w:rsidP="00EB4808">
            <w:pPr>
              <w:pStyle w:val="ListBullet"/>
              <w:rPr>
                <w:lang w:val="en-NZ"/>
              </w:rPr>
            </w:pPr>
            <w:r w:rsidRPr="00EB4808">
              <w:t>Exogenous</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Wounds caused by micro</w:t>
            </w:r>
            <w:r w:rsidRPr="00EB4808">
              <w:t>-</w:t>
            </w:r>
            <w:r w:rsidRPr="00EB4808">
              <w:rPr>
                <w:rStyle w:val="Emphasis"/>
              </w:rPr>
              <w:t>organisms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Staphylococcus aureus  boils, wound infections</w:t>
            </w:r>
          </w:p>
          <w:p w:rsidR="00000000" w:rsidRPr="00EB4808" w:rsidP="00EB4808">
            <w:pPr>
              <w:pStyle w:val="ListBullet"/>
            </w:pPr>
            <w:r w:rsidRPr="00EB4808">
              <w:t>Clostridium  tetanus, gas gangrene, botulism</w:t>
            </w:r>
          </w:p>
          <w:p w:rsidR="00000000" w:rsidP="00EB4808">
            <w:pPr>
              <w:pStyle w:val="ListBullet"/>
              <w:rPr>
                <w:lang w:val="en-NZ"/>
              </w:rPr>
            </w:pPr>
            <w:r w:rsidRPr="00EB4808">
              <w:t xml:space="preserve">Proteus  wound infections </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Common fungal infections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Tinea pedis (athlete's foot)</w:t>
            </w:r>
          </w:p>
          <w:p w:rsidR="00000000" w:rsidP="00EB4808">
            <w:pPr>
              <w:pStyle w:val="ListBullet"/>
              <w:rPr>
                <w:lang w:val="en-NZ"/>
              </w:rPr>
            </w:pPr>
            <w:r w:rsidRPr="00EB4808">
              <w:t>Tinea capitus (ringworm)</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Common viral diseases may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Herpes simplex I (cold sores)</w:t>
            </w:r>
          </w:p>
          <w:p w:rsidR="00000000" w:rsidRPr="00EB4808" w:rsidP="00EB4808">
            <w:pPr>
              <w:pStyle w:val="ListBullet"/>
            </w:pPr>
            <w:r w:rsidRPr="00EB4808">
              <w:t>Herpes simplex II (genital herpes)</w:t>
            </w:r>
          </w:p>
          <w:p w:rsidR="00000000" w:rsidP="00EB4808">
            <w:pPr>
              <w:pStyle w:val="ListBullet"/>
              <w:rPr>
                <w:lang w:val="en-NZ"/>
              </w:rPr>
            </w:pPr>
            <w:r w:rsidRPr="00EB4808">
              <w:t>Herpes zoster</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Commonly seen wounds as a result of acute</w:t>
            </w:r>
            <w:r w:rsidRPr="00EB4808">
              <w:t>/</w:t>
            </w:r>
            <w:r w:rsidRPr="00EB4808">
              <w:rPr>
                <w:rStyle w:val="Emphasis"/>
              </w:rPr>
              <w:t>chronic conditions may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 xml:space="preserve">Diabetic ulcers </w:t>
            </w:r>
          </w:p>
          <w:p w:rsidR="00000000" w:rsidRPr="00EB4808" w:rsidP="00EB4808">
            <w:pPr>
              <w:pStyle w:val="ListBullet"/>
            </w:pPr>
            <w:r w:rsidRPr="00EB4808">
              <w:t>Burns</w:t>
            </w:r>
          </w:p>
          <w:p w:rsidR="00000000" w:rsidRPr="00EB4808" w:rsidP="00EB4808">
            <w:pPr>
              <w:pStyle w:val="ListBullet"/>
            </w:pPr>
            <w:r w:rsidRPr="00EB4808">
              <w:t>Pressure (decubitus) ulcers</w:t>
            </w:r>
          </w:p>
          <w:p w:rsidR="00000000" w:rsidRPr="00EB4808" w:rsidP="00EB4808">
            <w:pPr>
              <w:pStyle w:val="ListBullet"/>
            </w:pPr>
            <w:r w:rsidRPr="00EB4808">
              <w:t>Tropical ulcers</w:t>
            </w:r>
          </w:p>
          <w:p w:rsidR="00000000" w:rsidRPr="00EB4808" w:rsidP="00EB4808">
            <w:pPr>
              <w:pStyle w:val="ListBullet"/>
            </w:pPr>
            <w:r w:rsidRPr="00EB4808">
              <w:t>Post surgical</w:t>
            </w:r>
          </w:p>
          <w:p w:rsidR="00000000" w:rsidP="00EB4808">
            <w:pPr>
              <w:pStyle w:val="ListBullet"/>
              <w:rPr>
                <w:lang w:val="en-NZ"/>
              </w:rPr>
            </w:pPr>
            <w:r w:rsidRPr="00EB4808">
              <w:t xml:space="preserve">Trauma </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Harmful effects of microflora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Skin  pimples, carbuncles, furuncles</w:t>
            </w:r>
          </w:p>
          <w:p w:rsidR="00000000" w:rsidRPr="00EB4808" w:rsidP="00EB4808">
            <w:pPr>
              <w:pStyle w:val="ListBullet"/>
            </w:pPr>
            <w:r w:rsidRPr="00EB4808">
              <w:t>Mouth  gum disease, caries</w:t>
            </w:r>
          </w:p>
          <w:p w:rsidR="00000000" w:rsidP="00EB4808">
            <w:pPr>
              <w:pStyle w:val="ListBullet"/>
              <w:rPr>
                <w:lang w:val="en-NZ"/>
              </w:rPr>
            </w:pPr>
            <w:r w:rsidRPr="00EB4808">
              <w:t>Ears and eyes  otitis externa, conjunctivitis, trachoma</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Components of the chain of infection</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Infective agent</w:t>
            </w:r>
          </w:p>
          <w:p w:rsidR="00000000" w:rsidRPr="00EB4808" w:rsidP="00EB4808">
            <w:pPr>
              <w:pStyle w:val="ListBullet"/>
            </w:pPr>
            <w:r w:rsidRPr="00EB4808">
              <w:t>Portal of entry</w:t>
            </w:r>
          </w:p>
          <w:p w:rsidR="00000000" w:rsidRPr="00EB4808" w:rsidP="00EB4808">
            <w:pPr>
              <w:pStyle w:val="ListBullet"/>
            </w:pPr>
            <w:r w:rsidRPr="00EB4808">
              <w:t>Portal of exit</w:t>
            </w:r>
          </w:p>
          <w:p w:rsidR="00000000" w:rsidRPr="00EB4808" w:rsidP="00EB4808">
            <w:pPr>
              <w:pStyle w:val="ListBullet"/>
            </w:pPr>
            <w:r w:rsidRPr="00EB4808">
              <w:t>Reserv</w:t>
            </w:r>
            <w:r w:rsidRPr="00EB4808">
              <w:t>oir</w:t>
            </w:r>
          </w:p>
          <w:p w:rsidR="00000000" w:rsidRPr="00EB4808" w:rsidP="00EB4808">
            <w:pPr>
              <w:pStyle w:val="ListBullet"/>
            </w:pPr>
            <w:r w:rsidRPr="00EB4808">
              <w:t>Susceptible host</w:t>
            </w:r>
          </w:p>
          <w:p w:rsidR="00000000" w:rsidP="00EB4808">
            <w:pPr>
              <w:pStyle w:val="ListBullet"/>
              <w:rPr>
                <w:lang w:val="en-NZ"/>
              </w:rPr>
            </w:pPr>
            <w:r w:rsidRPr="00EB4808">
              <w:t xml:space="preserve">Mode of transmission </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Common terms associated with the spread of disease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Antibiotic</w:t>
            </w:r>
          </w:p>
          <w:p w:rsidR="00000000" w:rsidRPr="00EB4808" w:rsidP="00EB4808">
            <w:pPr>
              <w:pStyle w:val="ListBullet"/>
            </w:pPr>
            <w:r w:rsidRPr="00EB4808">
              <w:t>Communicable</w:t>
            </w:r>
          </w:p>
          <w:p w:rsidR="00000000" w:rsidRPr="00EB4808" w:rsidP="00EB4808">
            <w:pPr>
              <w:pStyle w:val="ListBullet"/>
            </w:pPr>
            <w:r w:rsidRPr="00EB4808">
              <w:t>Contagious</w:t>
            </w:r>
          </w:p>
          <w:p w:rsidR="00000000" w:rsidRPr="00EB4808" w:rsidP="00EB4808">
            <w:pPr>
              <w:pStyle w:val="ListBullet"/>
            </w:pPr>
            <w:r w:rsidRPr="00EB4808">
              <w:t>Epidemiology</w:t>
            </w:r>
          </w:p>
          <w:p w:rsidR="00000000" w:rsidRPr="00EB4808" w:rsidP="00EB4808">
            <w:pPr>
              <w:pStyle w:val="ListBullet"/>
            </w:pPr>
            <w:r w:rsidRPr="00EB4808">
              <w:t>Epidemic</w:t>
            </w:r>
          </w:p>
          <w:p w:rsidR="00000000" w:rsidRPr="00EB4808" w:rsidP="00EB4808">
            <w:pPr>
              <w:pStyle w:val="ListBullet"/>
            </w:pPr>
            <w:r w:rsidRPr="00EB4808">
              <w:t>Endemic</w:t>
            </w:r>
          </w:p>
          <w:p w:rsidR="00000000" w:rsidRPr="00EB4808" w:rsidP="00EB4808">
            <w:pPr>
              <w:pStyle w:val="ListBullet"/>
            </w:pPr>
            <w:r w:rsidRPr="00EB4808">
              <w:t>Pandemic</w:t>
            </w:r>
          </w:p>
          <w:p w:rsidR="00000000" w:rsidRPr="00EB4808" w:rsidP="00EB4808">
            <w:pPr>
              <w:pStyle w:val="ListBullet"/>
            </w:pPr>
            <w:r w:rsidRPr="00EB4808">
              <w:t>Host</w:t>
            </w:r>
          </w:p>
          <w:p w:rsidR="00000000" w:rsidRPr="00EB4808" w:rsidP="00EB4808">
            <w:pPr>
              <w:pStyle w:val="ListBullet"/>
            </w:pPr>
            <w:r w:rsidRPr="00EB4808">
              <w:t>Incubation</w:t>
            </w:r>
          </w:p>
          <w:p w:rsidR="00000000" w:rsidRPr="00EB4808" w:rsidP="00EB4808">
            <w:pPr>
              <w:pStyle w:val="ListBullet"/>
            </w:pPr>
            <w:r w:rsidRPr="00EB4808">
              <w:t>Infectious</w:t>
            </w:r>
          </w:p>
          <w:p w:rsidR="00000000" w:rsidRPr="00EB4808" w:rsidP="00EB4808">
            <w:pPr>
              <w:pStyle w:val="ListBullet"/>
            </w:pPr>
            <w:r w:rsidRPr="00EB4808">
              <w:t>Acute infection</w:t>
            </w:r>
          </w:p>
          <w:p w:rsidR="00000000" w:rsidRPr="00EB4808" w:rsidP="00EB4808">
            <w:pPr>
              <w:pStyle w:val="ListBullet"/>
            </w:pPr>
            <w:r w:rsidRPr="00EB4808">
              <w:t>Chronic infection</w:t>
            </w:r>
          </w:p>
          <w:p w:rsidR="00000000" w:rsidRPr="00EB4808" w:rsidP="00EB4808">
            <w:pPr>
              <w:pStyle w:val="ListBullet"/>
            </w:pPr>
            <w:r w:rsidRPr="00EB4808">
              <w:t>Latent</w:t>
            </w:r>
          </w:p>
          <w:p w:rsidR="00000000" w:rsidRPr="00EB4808" w:rsidP="00EB4808">
            <w:pPr>
              <w:pStyle w:val="ListBullet"/>
            </w:pPr>
            <w:r w:rsidRPr="00EB4808">
              <w:t>Primary infection</w:t>
            </w:r>
          </w:p>
          <w:p w:rsidR="00000000" w:rsidRPr="00EB4808" w:rsidP="00EB4808">
            <w:pPr>
              <w:pStyle w:val="ListBullet"/>
            </w:pPr>
            <w:r w:rsidRPr="00EB4808">
              <w:t>Secondary infection</w:t>
            </w:r>
          </w:p>
          <w:p w:rsidR="00000000" w:rsidRPr="00EB4808" w:rsidP="00EB4808">
            <w:pPr>
              <w:pStyle w:val="ListBullet"/>
            </w:pPr>
            <w:r w:rsidRPr="00EB4808">
              <w:t>Local infection</w:t>
            </w:r>
          </w:p>
          <w:p w:rsidR="00000000" w:rsidRPr="00EB4808" w:rsidP="00EB4808">
            <w:pPr>
              <w:pStyle w:val="ListBullet"/>
            </w:pPr>
            <w:r w:rsidRPr="00EB4808">
              <w:t xml:space="preserve">Generalised infection </w:t>
            </w:r>
          </w:p>
          <w:p w:rsidR="00000000" w:rsidRPr="00EB4808" w:rsidP="00EB4808">
            <w:pPr>
              <w:pStyle w:val="ListBullet"/>
            </w:pPr>
            <w:r w:rsidRPr="00EB4808">
              <w:t>Sterilisation</w:t>
            </w:r>
          </w:p>
          <w:p w:rsidR="00000000" w:rsidP="00EB4808">
            <w:pPr>
              <w:pStyle w:val="ListBullet"/>
              <w:rPr>
                <w:lang w:val="en-NZ"/>
              </w:rPr>
            </w:pPr>
            <w:r w:rsidRPr="00EB4808">
              <w:t>Disinfection</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Infection process may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Inflammatory process</w:t>
            </w:r>
          </w:p>
          <w:p w:rsidR="00000000" w:rsidRPr="00EB4808" w:rsidP="00EB4808">
            <w:pPr>
              <w:pStyle w:val="ListBullet"/>
            </w:pPr>
            <w:r w:rsidRPr="00EB4808">
              <w:t>Histamine</w:t>
            </w:r>
          </w:p>
          <w:p w:rsidR="00000000" w:rsidRPr="00EB4808" w:rsidP="00EB4808">
            <w:pPr>
              <w:pStyle w:val="ListBullet"/>
            </w:pPr>
            <w:r w:rsidRPr="00EB4808">
              <w:t>Kinins</w:t>
            </w:r>
          </w:p>
          <w:p w:rsidR="00000000" w:rsidRPr="00EB4808" w:rsidP="00EB4808">
            <w:pPr>
              <w:pStyle w:val="ListBullet"/>
            </w:pPr>
            <w:r w:rsidRPr="00EB4808">
              <w:t>Phagocytosis</w:t>
            </w:r>
          </w:p>
          <w:p w:rsidR="00000000" w:rsidRPr="00EB4808" w:rsidP="00EB4808">
            <w:pPr>
              <w:pStyle w:val="ListBullet"/>
            </w:pPr>
            <w:r w:rsidRPr="00EB4808">
              <w:t>Pus</w:t>
            </w:r>
          </w:p>
          <w:p w:rsidR="00000000" w:rsidP="00EB4808">
            <w:pPr>
              <w:pStyle w:val="ListBullet"/>
              <w:rPr>
                <w:lang w:val="en-NZ"/>
              </w:rPr>
            </w:pPr>
            <w:r w:rsidRPr="00EB4808">
              <w:t xml:space="preserve">Tissue repair </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Wound assessment may include the following classifications</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Clean/dirty</w:t>
            </w:r>
          </w:p>
          <w:p w:rsidR="00000000" w:rsidRPr="00EB4808" w:rsidP="00EB4808">
            <w:pPr>
              <w:pStyle w:val="ListBullet"/>
            </w:pPr>
            <w:r w:rsidRPr="00EB4808">
              <w:t>Infected</w:t>
            </w:r>
          </w:p>
          <w:p w:rsidR="00000000" w:rsidRPr="00EB4808" w:rsidP="00EB4808">
            <w:pPr>
              <w:pStyle w:val="ListBullet"/>
            </w:pPr>
            <w:r w:rsidRPr="00EB4808">
              <w:t>Surgical/traumatic</w:t>
            </w:r>
          </w:p>
          <w:p w:rsidR="00000000" w:rsidRPr="00EB4808" w:rsidP="00EB4808">
            <w:pPr>
              <w:pStyle w:val="ListBullet"/>
            </w:pPr>
            <w:r w:rsidRPr="00EB4808">
              <w:t>Chronic/acute</w:t>
            </w:r>
          </w:p>
          <w:p w:rsidR="00000000" w:rsidRPr="00EB4808" w:rsidP="00EB4808">
            <w:pPr>
              <w:pStyle w:val="ListBullet"/>
            </w:pPr>
            <w:r w:rsidRPr="00EB4808">
              <w:t>Necrotic/sloughy</w:t>
            </w:r>
          </w:p>
          <w:p w:rsidR="00000000" w:rsidRPr="00EB4808" w:rsidP="00EB4808">
            <w:pPr>
              <w:pStyle w:val="ListBullet"/>
            </w:pPr>
            <w:r w:rsidRPr="00EB4808">
              <w:t>Granulating</w:t>
            </w:r>
          </w:p>
          <w:p w:rsidR="00000000" w:rsidRPr="00EB4808" w:rsidP="00EB4808">
            <w:pPr>
              <w:pStyle w:val="ListBullet"/>
            </w:pPr>
            <w:r w:rsidRPr="00EB4808">
              <w:t>Abrasions/skin tears</w:t>
            </w:r>
          </w:p>
          <w:p w:rsidR="00000000" w:rsidRPr="00EB4808" w:rsidP="00EB4808">
            <w:pPr>
              <w:pStyle w:val="ListBullet"/>
            </w:pPr>
            <w:r w:rsidRPr="00EB4808">
              <w:t>Incisions/lacerations</w:t>
            </w:r>
          </w:p>
          <w:p w:rsidR="00000000" w:rsidRPr="00EB4808" w:rsidP="00EB4808">
            <w:pPr>
              <w:pStyle w:val="ListBullet"/>
            </w:pPr>
            <w:r w:rsidRPr="00EB4808">
              <w:t>Punctures</w:t>
            </w:r>
          </w:p>
          <w:p w:rsidR="00000000" w:rsidRPr="00EB4808" w:rsidP="00EB4808">
            <w:pPr>
              <w:pStyle w:val="ListBullet"/>
            </w:pPr>
            <w:r w:rsidRPr="00EB4808">
              <w:t>Avulsions</w:t>
            </w:r>
          </w:p>
          <w:p w:rsidR="00000000" w:rsidRPr="00EB4808" w:rsidP="00EB4808">
            <w:pPr>
              <w:pStyle w:val="ListBullet"/>
            </w:pPr>
            <w:r w:rsidRPr="00EB4808">
              <w:t>Amputations</w:t>
            </w:r>
          </w:p>
          <w:p w:rsidR="00000000" w:rsidRPr="00EB4808" w:rsidP="00EB4808">
            <w:pPr>
              <w:pStyle w:val="ListBullet"/>
            </w:pPr>
            <w:r w:rsidRPr="00EB4808">
              <w:t>Burns</w:t>
            </w:r>
          </w:p>
          <w:p w:rsidR="00000000" w:rsidP="00EB4808">
            <w:pPr>
              <w:pStyle w:val="ListBullet"/>
              <w:rPr>
                <w:lang w:val="en-NZ"/>
              </w:rPr>
            </w:pPr>
            <w:r w:rsidRPr="00EB4808">
              <w:t>Pressure sores</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Organisation protocols</w:t>
            </w:r>
            <w:r w:rsidRPr="00EB4808">
              <w:t xml:space="preserve">, </w:t>
            </w:r>
            <w:r w:rsidRPr="00EB4808">
              <w:rPr>
                <w:rStyle w:val="Emphasis"/>
              </w:rPr>
              <w:t>guidelines</w:t>
            </w:r>
            <w:r w:rsidRPr="00EB4808">
              <w:t xml:space="preserve">, </w:t>
            </w:r>
            <w:r w:rsidRPr="00EB4808">
              <w:rPr>
                <w:rStyle w:val="Emphasis"/>
              </w:rPr>
              <w:t>procedures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Occupational health and safety</w:t>
            </w:r>
          </w:p>
          <w:p w:rsidR="00000000" w:rsidRPr="00EB4808" w:rsidP="00EB4808">
            <w:pPr>
              <w:pStyle w:val="ListBullet"/>
            </w:pPr>
            <w:r w:rsidRPr="00EB4808">
              <w:t>Infection control</w:t>
            </w:r>
          </w:p>
          <w:p w:rsidR="00000000" w:rsidRPr="00EB4808" w:rsidP="00EB4808">
            <w:pPr>
              <w:pStyle w:val="ListBullet"/>
            </w:pPr>
            <w:r w:rsidRPr="00EB4808">
              <w:t>First Aid</w:t>
            </w:r>
          </w:p>
          <w:p w:rsidR="00000000" w:rsidRPr="00EB4808" w:rsidP="00EB4808">
            <w:pPr>
              <w:pStyle w:val="ListBullet"/>
            </w:pPr>
            <w:r w:rsidRPr="00EB4808">
              <w:t>Policies and procedures related to the workplace including understanding the work roles of all staff.</w:t>
            </w:r>
          </w:p>
          <w:p w:rsidR="00000000" w:rsidRPr="00EB4808" w:rsidP="00EB4808">
            <w:pPr>
              <w:pStyle w:val="ListBullet"/>
            </w:pPr>
            <w:r w:rsidRPr="00EB4808">
              <w:t>Wound healing protocols</w:t>
            </w:r>
          </w:p>
          <w:p w:rsidR="00000000" w:rsidP="00EB4808">
            <w:pPr>
              <w:pStyle w:val="ListBullet"/>
              <w:rPr>
                <w:lang w:val="en-NZ"/>
              </w:rPr>
            </w:pPr>
            <w:r w:rsidRPr="00EB4808">
              <w:t>Wound management strategies and contemporary wound healing practice</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Wound care may include the use of</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Hyrocolloids</w:t>
            </w:r>
          </w:p>
          <w:p w:rsidR="00000000" w:rsidRPr="00EB4808" w:rsidP="00EB4808">
            <w:pPr>
              <w:pStyle w:val="ListBullet"/>
            </w:pPr>
            <w:r w:rsidRPr="00EB4808">
              <w:t>Films</w:t>
            </w:r>
          </w:p>
          <w:p w:rsidR="00000000" w:rsidRPr="00EB4808" w:rsidP="00EB4808">
            <w:pPr>
              <w:pStyle w:val="ListBullet"/>
            </w:pPr>
            <w:r w:rsidRPr="00EB4808">
              <w:t>Gels</w:t>
            </w:r>
          </w:p>
          <w:p w:rsidR="00000000" w:rsidRPr="00EB4808" w:rsidP="00EB4808">
            <w:pPr>
              <w:pStyle w:val="ListBullet"/>
            </w:pPr>
            <w:r w:rsidRPr="00EB4808">
              <w:t>Foams</w:t>
            </w:r>
          </w:p>
          <w:p w:rsidR="00000000" w:rsidRPr="00EB4808" w:rsidP="00EB4808">
            <w:pPr>
              <w:pStyle w:val="ListBullet"/>
            </w:pPr>
            <w:r w:rsidRPr="00EB4808">
              <w:t>Alginate</w:t>
            </w:r>
          </w:p>
          <w:p w:rsidR="00000000" w:rsidP="00EB4808">
            <w:pPr>
              <w:pStyle w:val="ListBullet"/>
              <w:rPr>
                <w:lang w:val="en-NZ"/>
              </w:rPr>
            </w:pPr>
            <w:r w:rsidRPr="00EB4808">
              <w:t>Low order dressings, such as dry dressing, adhesive dressing, wound closure tapes</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4808">
            <w:pPr>
              <w:pStyle w:val="BodyText"/>
              <w:rPr>
                <w:lang w:val="en-NZ"/>
              </w:rPr>
            </w:pPr>
            <w:r w:rsidRPr="00EB4808">
              <w:rPr>
                <w:rStyle w:val="Emphasis"/>
              </w:rPr>
              <w:t>Wound management team may function in a variety of health care contexts and may include</w:t>
            </w:r>
            <w:r w:rsidRPr="00EB4808">
              <w:t>:</w:t>
            </w: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ListBullet"/>
            </w:pPr>
            <w:r w:rsidRPr="00EB4808">
              <w:t xml:space="preserve">Nurses </w:t>
            </w:r>
          </w:p>
          <w:p w:rsidR="00000000" w:rsidRPr="00EB4808" w:rsidP="00EB4808">
            <w:pPr>
              <w:pStyle w:val="ListBullet"/>
            </w:pPr>
            <w:r w:rsidRPr="00EB4808">
              <w:t>Medical practitioners</w:t>
            </w:r>
          </w:p>
          <w:p w:rsidR="00000000" w:rsidRPr="00EB4808" w:rsidP="00EB4808">
            <w:pPr>
              <w:pStyle w:val="ListBullet"/>
            </w:pPr>
            <w:r w:rsidRPr="00EB4808">
              <w:t>Occupational therapists</w:t>
            </w:r>
          </w:p>
          <w:p w:rsidR="00000000" w:rsidRPr="00EB4808" w:rsidP="00EB4808">
            <w:pPr>
              <w:pStyle w:val="ListBullet"/>
            </w:pPr>
            <w:r w:rsidRPr="00EB4808">
              <w:t>Microbiologists</w:t>
            </w:r>
          </w:p>
          <w:p w:rsidR="00000000" w:rsidRPr="00EB4808" w:rsidP="00EB4808">
            <w:pPr>
              <w:pStyle w:val="ListBullet"/>
            </w:pPr>
            <w:r w:rsidRPr="00EB4808">
              <w:t>Pharmacists</w:t>
            </w:r>
          </w:p>
          <w:p w:rsidR="00000000" w:rsidP="00EB4808">
            <w:pPr>
              <w:pStyle w:val="ListBullet"/>
              <w:rPr>
                <w:lang w:val="en-NZ"/>
              </w:rPr>
            </w:pPr>
            <w:r w:rsidRPr="00EB4808">
              <w:t>Carers</w:t>
            </w:r>
          </w:p>
        </w:tc>
      </w:tr>
      <w:tr w:rsidTr="00181E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4808" w:rsidP="00EB4808">
            <w:pPr>
              <w:pStyle w:val="BodyText"/>
            </w:pPr>
          </w:p>
        </w:tc>
      </w:tr>
    </w:tbl>
    <w:p w:rsidR="00181EEA" w:rsidP="00EB4808">
      <w:pPr>
        <w:pStyle w:val="BodyText"/>
      </w:pPr>
    </w:p>
    <w:p w:rsidR="00181EEA" w:rsidP="00EB4808">
      <w:pPr>
        <w:pStyle w:val="BodyText"/>
      </w:pPr>
    </w:p>
    <w:p w:rsidR="00000000" w:rsidRPr="00EB4808" w:rsidP="00EB4808">
      <w:pPr>
        <w:pStyle w:val="Heading1"/>
      </w:pPr>
      <w:bookmarkStart w:id="12" w:name="O_295056"/>
      <w:bookmarkEnd w:id="12"/>
      <w:r w:rsidRPr="00EB4808">
        <w:t>Unit Sector(s)</w:t>
      </w:r>
    </w:p>
    <w:p w:rsidR="00000000" w:rsidRPr="00EB4808" w:rsidP="00EB4808">
      <w:pPr>
        <w:pStyle w:val="BodyText"/>
      </w:pPr>
      <w:r w:rsidRPr="00EB4808">
        <w:t>Not Applicable</w:t>
      </w:r>
    </w:p>
    <w:p w:rsidR="00000000" w:rsidRPr="00EB4808" w:rsidP="00EB4808"/>
    <w:sectPr w:rsidSect="00EB4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EEA" w:rsidP="00181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EEA" w:rsidP="00EB4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1EEA" w:rsidP="00EB48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81EEA" w:rsidP="00EB48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EEA" w:rsidP="00181E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EEA" w:rsidP="00EB4808">
    <w:pPr>
      <w:pStyle w:val="Header"/>
      <w:framePr w:wrap="around"/>
    </w:pPr>
    <w:r>
      <w:fldChar w:fldCharType="begin"/>
    </w:r>
    <w:r>
      <w:instrText xml:space="preserve"> TITLE   \* MERGEFORMAT </w:instrText>
    </w:r>
    <w:r>
      <w:fldChar w:fldCharType="separate"/>
    </w:r>
    <w:r>
      <w:t>HLTEN406B Undertake basic wound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1EEA" w:rsidP="00EB48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5EE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AF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06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8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4808"/>
    <w:pPr>
      <w:spacing w:before="360" w:after="60"/>
      <w:outlineLvl w:val="0"/>
    </w:pPr>
    <w:rPr>
      <w:sz w:val="32"/>
    </w:rPr>
  </w:style>
  <w:style w:type="paragraph" w:styleId="Heading2">
    <w:name w:val="heading 2"/>
    <w:basedOn w:val="HeadingBase"/>
    <w:next w:val="BodyText"/>
    <w:link w:val="Heading2Char"/>
    <w:qFormat/>
    <w:rsid w:val="00EB4808"/>
    <w:pPr>
      <w:keepLines/>
      <w:spacing w:before="240" w:after="120"/>
      <w:outlineLvl w:val="1"/>
    </w:pPr>
    <w:rPr>
      <w:sz w:val="28"/>
      <w:szCs w:val="40"/>
    </w:rPr>
  </w:style>
  <w:style w:type="paragraph" w:styleId="Heading3">
    <w:name w:val="heading 3"/>
    <w:basedOn w:val="HeadingBase"/>
    <w:next w:val="BodyText"/>
    <w:link w:val="Heading3Char"/>
    <w:qFormat/>
    <w:rsid w:val="00EB4808"/>
    <w:pPr>
      <w:spacing w:before="180" w:after="120"/>
      <w:outlineLvl w:val="2"/>
    </w:pPr>
    <w:rPr>
      <w:spacing w:val="-10"/>
      <w:kern w:val="32"/>
    </w:rPr>
  </w:style>
  <w:style w:type="paragraph" w:styleId="Heading4">
    <w:name w:val="heading 4"/>
    <w:basedOn w:val="HeadingBase"/>
    <w:next w:val="BodyText"/>
    <w:link w:val="Heading4Char"/>
    <w:qFormat/>
    <w:rsid w:val="00EB4808"/>
    <w:pPr>
      <w:spacing w:before="160" w:after="120"/>
      <w:outlineLvl w:val="3"/>
    </w:pPr>
    <w:rPr>
      <w:sz w:val="22"/>
    </w:rPr>
  </w:style>
  <w:style w:type="paragraph" w:styleId="Heading5">
    <w:name w:val="heading 5"/>
    <w:basedOn w:val="HeadingBase"/>
    <w:next w:val="Normal"/>
    <w:link w:val="Heading5Char"/>
    <w:qFormat/>
    <w:rsid w:val="00EB4808"/>
    <w:pPr>
      <w:spacing w:before="80"/>
      <w:outlineLvl w:val="4"/>
    </w:pPr>
    <w:rPr>
      <w:color w:val="918585"/>
      <w:sz w:val="20"/>
    </w:rPr>
  </w:style>
  <w:style w:type="paragraph" w:styleId="Heading6">
    <w:name w:val="heading 6"/>
    <w:basedOn w:val="HeadingBase"/>
    <w:next w:val="Normal"/>
    <w:link w:val="Heading6Char"/>
    <w:qFormat/>
    <w:rsid w:val="00EB4808"/>
    <w:pPr>
      <w:spacing w:before="60"/>
      <w:outlineLvl w:val="5"/>
    </w:pPr>
    <w:rPr>
      <w:color w:val="918585"/>
      <w:sz w:val="20"/>
    </w:rPr>
  </w:style>
  <w:style w:type="paragraph" w:styleId="Heading7">
    <w:name w:val="heading 7"/>
    <w:basedOn w:val="Normal"/>
    <w:next w:val="Normal"/>
    <w:link w:val="Heading7Char"/>
    <w:qFormat/>
    <w:rsid w:val="00EB4808"/>
    <w:pPr>
      <w:ind w:left="720"/>
      <w:outlineLvl w:val="6"/>
    </w:pPr>
    <w:rPr>
      <w:i/>
    </w:rPr>
  </w:style>
  <w:style w:type="paragraph" w:styleId="Heading8">
    <w:name w:val="heading 8"/>
    <w:basedOn w:val="Normal"/>
    <w:next w:val="Normal"/>
    <w:link w:val="Heading8Char"/>
    <w:qFormat/>
    <w:rsid w:val="00EB4808"/>
    <w:pPr>
      <w:ind w:left="720"/>
      <w:outlineLvl w:val="7"/>
    </w:pPr>
    <w:rPr>
      <w:i/>
    </w:rPr>
  </w:style>
  <w:style w:type="paragraph" w:styleId="Heading9">
    <w:name w:val="heading 9"/>
    <w:basedOn w:val="Normal"/>
    <w:next w:val="Normal"/>
    <w:link w:val="Heading9Char"/>
    <w:qFormat/>
    <w:rsid w:val="00EB4808"/>
    <w:pPr>
      <w:ind w:left="720"/>
      <w:outlineLvl w:val="8"/>
    </w:pPr>
    <w:rPr>
      <w:i/>
    </w:rPr>
  </w:style>
  <w:style w:type="character" w:default="1" w:styleId="DefaultParagraphFont">
    <w:name w:val="Default Paragraph Font"/>
    <w:uiPriority w:val="1"/>
    <w:unhideWhenUsed/>
    <w:rsid w:val="00EB4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808"/>
  </w:style>
  <w:style w:type="character" w:customStyle="1" w:styleId="Heading1Char">
    <w:name w:val="Heading 1 Char"/>
    <w:basedOn w:val="DefaultParagraphFont"/>
    <w:link w:val="Heading1"/>
    <w:rsid w:val="00EB4808"/>
    <w:rPr>
      <w:rFonts w:ascii="Times New Roman" w:eastAsia="Times New Roman" w:hAnsi="Times New Roman" w:cs="Times New Roman"/>
      <w:b/>
      <w:sz w:val="32"/>
      <w:szCs w:val="20"/>
      <w:lang w:eastAsia="en-US"/>
    </w:rPr>
  </w:style>
  <w:style w:type="paragraph" w:styleId="BodyText">
    <w:name w:val="Body Text"/>
    <w:basedOn w:val="Normal"/>
    <w:link w:val="BodyTextChar"/>
    <w:rsid w:val="00EB48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808"/>
    <w:rPr>
      <w:rFonts w:ascii="Times New Roman" w:eastAsia="Times New Roman" w:hAnsi="Times New Roman" w:cs="Times New Roman"/>
      <w:sz w:val="24"/>
      <w:lang w:val="en-US" w:eastAsia="en-US"/>
    </w:rPr>
  </w:style>
  <w:style w:type="paragraph" w:styleId="Footer">
    <w:name w:val="footer"/>
    <w:basedOn w:val="Normal"/>
    <w:link w:val="FooterChar"/>
    <w:rsid w:val="00EB4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808"/>
    <w:rPr>
      <w:rFonts w:ascii="Times New Roman" w:eastAsia="Times New Roman" w:hAnsi="Times New Roman" w:cs="Times New Roman"/>
      <w:sz w:val="16"/>
      <w:lang w:val="en-US" w:eastAsia="en-US"/>
    </w:rPr>
  </w:style>
  <w:style w:type="paragraph" w:styleId="List">
    <w:name w:val="List"/>
    <w:basedOn w:val="BodyText"/>
    <w:next w:val="BodyText"/>
    <w:rsid w:val="00EB4808"/>
    <w:pPr>
      <w:tabs>
        <w:tab w:val="left" w:pos="340"/>
      </w:tabs>
      <w:spacing w:before="60" w:after="60"/>
      <w:ind w:left="340" w:hanging="340"/>
    </w:pPr>
  </w:style>
  <w:style w:type="paragraph" w:styleId="ListBullet">
    <w:name w:val="List Bullet"/>
    <w:basedOn w:val="List"/>
    <w:rsid w:val="00EB4808"/>
    <w:pPr>
      <w:numPr>
        <w:numId w:val="13"/>
      </w:numPr>
      <w:tabs>
        <w:tab w:val="clear" w:pos="340"/>
      </w:tabs>
      <w:spacing w:before="40" w:after="40"/>
    </w:pPr>
  </w:style>
  <w:style w:type="character" w:customStyle="1" w:styleId="SpecialBold">
    <w:name w:val="Special Bold"/>
    <w:basedOn w:val="DefaultParagraphFont"/>
    <w:rsid w:val="00EB4808"/>
    <w:rPr>
      <w:b/>
      <w:spacing w:val="0"/>
    </w:rPr>
  </w:style>
  <w:style w:type="paragraph" w:styleId="ListBullet2">
    <w:name w:val="List Bullet 2"/>
    <w:basedOn w:val="List2"/>
    <w:rsid w:val="00EB4808"/>
    <w:pPr>
      <w:numPr>
        <w:numId w:val="14"/>
      </w:numPr>
      <w:tabs>
        <w:tab w:val="clear" w:pos="680"/>
      </w:tabs>
    </w:pPr>
  </w:style>
  <w:style w:type="paragraph" w:styleId="Header">
    <w:name w:val="header"/>
    <w:basedOn w:val="Normal"/>
    <w:link w:val="HeaderChar"/>
    <w:rsid w:val="00EB4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8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4808"/>
    <w:rPr>
      <w:i/>
    </w:rPr>
  </w:style>
  <w:style w:type="paragraph" w:customStyle="1" w:styleId="SuperHeading">
    <w:name w:val="SuperHeading"/>
    <w:basedOn w:val="Normal"/>
    <w:rsid w:val="00EB4808"/>
    <w:pPr>
      <w:spacing w:before="240" w:after="120"/>
      <w:outlineLvl w:val="0"/>
    </w:pPr>
    <w:rPr>
      <w:rFonts w:ascii="Times New Roman" w:hAnsi="Times New Roman"/>
      <w:b/>
      <w:sz w:val="28"/>
    </w:rPr>
  </w:style>
  <w:style w:type="paragraph" w:customStyle="1" w:styleId="AllowPageBreak">
    <w:name w:val="AllowPageBreak"/>
    <w:rsid w:val="00EB4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8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48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4808"/>
    <w:rPr>
      <w:rFonts w:ascii="Courier New" w:eastAsia="Times New Roman" w:hAnsi="Courier New" w:cs="Times New Roman"/>
      <w:i/>
      <w:szCs w:val="20"/>
      <w:lang w:val="en-US" w:eastAsia="en-US"/>
    </w:rPr>
  </w:style>
  <w:style w:type="paragraph" w:customStyle="1" w:styleId="HeadingBase">
    <w:name w:val="Heading Base"/>
    <w:rsid w:val="00EB4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808"/>
    <w:pPr>
      <w:tabs>
        <w:tab w:val="right" w:leader="dot" w:pos="9072"/>
      </w:tabs>
      <w:ind w:left="567"/>
    </w:pPr>
    <w:rPr>
      <w:szCs w:val="22"/>
    </w:rPr>
  </w:style>
  <w:style w:type="paragraph" w:customStyle="1" w:styleId="TOCBase">
    <w:name w:val="TOC Base"/>
    <w:rsid w:val="00EB4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808"/>
    <w:pPr>
      <w:tabs>
        <w:tab w:val="right" w:leader="dot" w:pos="9072"/>
      </w:tabs>
      <w:spacing w:before="40" w:after="40"/>
      <w:ind w:left="284"/>
    </w:pPr>
    <w:rPr>
      <w:rFonts w:ascii="Times New Roman" w:hAnsi="Times New Roman"/>
    </w:rPr>
  </w:style>
  <w:style w:type="paragraph" w:styleId="TOC1">
    <w:name w:val="toc 1"/>
    <w:basedOn w:val="TOCBase"/>
    <w:next w:val="Normal"/>
    <w:rsid w:val="00EB48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808"/>
    <w:pPr>
      <w:spacing w:before="5040"/>
      <w:jc w:val="center"/>
    </w:pPr>
    <w:rPr>
      <w:sz w:val="48"/>
      <w:szCs w:val="72"/>
      <w:lang w:val="en-US"/>
    </w:rPr>
  </w:style>
  <w:style w:type="character" w:customStyle="1" w:styleId="TitleChar">
    <w:name w:val="Title Char"/>
    <w:basedOn w:val="DefaultParagraphFont"/>
    <w:link w:val="Title"/>
    <w:rsid w:val="00EB4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808"/>
    <w:pPr>
      <w:tabs>
        <w:tab w:val="left" w:pos="3600"/>
        <w:tab w:val="left" w:pos="3958"/>
      </w:tabs>
    </w:pPr>
  </w:style>
  <w:style w:type="paragraph" w:customStyle="1" w:styleId="Note">
    <w:name w:val="Note"/>
    <w:basedOn w:val="BodyText"/>
    <w:rsid w:val="00EB4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808"/>
    <w:pPr>
      <w:framePr w:wrap="auto" w:hAnchor="text" w:y="6049"/>
    </w:pPr>
    <w:rPr>
      <w:color w:val="000000"/>
      <w:sz w:val="40"/>
    </w:rPr>
  </w:style>
  <w:style w:type="paragraph" w:customStyle="1" w:styleId="TOCTitle">
    <w:name w:val="TOCTitle"/>
    <w:basedOn w:val="Heading1"/>
    <w:rsid w:val="00EB4808"/>
    <w:pPr>
      <w:spacing w:after="240"/>
      <w:jc w:val="center"/>
      <w:outlineLvl w:val="9"/>
    </w:pPr>
    <w:rPr>
      <w:caps/>
    </w:rPr>
  </w:style>
  <w:style w:type="paragraph" w:customStyle="1" w:styleId="Version">
    <w:name w:val="Version"/>
    <w:rsid w:val="00EB4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808"/>
    <w:pPr>
      <w:keepNext w:val="0"/>
      <w:tabs>
        <w:tab w:val="right" w:pos="4176"/>
      </w:tabs>
      <w:ind w:left="198" w:hanging="198"/>
    </w:pPr>
    <w:rPr>
      <w:rFonts w:ascii="Garamond" w:hAnsi="Garamond"/>
    </w:rPr>
  </w:style>
  <w:style w:type="paragraph" w:styleId="IndexHeading">
    <w:name w:val="index heading"/>
    <w:basedOn w:val="Normal"/>
    <w:next w:val="Index1"/>
    <w:semiHidden/>
    <w:rsid w:val="00EB4808"/>
    <w:pPr>
      <w:spacing w:before="120" w:after="120"/>
    </w:pPr>
    <w:rPr>
      <w:rFonts w:ascii="Arial" w:hAnsi="Arial"/>
      <w:b/>
      <w:color w:val="918585"/>
      <w:sz w:val="24"/>
    </w:rPr>
  </w:style>
  <w:style w:type="paragraph" w:customStyle="1" w:styleId="Chapter">
    <w:name w:val="Chapter"/>
    <w:basedOn w:val="Normal"/>
    <w:rsid w:val="00EB4808"/>
    <w:pPr>
      <w:spacing w:before="240"/>
    </w:pPr>
    <w:rPr>
      <w:rFonts w:ascii="Times New Roman" w:hAnsi="Times New Roman"/>
      <w:smallCaps/>
      <w:spacing w:val="80"/>
      <w:sz w:val="28"/>
    </w:rPr>
  </w:style>
  <w:style w:type="paragraph" w:customStyle="1" w:styleId="InChapter">
    <w:name w:val="InChapter"/>
    <w:basedOn w:val="Heading3"/>
    <w:rsid w:val="00EB4808"/>
    <w:pPr>
      <w:spacing w:after="240"/>
      <w:outlineLvl w:val="9"/>
    </w:pPr>
    <w:rPr>
      <w:noProof/>
    </w:rPr>
  </w:style>
  <w:style w:type="paragraph" w:styleId="Index2">
    <w:name w:val="index 2"/>
    <w:basedOn w:val="Normal"/>
    <w:next w:val="Normal"/>
    <w:semiHidden/>
    <w:rsid w:val="00EB4808"/>
    <w:pPr>
      <w:tabs>
        <w:tab w:val="right" w:pos="4176"/>
      </w:tabs>
      <w:ind w:left="568" w:hanging="284"/>
    </w:pPr>
    <w:rPr>
      <w:rFonts w:ascii="Garamond" w:hAnsi="Garamond"/>
    </w:rPr>
  </w:style>
  <w:style w:type="paragraph" w:customStyle="1" w:styleId="Byline">
    <w:name w:val="Byline"/>
    <w:rsid w:val="00EB4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808"/>
    <w:pPr>
      <w:tabs>
        <w:tab w:val="clear" w:pos="3600"/>
        <w:tab w:val="clear" w:pos="3958"/>
      </w:tabs>
      <w:jc w:val="right"/>
    </w:pPr>
  </w:style>
  <w:style w:type="paragraph" w:styleId="Caption">
    <w:name w:val="caption"/>
    <w:basedOn w:val="BodyText"/>
    <w:next w:val="Normal"/>
    <w:qFormat/>
    <w:rsid w:val="00EB4808"/>
    <w:pPr>
      <w:framePr w:w="2268" w:hSpace="181" w:vSpace="181" w:wrap="around" w:vAnchor="text" w:hAnchor="page" w:x="1135" w:y="285" w:anchorLock="1"/>
    </w:pPr>
    <w:rPr>
      <w:i/>
    </w:rPr>
  </w:style>
  <w:style w:type="paragraph" w:customStyle="1" w:styleId="MiniTOCTitle">
    <w:name w:val="MiniTOCTitle"/>
    <w:basedOn w:val="Heading4"/>
    <w:rsid w:val="00EB4808"/>
    <w:pPr>
      <w:spacing w:before="240"/>
      <w:outlineLvl w:val="9"/>
    </w:pPr>
    <w:rPr>
      <w:noProof/>
      <w:sz w:val="24"/>
    </w:rPr>
  </w:style>
  <w:style w:type="paragraph" w:customStyle="1" w:styleId="MiniTOCItem">
    <w:name w:val="MiniTOCItem"/>
    <w:basedOn w:val="ListBullet"/>
    <w:rsid w:val="00EB4808"/>
    <w:pPr>
      <w:numPr>
        <w:numId w:val="0"/>
      </w:numPr>
      <w:tabs>
        <w:tab w:val="right" w:leader="dot" w:pos="6521"/>
      </w:tabs>
      <w:spacing w:before="0" w:after="0"/>
    </w:pPr>
  </w:style>
  <w:style w:type="paragraph" w:customStyle="1" w:styleId="TOFTitle">
    <w:name w:val="TOFTitle"/>
    <w:basedOn w:val="TOCTitle"/>
    <w:rsid w:val="00EB4808"/>
  </w:style>
  <w:style w:type="paragraph" w:styleId="TableofFigures">
    <w:name w:val="table of figures"/>
    <w:basedOn w:val="Normal"/>
    <w:next w:val="Normal"/>
    <w:semiHidden/>
    <w:rsid w:val="00EB4808"/>
    <w:pPr>
      <w:tabs>
        <w:tab w:val="right" w:leader="dot" w:pos="9072"/>
      </w:tabs>
      <w:ind w:left="970" w:hanging="403"/>
    </w:pPr>
    <w:rPr>
      <w:rFonts w:ascii="Times New Roman" w:hAnsi="Times New Roman"/>
      <w:b/>
    </w:rPr>
  </w:style>
  <w:style w:type="paragraph" w:styleId="ListNumber">
    <w:name w:val="List Number"/>
    <w:basedOn w:val="List"/>
    <w:rsid w:val="00EB4808"/>
    <w:pPr>
      <w:numPr>
        <w:numId w:val="11"/>
      </w:numPr>
    </w:pPr>
  </w:style>
  <w:style w:type="character" w:customStyle="1" w:styleId="WingdingSymbols">
    <w:name w:val="Wingding Symbols"/>
    <w:rsid w:val="00EB4808"/>
    <w:rPr>
      <w:rFonts w:ascii="Wingdings" w:hAnsi="Wingdings"/>
    </w:rPr>
  </w:style>
  <w:style w:type="paragraph" w:customStyle="1" w:styleId="TableHeading">
    <w:name w:val="Table Heading"/>
    <w:basedOn w:val="HeadingBase"/>
    <w:rsid w:val="00EB4808"/>
    <w:pPr>
      <w:keepLines/>
      <w:pBdr>
        <w:bottom w:val="single" w:sz="6" w:space="1" w:color="918585"/>
      </w:pBdr>
      <w:spacing w:before="240"/>
    </w:pPr>
  </w:style>
  <w:style w:type="character" w:customStyle="1" w:styleId="HotSpot">
    <w:name w:val="HotSpot"/>
    <w:rsid w:val="00EB4808"/>
    <w:rPr>
      <w:color w:val="0033CC"/>
      <w:u w:val="none"/>
    </w:rPr>
  </w:style>
  <w:style w:type="paragraph" w:customStyle="1" w:styleId="BodyTextRight">
    <w:name w:val="Body Text Right"/>
    <w:basedOn w:val="BodyText"/>
    <w:rsid w:val="00EB4808"/>
    <w:pPr>
      <w:spacing w:before="0" w:after="0"/>
      <w:jc w:val="right"/>
    </w:pPr>
  </w:style>
  <w:style w:type="paragraph" w:styleId="Index3">
    <w:name w:val="index 3"/>
    <w:basedOn w:val="ListNumber2"/>
    <w:next w:val="Normal"/>
    <w:semiHidden/>
    <w:rsid w:val="00EB4808"/>
    <w:pPr>
      <w:numPr>
        <w:numId w:val="0"/>
      </w:numPr>
      <w:tabs>
        <w:tab w:val="right" w:leader="dot" w:pos="4176"/>
      </w:tabs>
    </w:pPr>
  </w:style>
  <w:style w:type="paragraph" w:styleId="ListNumber2">
    <w:name w:val="List Number 2"/>
    <w:basedOn w:val="List2"/>
    <w:rsid w:val="00EB4808"/>
    <w:pPr>
      <w:numPr>
        <w:numId w:val="10"/>
      </w:numPr>
      <w:tabs>
        <w:tab w:val="clear" w:pos="1060"/>
      </w:tabs>
    </w:pPr>
  </w:style>
  <w:style w:type="paragraph" w:customStyle="1" w:styleId="MarginNote">
    <w:name w:val="Margin Note"/>
    <w:basedOn w:val="BodyText"/>
    <w:rsid w:val="00EB4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8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4808"/>
    <w:rPr>
      <w:sz w:val="32"/>
    </w:rPr>
  </w:style>
  <w:style w:type="paragraph" w:customStyle="1" w:styleId="HeadingProcedure">
    <w:name w:val="Heading Procedure"/>
    <w:basedOn w:val="HeadingBase"/>
    <w:next w:val="Normal"/>
    <w:rsid w:val="00EB4808"/>
    <w:pPr>
      <w:tabs>
        <w:tab w:val="left" w:pos="0"/>
      </w:tabs>
      <w:spacing w:before="120" w:after="60"/>
    </w:pPr>
    <w:rPr>
      <w:i/>
      <w:color w:val="918585"/>
      <w:sz w:val="22"/>
    </w:rPr>
  </w:style>
  <w:style w:type="paragraph" w:customStyle="1" w:styleId="TableBodyText">
    <w:name w:val="Table Body Text"/>
    <w:basedOn w:val="BodyText"/>
    <w:rsid w:val="00EB4808"/>
    <w:pPr>
      <w:spacing w:before="60" w:after="60"/>
    </w:pPr>
  </w:style>
  <w:style w:type="paragraph" w:styleId="ListContinue">
    <w:name w:val="List Continue"/>
    <w:basedOn w:val="List"/>
    <w:rsid w:val="00EB4808"/>
    <w:pPr>
      <w:ind w:firstLine="0"/>
    </w:pPr>
  </w:style>
  <w:style w:type="paragraph" w:customStyle="1" w:styleId="ListNote">
    <w:name w:val="List Note"/>
    <w:basedOn w:val="List"/>
    <w:rsid w:val="00EB4808"/>
    <w:pPr>
      <w:pBdr>
        <w:top w:val="single" w:sz="6" w:space="2" w:color="918585"/>
        <w:bottom w:val="single" w:sz="6" w:space="2" w:color="918585"/>
      </w:pBdr>
      <w:tabs>
        <w:tab w:val="left" w:pos="1021"/>
      </w:tabs>
      <w:ind w:firstLine="0"/>
    </w:pPr>
  </w:style>
  <w:style w:type="paragraph" w:customStyle="1" w:styleId="Warning">
    <w:name w:val="Warning"/>
    <w:basedOn w:val="BodyText"/>
    <w:rsid w:val="00EB4808"/>
    <w:pPr>
      <w:shd w:val="clear" w:color="auto" w:fill="D9D9D9"/>
      <w:tabs>
        <w:tab w:val="left" w:pos="992"/>
      </w:tabs>
      <w:ind w:left="119" w:right="119"/>
    </w:pPr>
    <w:rPr>
      <w:sz w:val="20"/>
    </w:rPr>
  </w:style>
  <w:style w:type="paragraph" w:customStyle="1" w:styleId="MarginIcons">
    <w:name w:val="Margin Icons"/>
    <w:basedOn w:val="BodyText"/>
    <w:rsid w:val="00EB4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808"/>
    <w:rPr>
      <w:rFonts w:ascii="Courier New" w:hAnsi="Courier New"/>
    </w:rPr>
  </w:style>
  <w:style w:type="paragraph" w:customStyle="1" w:styleId="NoteBullet">
    <w:name w:val="Note Bullet"/>
    <w:basedOn w:val="Note"/>
    <w:rsid w:val="00EB4808"/>
    <w:pPr>
      <w:tabs>
        <w:tab w:val="clear" w:pos="680"/>
      </w:tabs>
      <w:spacing w:before="60" w:after="60"/>
    </w:pPr>
  </w:style>
  <w:style w:type="paragraph" w:customStyle="1" w:styleId="SubHeading2">
    <w:name w:val="SubHeading2"/>
    <w:basedOn w:val="HeadingBase"/>
    <w:rsid w:val="00EB4808"/>
    <w:pPr>
      <w:spacing w:before="240" w:after="60"/>
    </w:pPr>
    <w:rPr>
      <w:sz w:val="20"/>
    </w:rPr>
  </w:style>
  <w:style w:type="paragraph" w:customStyle="1" w:styleId="SubHeading1">
    <w:name w:val="SubHeading1"/>
    <w:basedOn w:val="HeadingBase"/>
    <w:rsid w:val="00EB4808"/>
    <w:pPr>
      <w:spacing w:before="240" w:after="60"/>
    </w:pPr>
    <w:rPr>
      <w:color w:val="918585"/>
      <w:sz w:val="22"/>
    </w:rPr>
  </w:style>
  <w:style w:type="paragraph" w:customStyle="1" w:styleId="SideHeading">
    <w:name w:val="Side Heading"/>
    <w:basedOn w:val="HeadingBase"/>
    <w:rsid w:val="00EB4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808"/>
    <w:pPr>
      <w:numPr>
        <w:numId w:val="12"/>
      </w:numPr>
    </w:pPr>
  </w:style>
  <w:style w:type="paragraph" w:styleId="PlainText">
    <w:name w:val="Plain Text"/>
    <w:basedOn w:val="Normal"/>
    <w:link w:val="PlainTextChar"/>
    <w:rsid w:val="00EB4808"/>
    <w:rPr>
      <w:sz w:val="20"/>
    </w:rPr>
  </w:style>
  <w:style w:type="character" w:customStyle="1" w:styleId="PlainTextChar">
    <w:name w:val="Plain Text Char"/>
    <w:basedOn w:val="DefaultParagraphFont"/>
    <w:link w:val="PlainText"/>
    <w:rsid w:val="00EB48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4808"/>
    <w:rPr>
      <w:b/>
      <w:smallCaps/>
    </w:rPr>
  </w:style>
  <w:style w:type="paragraph" w:customStyle="1" w:styleId="TableListNumber">
    <w:name w:val="Table List Number"/>
    <w:basedOn w:val="ListNumber"/>
    <w:rsid w:val="00EB4808"/>
    <w:pPr>
      <w:numPr>
        <w:numId w:val="0"/>
      </w:numPr>
    </w:pPr>
  </w:style>
  <w:style w:type="paragraph" w:styleId="TOC4">
    <w:name w:val="toc 4"/>
    <w:basedOn w:val="TOCBase"/>
    <w:next w:val="Normal"/>
    <w:semiHidden/>
    <w:rsid w:val="00EB4808"/>
    <w:pPr>
      <w:tabs>
        <w:tab w:val="right" w:leader="dot" w:pos="9071"/>
      </w:tabs>
      <w:ind w:left="1701"/>
    </w:pPr>
  </w:style>
  <w:style w:type="paragraph" w:customStyle="1" w:styleId="ListAlpha">
    <w:name w:val="List Alpha"/>
    <w:basedOn w:val="List"/>
    <w:rsid w:val="00EB4808"/>
    <w:pPr>
      <w:numPr>
        <w:numId w:val="9"/>
      </w:numPr>
    </w:pPr>
  </w:style>
  <w:style w:type="paragraph" w:customStyle="1" w:styleId="ListAlpha2">
    <w:name w:val="List Alpha 2"/>
    <w:basedOn w:val="List2"/>
    <w:rsid w:val="00EB4808"/>
    <w:pPr>
      <w:numPr>
        <w:numId w:val="8"/>
      </w:numPr>
    </w:pPr>
  </w:style>
  <w:style w:type="paragraph" w:styleId="List2">
    <w:name w:val="List 2"/>
    <w:basedOn w:val="BodyText"/>
    <w:rsid w:val="00EB4808"/>
    <w:pPr>
      <w:tabs>
        <w:tab w:val="left" w:pos="680"/>
      </w:tabs>
      <w:spacing w:before="60" w:after="60"/>
      <w:ind w:left="680" w:hanging="340"/>
    </w:pPr>
  </w:style>
  <w:style w:type="paragraph" w:styleId="List3">
    <w:name w:val="List 3"/>
    <w:basedOn w:val="BodyText"/>
    <w:rsid w:val="00EB4808"/>
    <w:pPr>
      <w:tabs>
        <w:tab w:val="left" w:pos="1021"/>
      </w:tabs>
      <w:spacing w:before="60" w:after="60"/>
      <w:ind w:left="1020" w:hanging="340"/>
    </w:pPr>
  </w:style>
  <w:style w:type="paragraph" w:styleId="List4">
    <w:name w:val="List 4"/>
    <w:basedOn w:val="BodyText"/>
    <w:rsid w:val="00EB4808"/>
    <w:pPr>
      <w:tabs>
        <w:tab w:val="left" w:pos="1361"/>
      </w:tabs>
      <w:spacing w:before="60" w:after="60"/>
      <w:ind w:left="1361" w:hanging="340"/>
    </w:pPr>
  </w:style>
  <w:style w:type="paragraph" w:styleId="List5">
    <w:name w:val="List 5"/>
    <w:basedOn w:val="BodyText"/>
    <w:rsid w:val="00EB4808"/>
    <w:pPr>
      <w:tabs>
        <w:tab w:val="left" w:pos="1701"/>
      </w:tabs>
      <w:spacing w:before="60" w:after="60"/>
      <w:ind w:left="1701" w:hanging="340"/>
    </w:pPr>
  </w:style>
  <w:style w:type="paragraph" w:styleId="ListBullet3">
    <w:name w:val="List Bullet 3"/>
    <w:basedOn w:val="List3"/>
    <w:rsid w:val="00EB4808"/>
    <w:pPr>
      <w:numPr>
        <w:numId w:val="15"/>
      </w:numPr>
      <w:tabs>
        <w:tab w:val="clear" w:pos="1021"/>
      </w:tabs>
      <w:ind w:left="1037" w:hanging="357"/>
    </w:pPr>
  </w:style>
  <w:style w:type="paragraph" w:styleId="ListBullet4">
    <w:name w:val="List Bullet 4"/>
    <w:basedOn w:val="List4"/>
    <w:rsid w:val="00EB4808"/>
    <w:pPr>
      <w:numPr>
        <w:numId w:val="3"/>
      </w:numPr>
    </w:pPr>
  </w:style>
  <w:style w:type="paragraph" w:styleId="ListBullet5">
    <w:name w:val="List Bullet 5"/>
    <w:basedOn w:val="List5"/>
    <w:rsid w:val="00EB4808"/>
    <w:pPr>
      <w:numPr>
        <w:numId w:val="4"/>
      </w:numPr>
    </w:pPr>
  </w:style>
  <w:style w:type="paragraph" w:styleId="ListContinue2">
    <w:name w:val="List Continue 2"/>
    <w:basedOn w:val="List2"/>
    <w:rsid w:val="00EB4808"/>
    <w:pPr>
      <w:ind w:firstLine="0"/>
    </w:pPr>
  </w:style>
  <w:style w:type="paragraph" w:styleId="ListContinue3">
    <w:name w:val="List Continue 3"/>
    <w:basedOn w:val="List3"/>
    <w:rsid w:val="00EB4808"/>
    <w:pPr>
      <w:ind w:left="1021" w:firstLine="0"/>
    </w:pPr>
  </w:style>
  <w:style w:type="paragraph" w:styleId="ListContinue4">
    <w:name w:val="List Continue 4"/>
    <w:basedOn w:val="List4"/>
    <w:rsid w:val="00EB4808"/>
    <w:pPr>
      <w:ind w:firstLine="0"/>
    </w:pPr>
  </w:style>
  <w:style w:type="paragraph" w:styleId="ListContinue5">
    <w:name w:val="List Continue 5"/>
    <w:basedOn w:val="List5"/>
    <w:rsid w:val="00EB4808"/>
    <w:pPr>
      <w:ind w:firstLine="0"/>
    </w:pPr>
  </w:style>
  <w:style w:type="paragraph" w:styleId="ListNumber3">
    <w:name w:val="List Number 3"/>
    <w:basedOn w:val="List3"/>
    <w:rsid w:val="00EB4808"/>
    <w:pPr>
      <w:numPr>
        <w:numId w:val="5"/>
      </w:numPr>
    </w:pPr>
  </w:style>
  <w:style w:type="paragraph" w:styleId="ListNumber4">
    <w:name w:val="List Number 4"/>
    <w:basedOn w:val="List4"/>
    <w:rsid w:val="00EB4808"/>
    <w:pPr>
      <w:numPr>
        <w:numId w:val="6"/>
      </w:numPr>
    </w:pPr>
  </w:style>
  <w:style w:type="paragraph" w:styleId="ListNumber5">
    <w:name w:val="List Number 5"/>
    <w:basedOn w:val="List5"/>
    <w:rsid w:val="00EB4808"/>
    <w:pPr>
      <w:numPr>
        <w:numId w:val="7"/>
      </w:numPr>
    </w:pPr>
  </w:style>
  <w:style w:type="paragraph" w:styleId="BlockText">
    <w:name w:val="Block Text"/>
    <w:basedOn w:val="Normal"/>
    <w:rsid w:val="00EB4808"/>
    <w:pPr>
      <w:spacing w:after="120"/>
      <w:ind w:left="1440" w:right="1440"/>
    </w:pPr>
  </w:style>
  <w:style w:type="character" w:customStyle="1" w:styleId="Subscript">
    <w:name w:val="Subscript"/>
    <w:basedOn w:val="DefaultParagraphFont"/>
    <w:rsid w:val="00EB4808"/>
    <w:rPr>
      <w:sz w:val="16"/>
      <w:vertAlign w:val="subscript"/>
    </w:rPr>
  </w:style>
  <w:style w:type="character" w:customStyle="1" w:styleId="Superscript">
    <w:name w:val="Superscript"/>
    <w:basedOn w:val="DefaultParagraphFont"/>
    <w:rsid w:val="00EB4808"/>
    <w:rPr>
      <w:sz w:val="16"/>
      <w:vertAlign w:val="superscript"/>
    </w:rPr>
  </w:style>
  <w:style w:type="character" w:customStyle="1" w:styleId="Symbols">
    <w:name w:val="Symbols"/>
    <w:basedOn w:val="DefaultParagraphFont"/>
    <w:rsid w:val="00EB4808"/>
    <w:rPr>
      <w:rFonts w:ascii="Symbol" w:hAnsi="Symbol"/>
    </w:rPr>
  </w:style>
  <w:style w:type="character" w:customStyle="1" w:styleId="MenuOptions">
    <w:name w:val="Menu Options"/>
    <w:basedOn w:val="DefaultParagraphFont"/>
    <w:rsid w:val="00EB4808"/>
    <w:rPr>
      <w:rFonts w:ascii="Arial Narrow" w:hAnsi="Arial Narrow"/>
      <w:smallCaps/>
    </w:rPr>
  </w:style>
  <w:style w:type="character" w:customStyle="1" w:styleId="Buttons">
    <w:name w:val="Buttons"/>
    <w:basedOn w:val="DefaultParagraphFont"/>
    <w:rsid w:val="00EB4808"/>
    <w:rPr>
      <w:b/>
    </w:rPr>
  </w:style>
  <w:style w:type="character" w:customStyle="1" w:styleId="Underlined">
    <w:name w:val="Underlined"/>
    <w:basedOn w:val="DefaultParagraphFont"/>
    <w:rsid w:val="00EB4808"/>
    <w:rPr>
      <w:u w:val="single"/>
    </w:rPr>
  </w:style>
  <w:style w:type="paragraph" w:customStyle="1" w:styleId="TableBodyTextRight">
    <w:name w:val="Table Body Text Right"/>
    <w:basedOn w:val="TableBodyText"/>
    <w:rsid w:val="00EB4808"/>
    <w:pPr>
      <w:widowControl w:val="0"/>
      <w:autoSpaceDE w:val="0"/>
      <w:autoSpaceDN w:val="0"/>
      <w:adjustRightInd w:val="0"/>
      <w:jc w:val="right"/>
    </w:pPr>
    <w:rPr>
      <w:rFonts w:cs="Arial"/>
      <w:szCs w:val="18"/>
    </w:rPr>
  </w:style>
  <w:style w:type="paragraph" w:customStyle="1" w:styleId="CopyrightText">
    <w:name w:val="Copyright Text"/>
    <w:basedOn w:val="BodyText"/>
    <w:rsid w:val="00EB4808"/>
    <w:rPr>
      <w:sz w:val="18"/>
    </w:rPr>
  </w:style>
  <w:style w:type="paragraph" w:customStyle="1" w:styleId="BodySmallRight">
    <w:name w:val="Body Small Right"/>
    <w:basedOn w:val="BodyTextRight"/>
    <w:rsid w:val="00EB4808"/>
    <w:rPr>
      <w:sz w:val="18"/>
      <w:szCs w:val="18"/>
    </w:rPr>
  </w:style>
  <w:style w:type="paragraph" w:customStyle="1" w:styleId="MarginEdition">
    <w:name w:val="Margin Edition"/>
    <w:basedOn w:val="MarginNote"/>
    <w:rsid w:val="00EB4808"/>
    <w:pPr>
      <w:spacing w:before="0" w:after="0"/>
    </w:pPr>
    <w:rPr>
      <w:rFonts w:ascii="Times New Roman" w:hAnsi="Times New Roman"/>
      <w:color w:val="999999"/>
    </w:rPr>
  </w:style>
  <w:style w:type="paragraph" w:customStyle="1" w:styleId="Spacer">
    <w:name w:val="Spacer"/>
    <w:basedOn w:val="Normal"/>
    <w:rsid w:val="00EB4808"/>
    <w:rPr>
      <w:sz w:val="2"/>
      <w:szCs w:val="2"/>
    </w:rPr>
  </w:style>
  <w:style w:type="character" w:customStyle="1" w:styleId="Small">
    <w:name w:val="Small"/>
    <w:basedOn w:val="DefaultParagraphFont"/>
    <w:rsid w:val="00EB4808"/>
    <w:rPr>
      <w:sz w:val="16"/>
    </w:rPr>
  </w:style>
  <w:style w:type="paragraph" w:customStyle="1" w:styleId="WideTable">
    <w:name w:val="Wide Table"/>
    <w:basedOn w:val="Normal"/>
    <w:rsid w:val="00EB4808"/>
    <w:pPr>
      <w:ind w:left="-1418"/>
    </w:pPr>
    <w:rPr>
      <w:sz w:val="2"/>
      <w:szCs w:val="2"/>
    </w:rPr>
  </w:style>
  <w:style w:type="character" w:styleId="PageNumber">
    <w:name w:val="page number"/>
    <w:basedOn w:val="DefaultParagraphFont"/>
    <w:rsid w:val="00EB4808"/>
  </w:style>
  <w:style w:type="paragraph" w:styleId="Quote">
    <w:name w:val="Quote"/>
    <w:basedOn w:val="Heading1"/>
    <w:link w:val="QuoteChar"/>
    <w:qFormat/>
    <w:rsid w:val="00EB4808"/>
    <w:rPr>
      <w:b w:val="0"/>
      <w:sz w:val="72"/>
      <w:szCs w:val="72"/>
      <w:lang w:val="en-NZ"/>
    </w:rPr>
  </w:style>
  <w:style w:type="character" w:customStyle="1" w:styleId="QuoteChar">
    <w:name w:val="Quote Char"/>
    <w:basedOn w:val="DefaultParagraphFont"/>
    <w:link w:val="Quote"/>
    <w:rsid w:val="00EB4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808"/>
    <w:pPr>
      <w:pageBreakBefore/>
    </w:pPr>
  </w:style>
  <w:style w:type="paragraph" w:customStyle="1" w:styleId="Border">
    <w:name w:val="Border"/>
    <w:basedOn w:val="Normal"/>
    <w:qFormat/>
    <w:rsid w:val="00EB4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808"/>
    <w:rPr>
      <w:b/>
      <w:bCs/>
      <w:i/>
      <w:iCs/>
      <w:color w:val="auto"/>
    </w:rPr>
  </w:style>
  <w:style w:type="paragraph" w:styleId="IntenseQuote">
    <w:name w:val="Intense Quote"/>
    <w:basedOn w:val="Normal"/>
    <w:next w:val="Normal"/>
    <w:link w:val="IntenseQuoteChar"/>
    <w:uiPriority w:val="30"/>
    <w:qFormat/>
    <w:rsid w:val="00EB4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8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4808"/>
    <w:rPr>
      <w:smallCaps/>
      <w:color w:val="auto"/>
      <w:u w:val="single"/>
    </w:rPr>
  </w:style>
  <w:style w:type="character" w:styleId="IntenseReference">
    <w:name w:val="Intense Reference"/>
    <w:basedOn w:val="DefaultParagraphFont"/>
    <w:uiPriority w:val="32"/>
    <w:qFormat/>
    <w:rsid w:val="00EB4808"/>
    <w:rPr>
      <w:b/>
      <w:bCs/>
      <w:smallCaps/>
      <w:color w:val="auto"/>
      <w:spacing w:val="5"/>
      <w:u w:val="single"/>
    </w:rPr>
  </w:style>
  <w:style w:type="paragraph" w:customStyle="1" w:styleId="2ColumnHeading">
    <w:name w:val="2Column Heading"/>
    <w:basedOn w:val="BodyText"/>
    <w:qFormat/>
    <w:rsid w:val="00EB4808"/>
    <w:pPr>
      <w:spacing w:after="60"/>
      <w:ind w:left="-2268"/>
    </w:pPr>
    <w:rPr>
      <w:b/>
    </w:rPr>
  </w:style>
  <w:style w:type="paragraph" w:customStyle="1" w:styleId="Heading1TOC">
    <w:name w:val="Heading1 TOC"/>
    <w:basedOn w:val="Normal"/>
    <w:qFormat/>
    <w:rsid w:val="00EB4808"/>
    <w:pPr>
      <w:spacing w:before="240" w:after="120"/>
    </w:pPr>
    <w:rPr>
      <w:rFonts w:ascii="Times New Roman" w:hAnsi="Times New Roman"/>
      <w:b/>
      <w:sz w:val="32"/>
    </w:rPr>
  </w:style>
  <w:style w:type="paragraph" w:customStyle="1" w:styleId="Heading2TOC">
    <w:name w:val="Heading2 TOC"/>
    <w:basedOn w:val="Normal"/>
    <w:qFormat/>
    <w:rsid w:val="00EB4808"/>
    <w:pPr>
      <w:spacing w:before="240" w:after="60"/>
    </w:pPr>
    <w:rPr>
      <w:rFonts w:ascii="Times New Roman" w:hAnsi="Times New Roman"/>
      <w:b/>
      <w:sz w:val="28"/>
    </w:rPr>
  </w:style>
  <w:style w:type="character" w:customStyle="1" w:styleId="Underline">
    <w:name w:val="Underline"/>
    <w:basedOn w:val="DefaultParagraphFont"/>
    <w:qFormat/>
    <w:rsid w:val="00EB4808"/>
    <w:rPr>
      <w:u w:val="single"/>
    </w:rPr>
  </w:style>
  <w:style w:type="character" w:customStyle="1" w:styleId="BoldandItalics">
    <w:name w:val="Bold and Italics"/>
    <w:qFormat/>
    <w:rsid w:val="00EB4808"/>
    <w:rPr>
      <w:b/>
      <w:i/>
      <w:u w:val="none"/>
    </w:rPr>
  </w:style>
  <w:style w:type="paragraph" w:styleId="BalloonText">
    <w:name w:val="Balloon Text"/>
    <w:basedOn w:val="Normal"/>
    <w:link w:val="BalloonTextChar"/>
    <w:rsid w:val="00EB4808"/>
    <w:rPr>
      <w:rFonts w:ascii="Tahoma" w:hAnsi="Tahoma" w:cs="Tahoma"/>
      <w:sz w:val="16"/>
      <w:szCs w:val="16"/>
    </w:rPr>
  </w:style>
  <w:style w:type="character" w:customStyle="1" w:styleId="BalloonTextChar">
    <w:name w:val="Balloon Text Char"/>
    <w:basedOn w:val="DefaultParagraphFont"/>
    <w:link w:val="BalloonText"/>
    <w:rsid w:val="00EB48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48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8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1582</Words>
  <Characters>10114</Characters>
  <Application>Microsoft Office Word</Application>
  <DocSecurity>0</DocSecurity>
  <Lines>413</Lines>
  <Paragraphs>238</Paragraphs>
  <ScaleCrop>false</ScaleCrop>
  <Company>Author-it Software Corporation Ltd.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HLTEN406B Undertake basic wound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2012-05-27T00:22:00Z</dcterms:created>
  <dcterms:modified xsi:type="dcterms:W3CDTF">2012-05-27T00:22:00Z</dcterms:modified>
</cp:coreProperties>
</file>