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C16" w:rsidP="008B7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HLTDT511C Join alloy structures</w:t>
      </w:r>
      <w:r>
        <w:fldChar w:fldCharType="end"/>
      </w:r>
    </w:p>
    <w:p w:rsidR="008B7C16" w:rsidP="008B7C16">
      <w:pPr>
        <w:pStyle w:val="Version"/>
        <w:sectPr w:rsidSect="00756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A86" w:rsidP="00756A86">
      <w:pPr>
        <w:pStyle w:val="SuperHeading"/>
      </w:pPr>
      <w:r w:rsidRPr="00756A86">
        <w:t>HLTDT511C Join alloy structures</w:t>
      </w:r>
    </w:p>
    <w:p w:rsidR="00000000" w:rsidRPr="00756A86" w:rsidP="00756A86">
      <w:pPr>
        <w:pStyle w:val="Heading1"/>
      </w:pPr>
      <w:bookmarkStart w:id="1" w:name="O_271138"/>
      <w:bookmarkEnd w:id="1"/>
      <w:r w:rsidRPr="00756A86">
        <w:t>Modification History</w:t>
      </w:r>
    </w:p>
    <w:p w:rsidR="00000000" w:rsidRPr="00756A86" w:rsidP="00756A86">
      <w:pPr>
        <w:pStyle w:val="BodyText"/>
      </w:pPr>
      <w:r w:rsidRPr="00756A86">
        <w:t>Not Applicable</w:t>
      </w:r>
    </w:p>
    <w:p w:rsidR="00000000" w:rsidRPr="00756A86" w:rsidP="00756A86">
      <w:pPr>
        <w:pStyle w:val="AllowPageBreak"/>
      </w:pPr>
    </w:p>
    <w:p w:rsidR="00000000" w:rsidRPr="00756A86" w:rsidP="00756A86">
      <w:pPr>
        <w:pStyle w:val="Heading1"/>
      </w:pPr>
      <w:bookmarkStart w:id="2" w:name="O_205740"/>
      <w:bookmarkEnd w:id="2"/>
      <w:r w:rsidRPr="00756A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7"/>
        <w:gridCol w:w="5219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Descriptor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>This unit of competency describes the skills and knowledge required to join dental alloys using thermal processes</w:t>
            </w:r>
          </w:p>
          <w:p w:rsidR="00000000" w:rsidRPr="00756A86" w:rsidP="00756A86">
            <w:pPr>
              <w:pStyle w:val="BodyText"/>
            </w:pPr>
            <w:r w:rsidRPr="00756A86">
              <w:t>All procedu</w:t>
            </w:r>
            <w:r w:rsidRPr="00756A86">
              <w:t>res are carried out in accordance with occupational health and safety policies and procedures, current infection control guidelines, Australian and New Zealand Standards, state/territory legislative requirements and organisation policy</w:t>
            </w: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3" w:name="O_205743"/>
      <w:bookmarkEnd w:id="3"/>
      <w:r w:rsidRPr="00756A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Application</w:t>
            </w:r>
            <w:r w:rsidRPr="00756A86">
              <w:t xml:space="preserve"> 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>This unit applies to work in dental technology</w:t>
            </w: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4" w:name="O_279398"/>
      <w:bookmarkEnd w:id="4"/>
      <w:r w:rsidRPr="00756A86">
        <w:t>Licensing/Regulatory Information</w:t>
      </w:r>
    </w:p>
    <w:p w:rsidR="00000000" w:rsidRPr="00756A86" w:rsidP="00756A86">
      <w:pPr>
        <w:pStyle w:val="BodyText"/>
      </w:pPr>
      <w:r w:rsidRPr="00756A86">
        <w:t>Not Applicable</w:t>
      </w:r>
    </w:p>
    <w:p w:rsidR="00000000" w:rsidRPr="00756A86" w:rsidP="00756A86">
      <w:pPr>
        <w:pStyle w:val="AllowPageBreak"/>
      </w:pPr>
    </w:p>
    <w:p w:rsidR="00000000" w:rsidRPr="00756A86" w:rsidP="00756A86">
      <w:pPr>
        <w:pStyle w:val="Heading1"/>
      </w:pPr>
      <w:bookmarkStart w:id="5" w:name="O_205742"/>
      <w:bookmarkEnd w:id="5"/>
      <w:r w:rsidRPr="00756A8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9"/>
        <w:gridCol w:w="5337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Pre-requisite units</w:t>
            </w: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>This unit must be assessed after successful achievement of pre-requisites:</w:t>
            </w:r>
          </w:p>
          <w:p w:rsidR="00000000" w:rsidRPr="00756A86" w:rsidP="00756A86">
            <w:pPr>
              <w:pStyle w:val="ListBullet"/>
            </w:pPr>
            <w:r w:rsidRPr="00756A86">
              <w:t>HLTDT301C Construct models</w:t>
            </w:r>
          </w:p>
          <w:p w:rsidR="00000000" w:rsidRPr="00756A86" w:rsidP="00756A86">
            <w:pPr>
              <w:pStyle w:val="ListBullet"/>
            </w:pPr>
            <w:r w:rsidRPr="00756A86">
              <w:t>HLTDT302C Construct custom impression trays</w:t>
            </w:r>
          </w:p>
          <w:p w:rsidR="00000000" w:rsidRPr="00756A86" w:rsidP="00756A86">
            <w:pPr>
              <w:pStyle w:val="ListBullet"/>
            </w:pPr>
            <w:r w:rsidRPr="00756A86">
              <w:t>HLTDT303C Construct registration rims</w:t>
            </w:r>
          </w:p>
          <w:p w:rsidR="00000000" w:rsidRPr="00756A86" w:rsidP="00756A86">
            <w:pPr>
              <w:pStyle w:val="ListBullet"/>
            </w:pPr>
            <w:r w:rsidRPr="00756A86">
              <w:t>HLTDT304C Articulate models and transfer records</w:t>
            </w:r>
          </w:p>
          <w:p w:rsidR="00000000" w:rsidRPr="00756A86" w:rsidP="00756A86">
            <w:pPr>
              <w:pStyle w:val="ListBullet"/>
            </w:pPr>
            <w:r w:rsidRPr="00756A86">
              <w:t>HLTDT507C Construct im</w:t>
            </w:r>
            <w:r w:rsidRPr="00756A86">
              <w:t xml:space="preserve">mediate dentures 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HLTDT508C Construct removable acrylic partial dentures 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HLTDT509C Cast metal alloy removable partial denture framework 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HLTDT510C Construct crown and bridge structures </w:t>
            </w:r>
          </w:p>
          <w:p w:rsidR="00000000" w:rsidRPr="00756A86" w:rsidP="00756A86">
            <w:pPr>
              <w:pStyle w:val="ListBullet"/>
            </w:pPr>
            <w:r w:rsidRPr="00756A86">
              <w:t>HLTDT519B Construct simple complete removable acrylic dentures and ap</w:t>
            </w:r>
            <w:r w:rsidRPr="00756A86">
              <w:t>pliances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HLTIN301C Comply with infection control policies and procedures </w:t>
            </w: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6" w:name="O_205741"/>
      <w:bookmarkEnd w:id="6"/>
      <w:r w:rsidRPr="00756A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>This unit contains Employability Skills</w:t>
            </w: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7" w:name="O_289184"/>
      <w:bookmarkEnd w:id="7"/>
      <w:r w:rsidRPr="00756A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6"/>
        <w:gridCol w:w="5346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t>Elements define the essential outcomes of a unit of competency.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756A86" w:rsidP="00756A86">
      <w:pPr>
        <w:pStyle w:val="BodyText"/>
      </w:pPr>
    </w:p>
    <w:p w:rsidR="00000000" w:rsidRPr="00756A86" w:rsidP="00756A86">
      <w:pPr>
        <w:pStyle w:val="AllowPageBreak"/>
      </w:pPr>
    </w:p>
    <w:p w:rsidR="00000000" w:rsidRPr="00756A86" w:rsidP="00756A86">
      <w:pPr>
        <w:pStyle w:val="Heading1"/>
      </w:pPr>
      <w:bookmarkStart w:id="8" w:name="O_235851"/>
      <w:bookmarkEnd w:id="8"/>
      <w:r w:rsidRPr="00756A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6"/>
        <w:gridCol w:w="5346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rPr>
                <w:rStyle w:val="SpecialBold"/>
              </w:rPr>
              <w:t>ELEMENT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PERFORMANCE CRITERIA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List"/>
              <w:rPr>
                <w:lang w:val="en-NZ"/>
              </w:rPr>
            </w:pPr>
            <w:r w:rsidRPr="00756A86">
              <w:t>1.</w:t>
            </w:r>
            <w:r w:rsidRPr="00756A86">
              <w:tab/>
              <w:t>Solder components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"/>
            </w:pPr>
            <w:r w:rsidRPr="00756A86">
              <w:t>1.1</w:t>
            </w:r>
            <w:r w:rsidRPr="00756A86">
              <w:tab/>
              <w:t>Identify and position component materials accurately to comply with the design and in a manner that enables the optimum join to be made</w:t>
            </w:r>
          </w:p>
          <w:p w:rsidR="00000000" w:rsidRPr="00756A86" w:rsidP="00756A86">
            <w:pPr>
              <w:pStyle w:val="List"/>
            </w:pPr>
            <w:r w:rsidRPr="00756A86">
              <w:t>1.2</w:t>
            </w:r>
            <w:r w:rsidRPr="00756A86">
              <w:tab/>
              <w:t xml:space="preserve">Select </w:t>
            </w:r>
            <w:r w:rsidRPr="00756A86">
              <w:rPr>
                <w:rStyle w:val="Emphasis"/>
              </w:rPr>
              <w:t>appropriate solder a</w:t>
            </w:r>
            <w:r w:rsidRPr="00756A86">
              <w:rPr>
                <w:rStyle w:val="Emphasis"/>
              </w:rPr>
              <w:t>nd flux according to the component materials</w:t>
            </w:r>
          </w:p>
          <w:p w:rsidR="00000000" w:rsidRPr="00756A86" w:rsidP="00756A86">
            <w:pPr>
              <w:pStyle w:val="List"/>
            </w:pPr>
            <w:r w:rsidRPr="00756A86">
              <w:t>1.3</w:t>
            </w:r>
            <w:r w:rsidRPr="00756A86">
              <w:tab/>
              <w:t xml:space="preserve">Select </w:t>
            </w:r>
            <w:r w:rsidRPr="00756A86">
              <w:rPr>
                <w:rStyle w:val="Emphasis"/>
              </w:rPr>
              <w:t>appropriate heating methods</w:t>
            </w:r>
          </w:p>
          <w:p w:rsidR="00000000" w:rsidRPr="00756A86" w:rsidP="00756A86">
            <w:pPr>
              <w:pStyle w:val="List"/>
            </w:pPr>
            <w:r w:rsidRPr="00756A86">
              <w:t>1.4</w:t>
            </w:r>
            <w:r w:rsidRPr="00756A86">
              <w:tab/>
            </w:r>
            <w:r w:rsidRPr="00756A86">
              <w:rPr>
                <w:rStyle w:val="Emphasis"/>
              </w:rPr>
              <w:t>Apply and control</w:t>
            </w:r>
            <w:r w:rsidRPr="00756A86">
              <w:t xml:space="preserve"> solder </w:t>
            </w:r>
          </w:p>
          <w:p w:rsidR="00000000" w:rsidRPr="00756A86" w:rsidP="00756A86">
            <w:pPr>
              <w:pStyle w:val="List"/>
            </w:pPr>
            <w:r w:rsidRPr="00756A86">
              <w:t>1.5</w:t>
            </w:r>
            <w:r w:rsidRPr="00756A86">
              <w:tab/>
            </w:r>
            <w:r w:rsidRPr="00756A86">
              <w:rPr>
                <w:rStyle w:val="Emphasis"/>
              </w:rPr>
              <w:t>Evaluate each finished join</w:t>
            </w:r>
          </w:p>
          <w:p w:rsidR="00000000" w:rsidP="00756A86">
            <w:pPr>
              <w:pStyle w:val="List"/>
              <w:rPr>
                <w:lang w:val="en-NZ"/>
              </w:rPr>
            </w:pPr>
            <w:r w:rsidRPr="00756A86">
              <w:t>1.6</w:t>
            </w:r>
            <w:r w:rsidRPr="00756A86">
              <w:tab/>
              <w:t>Clean, trim, shape and finish components to produce a smooth surface free of sharp edges and irregularitie</w:t>
            </w:r>
            <w:r w:rsidRPr="00756A86">
              <w:t>s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List"/>
              <w:rPr>
                <w:lang w:val="en-NZ"/>
              </w:rPr>
            </w:pPr>
            <w:r w:rsidRPr="00756A86">
              <w:t>2.</w:t>
            </w:r>
            <w:r w:rsidRPr="00756A86">
              <w:tab/>
              <w:t>Weld components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t>2.1</w:t>
            </w:r>
            <w:r w:rsidRPr="00756A86">
              <w:tab/>
              <w:t>Identify and position component materials accurately to comply with the design and in a manner that enables the optimum join to be made</w:t>
            </w:r>
          </w:p>
          <w:p w:rsidR="00000000" w:rsidRPr="00756A86" w:rsidP="00756A86">
            <w:pPr>
              <w:pStyle w:val="BodyText"/>
            </w:pPr>
            <w:r w:rsidRPr="00756A86">
              <w:t>2.2</w:t>
            </w:r>
            <w:r w:rsidRPr="00756A86">
              <w:tab/>
              <w:t>Select appropriate welding techniques and equipment</w:t>
            </w:r>
          </w:p>
          <w:p w:rsidR="00000000" w:rsidRPr="00756A86" w:rsidP="00756A86">
            <w:pPr>
              <w:pStyle w:val="BodyText"/>
            </w:pPr>
            <w:r w:rsidRPr="00756A86">
              <w:t>2.3</w:t>
            </w:r>
            <w:r w:rsidRPr="00756A86">
              <w:tab/>
              <w:t>Weld components</w:t>
            </w:r>
          </w:p>
          <w:p w:rsidR="00000000" w:rsidRPr="00756A86" w:rsidP="00756A86">
            <w:pPr>
              <w:pStyle w:val="BodyText"/>
            </w:pPr>
            <w:r w:rsidRPr="00756A86">
              <w:t>2.4</w:t>
            </w:r>
            <w:r w:rsidRPr="00756A86">
              <w:tab/>
              <w:t>Evalu</w:t>
            </w:r>
            <w:r w:rsidRPr="00756A86">
              <w:t>ate each finished weld</w:t>
            </w:r>
          </w:p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t>2.5</w:t>
            </w:r>
            <w:r w:rsidRPr="00756A86">
              <w:tab/>
              <w:t>Clean, trim, shape and finish components to produce a smooth surface free of sharp edges and irregularities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9" w:name="O_259801"/>
      <w:bookmarkEnd w:id="9"/>
      <w:r w:rsidRPr="00756A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REQUIRED SKILLS AND KNOWLEDGE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t>This describes the essential skills and knowledge and their level required for this unit.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rPr>
                <w:rStyle w:val="Emphasis"/>
              </w:rPr>
              <w:t>Essential knowledge</w:t>
            </w:r>
            <w:r w:rsidRPr="00756A86">
              <w:t>:</w:t>
            </w:r>
          </w:p>
          <w:p w:rsidR="00000000" w:rsidRPr="00756A86" w:rsidP="00756A86">
            <w:pPr>
              <w:pStyle w:val="BodyText"/>
            </w:pPr>
            <w:r w:rsidRPr="00756A86">
              <w:t>The candidate must be able to demonstrate essential knowledge required to effectively do the task outlined in elements and performance criteri</w:t>
            </w:r>
            <w:r w:rsidRPr="00756A86">
              <w:t>a of this unit, manage the task and manage contingencies in the context of the identified work role</w:t>
            </w:r>
          </w:p>
          <w:p w:rsidR="00000000" w:rsidRPr="00756A86" w:rsidP="00756A86">
            <w:pPr>
              <w:pStyle w:val="BodyText"/>
            </w:pPr>
            <w:r w:rsidRPr="00756A86">
              <w:t>This includes knowledge of: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Applied oral anatomy </w:t>
            </w:r>
          </w:p>
          <w:p w:rsidR="00000000" w:rsidRPr="00756A86" w:rsidP="00756A86">
            <w:pPr>
              <w:pStyle w:val="ListBullet2"/>
            </w:pPr>
            <w:r w:rsidRPr="00756A86">
              <w:t>articulation and occlusion</w:t>
            </w:r>
          </w:p>
          <w:p w:rsidR="00000000" w:rsidRPr="00756A86" w:rsidP="00756A86">
            <w:pPr>
              <w:pStyle w:val="ListBullet2"/>
            </w:pPr>
            <w:r w:rsidRPr="00756A86">
              <w:t>dentition - arrangement of the teeth, naming and coding of teeth</w:t>
            </w:r>
          </w:p>
          <w:p w:rsidR="00000000" w:rsidRPr="00756A86" w:rsidP="00756A86">
            <w:pPr>
              <w:pStyle w:val="ListBullet2"/>
            </w:pPr>
            <w:r w:rsidRPr="00756A86">
              <w:t>structures of the oral cavity - hard and soft palate, lateral and posterior borders of the oral cavity, tongue and floor of the mouth</w:t>
            </w:r>
          </w:p>
          <w:p w:rsidR="00000000" w:rsidRPr="00756A86" w:rsidP="00756A86">
            <w:pPr>
              <w:pStyle w:val="ListBullet2"/>
            </w:pPr>
            <w:r w:rsidRPr="00756A86">
              <w:t>teeth - form and function</w:t>
            </w:r>
          </w:p>
          <w:p w:rsidR="00000000" w:rsidRPr="00756A86" w:rsidP="00756A86">
            <w:pPr>
              <w:pStyle w:val="ListBullet"/>
            </w:pPr>
            <w:r w:rsidRPr="00756A86">
              <w:t>Dental alloys</w:t>
            </w:r>
          </w:p>
          <w:p w:rsidR="00000000" w:rsidRPr="00756A86" w:rsidP="00756A86">
            <w:pPr>
              <w:pStyle w:val="ListBullet"/>
            </w:pPr>
            <w:r w:rsidRPr="00756A86">
              <w:t>Dental metallurgy</w:t>
            </w:r>
          </w:p>
          <w:p w:rsidR="00000000" w:rsidRPr="00756A86" w:rsidP="00756A86">
            <w:pPr>
              <w:pStyle w:val="ListBullet"/>
            </w:pPr>
            <w:r w:rsidRPr="00756A86">
              <w:t>Finishing methods</w:t>
            </w:r>
          </w:p>
          <w:p w:rsidR="00000000" w:rsidRPr="00756A86" w:rsidP="00756A86">
            <w:pPr>
              <w:pStyle w:val="ListBullet"/>
            </w:pPr>
            <w:r w:rsidRPr="00756A86">
              <w:t>Fluxes</w:t>
            </w:r>
          </w:p>
          <w:p w:rsidR="00000000" w:rsidRPr="00756A86" w:rsidP="00756A86">
            <w:pPr>
              <w:pStyle w:val="ListBullet"/>
            </w:pPr>
            <w:r w:rsidRPr="00756A86">
              <w:t>Infection control guidelines for the d</w:t>
            </w:r>
            <w:r w:rsidRPr="00756A86">
              <w:t>econtamination of completed laboratory work</w:t>
            </w:r>
          </w:p>
          <w:p w:rsidR="00000000" w:rsidRPr="00756A86" w:rsidP="00756A86">
            <w:pPr>
              <w:pStyle w:val="ListBullet"/>
            </w:pPr>
            <w:r w:rsidRPr="00756A86">
              <w:t>Occupational health and safety policies and procedures</w:t>
            </w:r>
          </w:p>
          <w:p w:rsidR="00000000" w:rsidRPr="00756A86" w:rsidP="00756A86">
            <w:pPr>
              <w:pStyle w:val="ListBullet"/>
            </w:pPr>
            <w:r w:rsidRPr="00756A86">
              <w:t>Orthodontic wires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>Soldering and welding techniques including laser welding technology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  <w:r w:rsidRPr="00756A86">
              <w:rPr>
                <w:rStyle w:val="Emphasis"/>
              </w:rPr>
              <w:t>Essential skills</w:t>
            </w:r>
            <w:r w:rsidRPr="00756A86">
              <w:t>:</w:t>
            </w:r>
          </w:p>
          <w:p w:rsidR="00000000" w:rsidRPr="00756A86" w:rsidP="00756A86">
            <w:pPr>
              <w:pStyle w:val="BodyText"/>
            </w:pPr>
            <w:r w:rsidRPr="00756A86">
              <w:t xml:space="preserve">It is critical that the candidate demonstrate the ability to </w:t>
            </w:r>
          </w:p>
          <w:p w:rsidR="00000000" w:rsidRPr="00756A86" w:rsidP="00756A86">
            <w:pPr>
              <w:pStyle w:val="ListBullet"/>
            </w:pPr>
            <w:r w:rsidRPr="00756A86">
              <w:t>Consistently comply with current infection control guidelines, Australian Standards and legislative requirements as they relate to the dental technician's specific job role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Consistently comply </w:t>
            </w:r>
            <w:r w:rsidRPr="00756A86">
              <w:t>with occupational health and safety policies and procedures as they relate to the dental technician's specific job role</w:t>
            </w:r>
          </w:p>
          <w:p w:rsidR="00000000" w:rsidRPr="00756A86" w:rsidP="00756A86">
            <w:pPr>
              <w:pStyle w:val="ListBullet"/>
            </w:pPr>
            <w:r w:rsidRPr="00756A86">
              <w:t>Produce soldered or welded joints that exhibit bio-compatibility and optimum mechanical properties</w:t>
            </w:r>
          </w:p>
          <w:p w:rsidR="00000000" w:rsidRPr="00756A86" w:rsidP="00756A86">
            <w:pPr>
              <w:pStyle w:val="BodyText"/>
            </w:pPr>
          </w:p>
          <w:p w:rsidR="00000000" w:rsidRPr="00756A86" w:rsidP="00756A86">
            <w:pPr>
              <w:pStyle w:val="BodyText"/>
            </w:pPr>
            <w:r w:rsidRPr="00756A86">
              <w:t>In addition, the candidate must be a</w:t>
            </w:r>
            <w:r w:rsidRPr="00756A86">
              <w:t>ble to effectively do the task outlined in elements and performance criteria of this unit, manage the task and manage contingencies in the context of the identified work role</w:t>
            </w:r>
          </w:p>
          <w:p w:rsidR="00000000" w:rsidRPr="00756A86" w:rsidP="00756A86">
            <w:pPr>
              <w:pStyle w:val="BodyText"/>
            </w:pPr>
            <w:r w:rsidRPr="00756A86">
              <w:t>This includes the ability to:</w:t>
            </w:r>
          </w:p>
          <w:p w:rsidR="00000000" w:rsidRPr="00756A86" w:rsidP="00756A86">
            <w:pPr>
              <w:pStyle w:val="ListBullet"/>
            </w:pPr>
            <w:r w:rsidRPr="00756A86">
              <w:t>Consistently follow sequenced written instructions</w:t>
            </w:r>
            <w:r w:rsidRPr="00756A86">
              <w:t xml:space="preserve"> and manufacturer specifications for the preparation of materials</w:t>
            </w:r>
          </w:p>
          <w:p w:rsidR="00000000" w:rsidRPr="00756A86" w:rsidP="00756A86">
            <w:pPr>
              <w:pStyle w:val="ListBullet"/>
            </w:pPr>
            <w:r w:rsidRPr="00756A86">
              <w:t>Select materials and techniques to join alloy structures</w:t>
            </w:r>
          </w:p>
          <w:p w:rsidR="00000000" w:rsidRPr="00756A86" w:rsidP="00756A86">
            <w:pPr>
              <w:pStyle w:val="ListBullet"/>
            </w:pPr>
            <w:r w:rsidRPr="00756A86">
              <w:t>Use appropriate practices to ensure efficient use of power and other resources</w:t>
            </w:r>
          </w:p>
          <w:p w:rsidR="00000000" w:rsidRPr="00756A86" w:rsidP="00756A86">
            <w:pPr>
              <w:pStyle w:val="ListBullet"/>
            </w:pPr>
            <w:r w:rsidRPr="00756A86">
              <w:t>Use safe work practices to minimise the risk of transm</w:t>
            </w:r>
            <w:r w:rsidRPr="00756A86">
              <w:t>ission of infection including:</w:t>
            </w:r>
          </w:p>
          <w:p w:rsidR="00000000" w:rsidRPr="00756A86" w:rsidP="00756A86">
            <w:pPr>
              <w:pStyle w:val="ListBullet2"/>
            </w:pPr>
            <w:r w:rsidRPr="00756A86">
              <w:t>consistently following the procedure for washing and drying hands</w:t>
            </w:r>
          </w:p>
          <w:p w:rsidR="00000000" w:rsidRPr="00756A86" w:rsidP="00756A86">
            <w:pPr>
              <w:pStyle w:val="ListBullet2"/>
            </w:pPr>
            <w:r w:rsidRPr="00756A86">
              <w:t>consistently putting into practice clean techniques</w:t>
            </w:r>
          </w:p>
          <w:p w:rsidR="00000000" w:rsidRPr="00756A86" w:rsidP="00756A86">
            <w:pPr>
              <w:pStyle w:val="ListBullet2"/>
            </w:pPr>
            <w:r w:rsidRPr="00756A86">
              <w:t>consistently using personal protective equipment</w:t>
            </w:r>
          </w:p>
          <w:p w:rsidR="00000000" w:rsidRPr="00756A86" w:rsidP="00756A86">
            <w:pPr>
              <w:pStyle w:val="ListBullet2"/>
            </w:pPr>
            <w:r w:rsidRPr="00756A86">
              <w:t>consistently limiting contamination</w:t>
            </w:r>
          </w:p>
          <w:p w:rsidR="00000000" w:rsidRPr="00756A86" w:rsidP="00756A86">
            <w:pPr>
              <w:pStyle w:val="ListBullet2"/>
            </w:pPr>
            <w:r w:rsidRPr="00756A86">
              <w:t xml:space="preserve">consistently maintaining clean receiving and work areas </w:t>
            </w:r>
          </w:p>
          <w:p w:rsidR="00000000" w:rsidRPr="00756A86" w:rsidP="00756A86">
            <w:pPr>
              <w:pStyle w:val="ListBullet"/>
            </w:pPr>
            <w:r w:rsidRPr="00756A86">
              <w:t>Use literacy skills to read and follow directions, policies and procedures including:</w:t>
            </w:r>
          </w:p>
          <w:p w:rsidR="00000000" w:rsidRPr="00756A86" w:rsidP="00756A86">
            <w:pPr>
              <w:pStyle w:val="ListBullet2"/>
            </w:pPr>
            <w:r w:rsidRPr="00756A86">
              <w:t>occupational health and safety policies and procedures</w:t>
            </w:r>
          </w:p>
          <w:p w:rsidR="00000000" w:rsidRPr="00756A86" w:rsidP="00756A86">
            <w:pPr>
              <w:pStyle w:val="ListBullet2"/>
            </w:pPr>
            <w:r w:rsidRPr="00756A86">
              <w:t>infection control policies and procedures</w:t>
            </w:r>
          </w:p>
          <w:p w:rsidR="00000000" w:rsidRPr="00756A86" w:rsidP="00756A86">
            <w:pPr>
              <w:pStyle w:val="ListBullet2"/>
            </w:pPr>
            <w:r w:rsidRPr="00756A86">
              <w:t>material safet</w:t>
            </w:r>
            <w:r w:rsidRPr="00756A86">
              <w:t>y data sheets</w:t>
            </w:r>
          </w:p>
          <w:p w:rsidR="00000000" w:rsidRPr="00756A86" w:rsidP="00756A86">
            <w:pPr>
              <w:pStyle w:val="ListBullet2"/>
            </w:pPr>
            <w:r w:rsidRPr="00756A86">
              <w:t>laboratory policies and procedures</w:t>
            </w: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10" w:name="O_243835"/>
      <w:bookmarkEnd w:id="10"/>
      <w:r w:rsidRPr="00756A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EVIDENCE GUIDE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t xml:space="preserve">The evidence guide provides advice on assessment and must be read in conjunction with the Performance Criteria, Required Skills and Knowledge, </w:t>
            </w:r>
            <w:r w:rsidRPr="00756A86">
              <w:t>the Range Statement and the Assessment Guidelines for this Training Package.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Critical aspects for assessment and evidence required to demonstrate this competency unit</w:t>
            </w:r>
            <w:r w:rsidRPr="00756A86">
              <w:t xml:space="preserve">: </w:t>
            </w:r>
            <w:r w:rsidRPr="00756A86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The individual being assessed must provide evidence of specified essential knowl</w:t>
            </w:r>
            <w:r w:rsidRPr="00756A86">
              <w:t>edge as well as skills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 xml:space="preserve">Consistency of performance should be demonstrated over the required range of workplace situations 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Context of and specific resources for assessment</w:t>
            </w:r>
            <w:r w:rsidRPr="00756A86">
              <w:t xml:space="preserve">: </w:t>
            </w:r>
            <w:r w:rsidRPr="00756A86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Assessment should replicate workplace conditions as far as possible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>Where, for reasons of safety, access to equipment and resources and space, assessment takes place away from the workplace, simulations should be used to represent workplace conditions as closely as possible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Method of assessment</w:t>
            </w:r>
            <w:r w:rsidRPr="00756A86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 xml:space="preserve">Evidence of essential </w:t>
            </w:r>
            <w:r w:rsidRPr="00756A86">
              <w:t>knowledge and understanding may be provided by:</w:t>
            </w:r>
          </w:p>
          <w:p w:rsidR="00000000" w:rsidRPr="00756A86" w:rsidP="00756A86">
            <w:pPr>
              <w:pStyle w:val="ListBullet2"/>
            </w:pPr>
            <w:r w:rsidRPr="00756A86">
              <w:t>traditional or online (computer-based) assessment</w:t>
            </w:r>
          </w:p>
          <w:p w:rsidR="00000000" w:rsidRPr="00756A86" w:rsidP="00756A86">
            <w:pPr>
              <w:pStyle w:val="ListBullet2"/>
            </w:pPr>
            <w:r w:rsidRPr="00756A86">
              <w:t>written assignments/projects</w:t>
            </w:r>
          </w:p>
          <w:p w:rsidR="00000000" w:rsidRPr="00756A86" w:rsidP="00756A86">
            <w:pPr>
              <w:pStyle w:val="ListBullet"/>
            </w:pPr>
            <w:r w:rsidRPr="00756A86">
              <w:t>Case study and scenario as a basis for discussion of issues and strategies to contribute to best practice</w:t>
            </w:r>
          </w:p>
          <w:p w:rsidR="00000000" w:rsidRPr="00756A86" w:rsidP="00756A86">
            <w:pPr>
              <w:pStyle w:val="ListBullet"/>
            </w:pPr>
            <w:r w:rsidRPr="00756A86">
              <w:t>Questioning</w:t>
            </w:r>
          </w:p>
          <w:p w:rsidR="00000000" w:rsidRPr="00756A86" w:rsidP="00756A86">
            <w:pPr>
              <w:pStyle w:val="ListBullet"/>
            </w:pPr>
            <w:r w:rsidRPr="00756A86">
              <w:t>Staff and/or client feedback</w:t>
            </w:r>
          </w:p>
          <w:p w:rsidR="00000000" w:rsidRPr="00756A86" w:rsidP="00756A86">
            <w:pPr>
              <w:pStyle w:val="ListBullet"/>
            </w:pPr>
            <w:r w:rsidRPr="00756A86">
              <w:t>Supporting statement of supervisor</w:t>
            </w:r>
          </w:p>
          <w:p w:rsidR="00000000" w:rsidRPr="00756A86" w:rsidP="00756A86">
            <w:pPr>
              <w:pStyle w:val="ListBullet"/>
            </w:pPr>
            <w:r w:rsidRPr="00756A86">
              <w:t>Authenticated evidence of relevant work experience and/or formal/informal learning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>Role play/simulation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Access and equity considerations</w:t>
            </w:r>
            <w:r w:rsidRPr="00756A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All workers in the health industry should be aware of access and equity issues in relation to their own area of work</w:t>
            </w:r>
          </w:p>
          <w:p w:rsidR="00000000" w:rsidRPr="00756A86" w:rsidP="00756A86">
            <w:pPr>
              <w:pStyle w:val="ListBullet"/>
            </w:pPr>
            <w:r w:rsidRPr="00756A86">
              <w:t xml:space="preserve">All workers should develop their ability to work in a culturally diverse environment </w:t>
            </w:r>
          </w:p>
          <w:p w:rsidR="00000000" w:rsidRPr="00756A86" w:rsidP="00756A86">
            <w:pPr>
              <w:pStyle w:val="ListBullet"/>
            </w:pPr>
            <w:r w:rsidRPr="00756A86">
              <w:t>In recognition of particular health issues facing Abo</w:t>
            </w:r>
            <w:r w:rsidRPr="00756A86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 xml:space="preserve">Assessors and trainers must take into account relevant access and equity </w:t>
            </w:r>
            <w:r w:rsidRPr="00756A86">
              <w:t>issues, in particular relating to factors impacting on health of Aboriginal and/or Torres Strait Islander clients and communities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11" w:name="O_251818"/>
      <w:bookmarkEnd w:id="11"/>
      <w:r w:rsidRPr="00756A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SpecialBold"/>
              </w:rPr>
              <w:t>RANGE STATEMENT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Appropriate heating methods may include</w:t>
            </w:r>
            <w:r w:rsidRPr="00756A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Heating components to a temperature that:</w:t>
            </w:r>
          </w:p>
          <w:p w:rsidR="00000000" w:rsidRPr="00756A86" w:rsidP="00756A86">
            <w:pPr>
              <w:pStyle w:val="ListBullet2"/>
            </w:pPr>
            <w:r w:rsidRPr="00756A86">
              <w:t>is sufficient to melt and control the flow of solder</w:t>
            </w:r>
          </w:p>
          <w:p w:rsidR="00000000" w:rsidRPr="00756A86" w:rsidP="00756A86">
            <w:pPr>
              <w:pStyle w:val="ListBullet2"/>
            </w:pPr>
            <w:r w:rsidRPr="00756A86">
              <w:t>is sufficient to form a bond</w:t>
            </w:r>
          </w:p>
          <w:p w:rsidR="00000000" w:rsidP="00756A86">
            <w:pPr>
              <w:pStyle w:val="ListBullet2"/>
              <w:rPr>
                <w:lang w:val="en-NZ"/>
              </w:rPr>
            </w:pPr>
            <w:r w:rsidRPr="00756A86">
              <w:t>prevents damage to the metallurgical properties of the dental materials being joined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The application and control of solder may include but is not limited to</w:t>
            </w:r>
            <w:r w:rsidRPr="00756A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Achieving the thickness and coverage required for optimum durability and maximum strength</w:t>
            </w:r>
          </w:p>
          <w:p w:rsidR="00000000" w:rsidP="00756A86">
            <w:pPr>
              <w:pStyle w:val="ListBullet"/>
              <w:rPr>
                <w:lang w:val="en-NZ"/>
              </w:rPr>
            </w:pPr>
            <w:r w:rsidRPr="00756A86">
              <w:t>Giving an even flow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6">
            <w:pPr>
              <w:pStyle w:val="BodyText"/>
              <w:rPr>
                <w:lang w:val="en-NZ"/>
              </w:rPr>
            </w:pPr>
            <w:r w:rsidRPr="00756A86">
              <w:rPr>
                <w:rStyle w:val="Emphasis"/>
              </w:rPr>
              <w:t>Evaluation of each finished join</w:t>
            </w:r>
            <w:r w:rsidRPr="00756A86">
              <w:t xml:space="preserve"> </w:t>
            </w:r>
            <w:r w:rsidRPr="00756A86">
              <w:rPr>
                <w:rStyle w:val="Emphasis"/>
              </w:rPr>
              <w:t>may include</w:t>
            </w:r>
            <w:r w:rsidRPr="00756A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ListBullet"/>
            </w:pPr>
            <w:r w:rsidRPr="00756A86">
              <w:t>Confirming the finished join meets requirements of:</w:t>
            </w:r>
          </w:p>
          <w:p w:rsidR="00000000" w:rsidRPr="00756A86" w:rsidP="00756A86">
            <w:pPr>
              <w:pStyle w:val="ListBullet2"/>
            </w:pPr>
            <w:r w:rsidRPr="00756A86">
              <w:t>position</w:t>
            </w:r>
          </w:p>
          <w:p w:rsidR="00000000" w:rsidRPr="00756A86" w:rsidP="00756A86">
            <w:pPr>
              <w:pStyle w:val="ListBullet2"/>
            </w:pPr>
            <w:r w:rsidRPr="00756A86">
              <w:t>strength</w:t>
            </w:r>
          </w:p>
          <w:p w:rsidR="00000000" w:rsidRPr="00756A86" w:rsidP="00756A86">
            <w:pPr>
              <w:pStyle w:val="ListBullet2"/>
            </w:pPr>
            <w:r w:rsidRPr="00756A86">
              <w:t>integrity</w:t>
            </w:r>
          </w:p>
          <w:p w:rsidR="00000000" w:rsidP="00756A86">
            <w:pPr>
              <w:pStyle w:val="ListBullet2"/>
              <w:rPr>
                <w:lang w:val="en-NZ"/>
              </w:rPr>
            </w:pPr>
            <w:r w:rsidRPr="00756A86">
              <w:t>function</w:t>
            </w:r>
          </w:p>
        </w:tc>
      </w:tr>
      <w:tr w:rsidTr="008B7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6" w:rsidP="00756A86">
            <w:pPr>
              <w:pStyle w:val="BodyText"/>
            </w:pPr>
          </w:p>
        </w:tc>
      </w:tr>
    </w:tbl>
    <w:p w:rsidR="008B7C16" w:rsidP="00756A86">
      <w:pPr>
        <w:pStyle w:val="BodyText"/>
      </w:pPr>
    </w:p>
    <w:p w:rsidR="008B7C16" w:rsidP="00756A86">
      <w:pPr>
        <w:pStyle w:val="BodyText"/>
      </w:pPr>
    </w:p>
    <w:p w:rsidR="00000000" w:rsidRPr="00756A86" w:rsidP="00756A86">
      <w:pPr>
        <w:pStyle w:val="Heading1"/>
      </w:pPr>
      <w:bookmarkStart w:id="12" w:name="O_295044"/>
      <w:bookmarkEnd w:id="12"/>
      <w:r w:rsidRPr="00756A86">
        <w:t>Unit Sector(s)</w:t>
      </w:r>
    </w:p>
    <w:p w:rsidR="00000000" w:rsidRPr="00756A86" w:rsidP="00756A86">
      <w:pPr>
        <w:pStyle w:val="BodyText"/>
      </w:pPr>
      <w:r w:rsidRPr="00756A86">
        <w:t>Not Applicable</w:t>
      </w:r>
    </w:p>
    <w:p w:rsidR="00000000" w:rsidRPr="00756A86" w:rsidP="00756A86"/>
    <w:sectPr w:rsidSect="00756A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7C16" w:rsidP="008B7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16" w:rsidP="00756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7C16" w:rsidP="00756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B7C16" w:rsidP="00756A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7C16" w:rsidP="008B7C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16" w:rsidP="00756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HLTDT511C Join alloy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7C16" w:rsidP="00756A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A6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AC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D0C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6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A86"/>
  </w:style>
  <w:style w:type="character" w:customStyle="1" w:styleId="Heading1Char">
    <w:name w:val="Heading 1 Char"/>
    <w:basedOn w:val="DefaultParagraphFont"/>
    <w:link w:val="Heading1"/>
    <w:rsid w:val="00756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A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A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6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A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56A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A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A86"/>
    <w:rPr>
      <w:b/>
      <w:spacing w:val="0"/>
    </w:rPr>
  </w:style>
  <w:style w:type="paragraph" w:styleId="ListBullet2">
    <w:name w:val="List Bullet 2"/>
    <w:basedOn w:val="List2"/>
    <w:rsid w:val="00756A8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56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56A86"/>
    <w:rPr>
      <w:i/>
    </w:rPr>
  </w:style>
  <w:style w:type="paragraph" w:customStyle="1" w:styleId="SuperHeading">
    <w:name w:val="SuperHeading"/>
    <w:basedOn w:val="Normal"/>
    <w:rsid w:val="00756A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6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A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6A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6A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6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6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A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A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6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A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A86"/>
  </w:style>
  <w:style w:type="paragraph" w:styleId="TableofFigures">
    <w:name w:val="table of figures"/>
    <w:basedOn w:val="Normal"/>
    <w:next w:val="Normal"/>
    <w:semiHidden/>
    <w:rsid w:val="00756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A86"/>
    <w:pPr>
      <w:numPr>
        <w:numId w:val="11"/>
      </w:numPr>
    </w:pPr>
  </w:style>
  <w:style w:type="character" w:customStyle="1" w:styleId="WingdingSymbols">
    <w:name w:val="Wingding Symbols"/>
    <w:rsid w:val="00756A86"/>
    <w:rPr>
      <w:rFonts w:ascii="Wingdings" w:hAnsi="Wingdings"/>
    </w:rPr>
  </w:style>
  <w:style w:type="paragraph" w:customStyle="1" w:styleId="TableHeading">
    <w:name w:val="Table Heading"/>
    <w:basedOn w:val="HeadingBase"/>
    <w:rsid w:val="00756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A86"/>
    <w:rPr>
      <w:color w:val="0033CC"/>
      <w:u w:val="none"/>
    </w:rPr>
  </w:style>
  <w:style w:type="paragraph" w:customStyle="1" w:styleId="BodyTextRight">
    <w:name w:val="Body Text Right"/>
    <w:basedOn w:val="BodyText"/>
    <w:rsid w:val="00756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A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6A86"/>
    <w:rPr>
      <w:sz w:val="32"/>
    </w:rPr>
  </w:style>
  <w:style w:type="paragraph" w:customStyle="1" w:styleId="HeadingProcedure">
    <w:name w:val="Heading Procedure"/>
    <w:basedOn w:val="HeadingBase"/>
    <w:next w:val="Normal"/>
    <w:rsid w:val="00756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A86"/>
    <w:pPr>
      <w:spacing w:before="60" w:after="60"/>
    </w:pPr>
  </w:style>
  <w:style w:type="paragraph" w:styleId="ListContinue">
    <w:name w:val="List Continue"/>
    <w:basedOn w:val="List"/>
    <w:rsid w:val="00756A86"/>
    <w:pPr>
      <w:ind w:firstLine="0"/>
    </w:pPr>
  </w:style>
  <w:style w:type="paragraph" w:customStyle="1" w:styleId="ListNote">
    <w:name w:val="List Note"/>
    <w:basedOn w:val="List"/>
    <w:rsid w:val="00756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A86"/>
    <w:rPr>
      <w:rFonts w:ascii="Courier New" w:hAnsi="Courier New"/>
    </w:rPr>
  </w:style>
  <w:style w:type="paragraph" w:customStyle="1" w:styleId="NoteBullet">
    <w:name w:val="Note Bullet"/>
    <w:basedOn w:val="Note"/>
    <w:rsid w:val="00756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A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6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A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6A86"/>
    <w:rPr>
      <w:b/>
      <w:smallCaps/>
    </w:rPr>
  </w:style>
  <w:style w:type="paragraph" w:customStyle="1" w:styleId="TableListNumber">
    <w:name w:val="Table List Number"/>
    <w:basedOn w:val="ListNumber"/>
    <w:rsid w:val="00756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A86"/>
    <w:pPr>
      <w:numPr>
        <w:numId w:val="9"/>
      </w:numPr>
    </w:pPr>
  </w:style>
  <w:style w:type="paragraph" w:customStyle="1" w:styleId="ListAlpha2">
    <w:name w:val="List Alpha 2"/>
    <w:basedOn w:val="List2"/>
    <w:rsid w:val="00756A86"/>
    <w:pPr>
      <w:numPr>
        <w:numId w:val="8"/>
      </w:numPr>
    </w:pPr>
  </w:style>
  <w:style w:type="paragraph" w:styleId="List2">
    <w:name w:val="List 2"/>
    <w:basedOn w:val="BodyText"/>
    <w:rsid w:val="00756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A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A86"/>
    <w:pPr>
      <w:numPr>
        <w:numId w:val="3"/>
      </w:numPr>
    </w:pPr>
  </w:style>
  <w:style w:type="paragraph" w:styleId="ListBullet5">
    <w:name w:val="List Bullet 5"/>
    <w:basedOn w:val="List5"/>
    <w:rsid w:val="00756A86"/>
    <w:pPr>
      <w:numPr>
        <w:numId w:val="4"/>
      </w:numPr>
    </w:pPr>
  </w:style>
  <w:style w:type="paragraph" w:styleId="ListContinue2">
    <w:name w:val="List Continue 2"/>
    <w:basedOn w:val="List2"/>
    <w:rsid w:val="00756A86"/>
    <w:pPr>
      <w:ind w:firstLine="0"/>
    </w:pPr>
  </w:style>
  <w:style w:type="paragraph" w:styleId="ListContinue3">
    <w:name w:val="List Continue 3"/>
    <w:basedOn w:val="List3"/>
    <w:rsid w:val="00756A86"/>
    <w:pPr>
      <w:ind w:left="1021" w:firstLine="0"/>
    </w:pPr>
  </w:style>
  <w:style w:type="paragraph" w:styleId="ListContinue4">
    <w:name w:val="List Continue 4"/>
    <w:basedOn w:val="List4"/>
    <w:rsid w:val="00756A86"/>
    <w:pPr>
      <w:ind w:firstLine="0"/>
    </w:pPr>
  </w:style>
  <w:style w:type="paragraph" w:styleId="ListContinue5">
    <w:name w:val="List Continue 5"/>
    <w:basedOn w:val="List5"/>
    <w:rsid w:val="00756A86"/>
    <w:pPr>
      <w:ind w:firstLine="0"/>
    </w:pPr>
  </w:style>
  <w:style w:type="paragraph" w:styleId="ListNumber3">
    <w:name w:val="List Number 3"/>
    <w:basedOn w:val="List3"/>
    <w:rsid w:val="00756A86"/>
    <w:pPr>
      <w:numPr>
        <w:numId w:val="5"/>
      </w:numPr>
    </w:pPr>
  </w:style>
  <w:style w:type="paragraph" w:styleId="ListNumber4">
    <w:name w:val="List Number 4"/>
    <w:basedOn w:val="List4"/>
    <w:rsid w:val="00756A86"/>
    <w:pPr>
      <w:numPr>
        <w:numId w:val="6"/>
      </w:numPr>
    </w:pPr>
  </w:style>
  <w:style w:type="paragraph" w:styleId="ListNumber5">
    <w:name w:val="List Number 5"/>
    <w:basedOn w:val="List5"/>
    <w:rsid w:val="00756A86"/>
    <w:pPr>
      <w:numPr>
        <w:numId w:val="7"/>
      </w:numPr>
    </w:pPr>
  </w:style>
  <w:style w:type="paragraph" w:styleId="BlockText">
    <w:name w:val="Block Text"/>
    <w:basedOn w:val="Normal"/>
    <w:rsid w:val="00756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A86"/>
    <w:rPr>
      <w:sz w:val="16"/>
      <w:vertAlign w:val="superscript"/>
    </w:rPr>
  </w:style>
  <w:style w:type="character" w:customStyle="1" w:styleId="Symbols">
    <w:name w:val="Symbols"/>
    <w:basedOn w:val="DefaultParagraphFont"/>
    <w:rsid w:val="00756A86"/>
    <w:rPr>
      <w:rFonts w:ascii="Symbol" w:hAnsi="Symbol"/>
    </w:rPr>
  </w:style>
  <w:style w:type="character" w:customStyle="1" w:styleId="MenuOptions">
    <w:name w:val="Menu Options"/>
    <w:basedOn w:val="DefaultParagraphFont"/>
    <w:rsid w:val="00756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A86"/>
    <w:rPr>
      <w:b/>
    </w:rPr>
  </w:style>
  <w:style w:type="character" w:customStyle="1" w:styleId="Underlined">
    <w:name w:val="Underlined"/>
    <w:basedOn w:val="DefaultParagraphFont"/>
    <w:rsid w:val="00756A86"/>
    <w:rPr>
      <w:u w:val="single"/>
    </w:rPr>
  </w:style>
  <w:style w:type="paragraph" w:customStyle="1" w:styleId="TableBodyTextRight">
    <w:name w:val="Table Body Text Right"/>
    <w:basedOn w:val="TableBodyText"/>
    <w:rsid w:val="00756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A86"/>
    <w:rPr>
      <w:sz w:val="18"/>
    </w:rPr>
  </w:style>
  <w:style w:type="paragraph" w:customStyle="1" w:styleId="BodySmallRight">
    <w:name w:val="Body Small Right"/>
    <w:basedOn w:val="BodyTextRight"/>
    <w:rsid w:val="00756A86"/>
    <w:rPr>
      <w:sz w:val="18"/>
      <w:szCs w:val="18"/>
    </w:rPr>
  </w:style>
  <w:style w:type="paragraph" w:customStyle="1" w:styleId="MarginEdition">
    <w:name w:val="Margin Edition"/>
    <w:basedOn w:val="MarginNote"/>
    <w:rsid w:val="00756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A86"/>
    <w:rPr>
      <w:sz w:val="2"/>
      <w:szCs w:val="2"/>
    </w:rPr>
  </w:style>
  <w:style w:type="character" w:customStyle="1" w:styleId="Small">
    <w:name w:val="Small"/>
    <w:basedOn w:val="DefaultParagraphFont"/>
    <w:rsid w:val="00756A86"/>
    <w:rPr>
      <w:sz w:val="16"/>
    </w:rPr>
  </w:style>
  <w:style w:type="paragraph" w:customStyle="1" w:styleId="WideTable">
    <w:name w:val="Wide Table"/>
    <w:basedOn w:val="Normal"/>
    <w:rsid w:val="00756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A86"/>
  </w:style>
  <w:style w:type="paragraph" w:styleId="Quote">
    <w:name w:val="Quote"/>
    <w:basedOn w:val="Heading1"/>
    <w:link w:val="QuoteChar"/>
    <w:qFormat/>
    <w:rsid w:val="00756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A86"/>
    <w:pPr>
      <w:pageBreakBefore/>
    </w:pPr>
  </w:style>
  <w:style w:type="paragraph" w:customStyle="1" w:styleId="Border">
    <w:name w:val="Border"/>
    <w:basedOn w:val="Normal"/>
    <w:qFormat/>
    <w:rsid w:val="00756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A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6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A86"/>
    <w:rPr>
      <w:u w:val="single"/>
    </w:rPr>
  </w:style>
  <w:style w:type="character" w:customStyle="1" w:styleId="BoldandItalics">
    <w:name w:val="Bold and Italics"/>
    <w:qFormat/>
    <w:rsid w:val="00756A86"/>
    <w:rPr>
      <w:b/>
      <w:i/>
      <w:u w:val="none"/>
    </w:rPr>
  </w:style>
  <w:style w:type="paragraph" w:styleId="BalloonText">
    <w:name w:val="Balloon Text"/>
    <w:basedOn w:val="Normal"/>
    <w:link w:val="BalloonTextChar"/>
    <w:rsid w:val="00756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A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6A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A8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1100</Words>
  <Characters>6822</Characters>
  <Application>Microsoft Office Word</Application>
  <DocSecurity>0</DocSecurity>
  <Lines>252</Lines>
  <Paragraphs>132</Paragraphs>
  <ScaleCrop>false</ScaleCrop>
  <Company>Author-it Software Corporation Ltd.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HLTDT511C Join alloy structures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2012-05-27T00:20:00Z</dcterms:created>
  <dcterms:modified xsi:type="dcterms:W3CDTF">2012-05-27T00:20:00Z</dcterms:modified>
</cp:coreProperties>
</file>