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A25" w:rsidP="00224A25">
      <w:pPr>
        <w:pStyle w:val="Title"/>
      </w:pPr>
      <w:r>
        <w:fldChar w:fldCharType="begin"/>
      </w:r>
      <w:r>
        <w:instrText xml:space="preserve"> TITLE   \* MERGEFORMAT </w:instrText>
      </w:r>
      <w:r>
        <w:fldChar w:fldCharType="separate"/>
      </w:r>
      <w:r>
        <w:t>HLTDT510C Construct crown and bridge structures</w:t>
      </w:r>
      <w:r>
        <w:fldChar w:fldCharType="end"/>
      </w:r>
    </w:p>
    <w:p w:rsidR="00224A25" w:rsidP="00224A25">
      <w:pPr>
        <w:pStyle w:val="Version"/>
        <w:sectPr w:rsidSect="00B147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7BF" w:rsidP="00B147BF">
      <w:pPr>
        <w:pStyle w:val="SuperHeading"/>
      </w:pPr>
      <w:r w:rsidRPr="00B147BF">
        <w:t>HLTDT510C Construct crown and bridge structures</w:t>
      </w:r>
    </w:p>
    <w:p w:rsidR="00000000" w:rsidRPr="00B147BF" w:rsidP="00B147BF">
      <w:pPr>
        <w:pStyle w:val="Heading1"/>
      </w:pPr>
      <w:bookmarkStart w:id="1" w:name="O_271137"/>
      <w:bookmarkEnd w:id="1"/>
      <w:r w:rsidRPr="00B147BF">
        <w:t>Modification History</w:t>
      </w:r>
    </w:p>
    <w:p w:rsidR="00000000" w:rsidRPr="00B147BF" w:rsidP="00B147BF">
      <w:pPr>
        <w:pStyle w:val="BodyText"/>
      </w:pPr>
      <w:r w:rsidRPr="00B147BF">
        <w:t>Not Applicable</w:t>
      </w:r>
    </w:p>
    <w:p w:rsidR="00000000" w:rsidRPr="00B147BF" w:rsidP="00B147BF">
      <w:pPr>
        <w:pStyle w:val="AllowPageBreak"/>
      </w:pPr>
    </w:p>
    <w:p w:rsidR="00000000" w:rsidRPr="00B147BF" w:rsidP="00B147BF">
      <w:pPr>
        <w:pStyle w:val="Heading1"/>
      </w:pPr>
      <w:bookmarkStart w:id="2" w:name="O_205736"/>
      <w:bookmarkEnd w:id="2"/>
      <w:r w:rsidRPr="00B147BF">
        <w:t>Unit Descriptor</w:t>
      </w:r>
    </w:p>
    <w:tbl>
      <w:tblPr>
        <w:tblW w:w="0" w:type="auto"/>
        <w:tblLayout w:type="fixed"/>
        <w:tblCellMar>
          <w:left w:w="62" w:type="dxa"/>
          <w:right w:w="62" w:type="dxa"/>
        </w:tblCellMar>
        <w:tblLook w:val="0000"/>
      </w:tblPr>
      <w:tblGrid>
        <w:gridCol w:w="3336"/>
        <w:gridCol w:w="5220"/>
      </w:tblGrid>
      <w:tr w:rsidTr="00224A25">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B147BF" w:rsidP="00B147BF">
            <w:pPr>
              <w:pStyle w:val="BodyText"/>
            </w:pPr>
            <w:r w:rsidRPr="00B147BF">
              <w:t>This unit of competency describes the skills and knowledge required to construct single crown and bridge str</w:t>
            </w:r>
            <w:r w:rsidRPr="00B147BF">
              <w:t>uctures</w:t>
            </w:r>
          </w:p>
          <w:p w:rsidR="00000000" w:rsidRPr="00B147BF" w:rsidP="00B147BF">
            <w:pPr>
              <w:pStyle w:val="BodyText"/>
            </w:pPr>
            <w:r w:rsidRPr="00B147BF">
              <w:t>All procedures must be carried out in accordance with occupational health and safety policies and procedures, current infection control guidelines, Australian and New Zealand Standards, State/Territory legislative requirements and organisation poli</w:t>
            </w:r>
            <w:r w:rsidRPr="00B147BF">
              <w:t>cy</w:t>
            </w:r>
          </w:p>
        </w:tc>
      </w:tr>
    </w:tbl>
    <w:p w:rsidR="00224A25" w:rsidP="00B147BF">
      <w:pPr>
        <w:pStyle w:val="BodyText"/>
      </w:pPr>
    </w:p>
    <w:p w:rsidR="00224A25" w:rsidP="00B147BF">
      <w:pPr>
        <w:pStyle w:val="BodyText"/>
      </w:pPr>
    </w:p>
    <w:p w:rsidR="00000000" w:rsidRPr="00B147BF" w:rsidP="00B147BF">
      <w:pPr>
        <w:pStyle w:val="Heading1"/>
      </w:pPr>
      <w:bookmarkStart w:id="3" w:name="O_205739"/>
      <w:bookmarkEnd w:id="3"/>
      <w:r w:rsidRPr="00B147BF">
        <w:t>Application of the Unit</w:t>
      </w:r>
    </w:p>
    <w:tbl>
      <w:tblPr>
        <w:tblW w:w="0" w:type="auto"/>
        <w:tblLayout w:type="fixed"/>
        <w:tblCellMar>
          <w:left w:w="62" w:type="dxa"/>
          <w:right w:w="62" w:type="dxa"/>
        </w:tblCellMar>
        <w:tblLook w:val="0000"/>
      </w:tblPr>
      <w:tblGrid>
        <w:gridCol w:w="3349"/>
        <w:gridCol w:w="5207"/>
      </w:tblGrid>
      <w:tr w:rsidTr="00224A2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SpecialBold"/>
              </w:rPr>
              <w:t>Application</w:t>
            </w:r>
            <w:r w:rsidRPr="00B147BF">
              <w:t xml:space="preserve"> </w:t>
            </w:r>
          </w:p>
        </w:tc>
        <w:tc>
          <w:tcPr>
            <w:tcW w:w="5207" w:type="dxa"/>
            <w:tcBorders>
              <w:top w:val="nil"/>
              <w:left w:val="nil"/>
              <w:bottom w:val="nil"/>
              <w:right w:val="nil"/>
            </w:tcBorders>
            <w:tcMar>
              <w:top w:w="0" w:type="dxa"/>
              <w:left w:w="62" w:type="dxa"/>
              <w:bottom w:w="0" w:type="dxa"/>
              <w:right w:w="62" w:type="dxa"/>
            </w:tcMar>
          </w:tcPr>
          <w:p w:rsidR="00000000" w:rsidRPr="00B147BF" w:rsidP="00B147BF">
            <w:pPr>
              <w:pStyle w:val="BodyText"/>
            </w:pPr>
            <w:r w:rsidRPr="00B147BF">
              <w:t>This unit applies to work in dental technology</w:t>
            </w:r>
          </w:p>
        </w:tc>
      </w:tr>
    </w:tbl>
    <w:p w:rsidR="00224A25" w:rsidP="00B147BF">
      <w:pPr>
        <w:pStyle w:val="BodyText"/>
      </w:pPr>
    </w:p>
    <w:p w:rsidR="00224A25" w:rsidP="00B147BF">
      <w:pPr>
        <w:pStyle w:val="BodyText"/>
      </w:pPr>
    </w:p>
    <w:p w:rsidR="00000000" w:rsidRPr="00B147BF" w:rsidP="00B147BF">
      <w:pPr>
        <w:pStyle w:val="Heading1"/>
      </w:pPr>
      <w:bookmarkStart w:id="4" w:name="O_279397"/>
      <w:bookmarkEnd w:id="4"/>
      <w:r w:rsidRPr="00B147BF">
        <w:t>Licensing/Regulatory Information</w:t>
      </w:r>
    </w:p>
    <w:p w:rsidR="00000000" w:rsidRPr="00B147BF" w:rsidP="00B147BF">
      <w:pPr>
        <w:pStyle w:val="BodyText"/>
      </w:pPr>
      <w:r w:rsidRPr="00B147BF">
        <w:t>Not Applicable</w:t>
      </w:r>
    </w:p>
    <w:p w:rsidR="00000000" w:rsidRPr="00B147BF" w:rsidP="00B147BF">
      <w:pPr>
        <w:pStyle w:val="AllowPageBreak"/>
      </w:pPr>
    </w:p>
    <w:p w:rsidR="00000000" w:rsidRPr="00B147BF" w:rsidP="00B147BF">
      <w:pPr>
        <w:pStyle w:val="Heading1"/>
      </w:pPr>
      <w:bookmarkStart w:id="5" w:name="O_205738"/>
      <w:bookmarkEnd w:id="5"/>
      <w:r w:rsidRPr="00B147BF">
        <w:t>Pre-Requisites</w:t>
      </w:r>
    </w:p>
    <w:tbl>
      <w:tblPr>
        <w:tblW w:w="0" w:type="auto"/>
        <w:tblLayout w:type="fixed"/>
        <w:tblCellMar>
          <w:left w:w="62" w:type="dxa"/>
          <w:right w:w="62" w:type="dxa"/>
        </w:tblCellMar>
        <w:tblLook w:val="0000"/>
      </w:tblPr>
      <w:tblGrid>
        <w:gridCol w:w="3219"/>
        <w:gridCol w:w="5337"/>
      </w:tblGrid>
      <w:tr w:rsidTr="00224A25">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B147BF" w:rsidP="00B147BF">
            <w:pPr>
              <w:pStyle w:val="BodyText"/>
            </w:pPr>
            <w:r w:rsidRPr="00B147BF">
              <w:t>This unit must be assessed after successful achievement of pre-requisites:</w:t>
            </w:r>
          </w:p>
          <w:p w:rsidR="00000000" w:rsidRPr="00B147BF" w:rsidP="00B147BF">
            <w:pPr>
              <w:pStyle w:val="ListBullet"/>
            </w:pPr>
            <w:r w:rsidRPr="00B147BF">
              <w:t>HLTDT301C Construct models</w:t>
            </w:r>
          </w:p>
          <w:p w:rsidR="00000000" w:rsidRPr="00B147BF" w:rsidP="00B147BF">
            <w:pPr>
              <w:pStyle w:val="ListBullet"/>
            </w:pPr>
            <w:r w:rsidRPr="00B147BF">
              <w:t>HLTDT302C Construct custom impression trays</w:t>
            </w:r>
          </w:p>
          <w:p w:rsidR="00000000" w:rsidRPr="00B147BF" w:rsidP="00B147BF">
            <w:pPr>
              <w:pStyle w:val="ListBullet"/>
            </w:pPr>
            <w:r w:rsidRPr="00B147BF">
              <w:t xml:space="preserve">HLTDT304C Articulate models and transfer records </w:t>
            </w:r>
          </w:p>
          <w:p w:rsidR="00000000" w:rsidRPr="00B147BF" w:rsidP="00B147BF">
            <w:pPr>
              <w:pStyle w:val="ListBullet"/>
            </w:pPr>
            <w:r w:rsidRPr="00B147BF">
              <w:t>HLTIN301C Comply with infection control policies and proced</w:t>
            </w:r>
            <w:r w:rsidRPr="00B147BF">
              <w:t xml:space="preserve">ures </w:t>
            </w:r>
          </w:p>
        </w:tc>
      </w:tr>
    </w:tbl>
    <w:p w:rsidR="00224A25" w:rsidP="00B147BF">
      <w:pPr>
        <w:pStyle w:val="BodyText"/>
      </w:pPr>
    </w:p>
    <w:p w:rsidR="00224A25" w:rsidP="00B147BF">
      <w:pPr>
        <w:pStyle w:val="BodyText"/>
      </w:pPr>
    </w:p>
    <w:p w:rsidR="00000000" w:rsidRPr="00B147BF" w:rsidP="00B147BF">
      <w:pPr>
        <w:pStyle w:val="Heading1"/>
      </w:pPr>
      <w:bookmarkStart w:id="6" w:name="O_205737"/>
      <w:bookmarkEnd w:id="6"/>
      <w:r w:rsidRPr="00B147BF">
        <w:t>Employability Skills Information</w:t>
      </w:r>
    </w:p>
    <w:tbl>
      <w:tblPr>
        <w:tblW w:w="0" w:type="auto"/>
        <w:tblLayout w:type="fixed"/>
        <w:tblCellMar>
          <w:left w:w="62" w:type="dxa"/>
          <w:right w:w="62" w:type="dxa"/>
        </w:tblCellMar>
        <w:tblLook w:val="0000"/>
      </w:tblPr>
      <w:tblGrid>
        <w:gridCol w:w="3320"/>
        <w:gridCol w:w="5236"/>
      </w:tblGrid>
      <w:tr w:rsidTr="00224A2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147BF" w:rsidP="00B147BF">
            <w:pPr>
              <w:pStyle w:val="BodyText"/>
            </w:pPr>
            <w:r w:rsidRPr="00B147BF">
              <w:t>This unit contains Employability Skills</w:t>
            </w:r>
          </w:p>
        </w:tc>
      </w:tr>
    </w:tbl>
    <w:p w:rsidR="00224A25" w:rsidP="00B147BF">
      <w:pPr>
        <w:pStyle w:val="BodyText"/>
      </w:pPr>
    </w:p>
    <w:p w:rsidR="00224A25" w:rsidP="00B147BF">
      <w:pPr>
        <w:pStyle w:val="BodyText"/>
      </w:pPr>
    </w:p>
    <w:p w:rsidR="00000000" w:rsidRPr="00B147BF" w:rsidP="00B147BF">
      <w:pPr>
        <w:pStyle w:val="Heading1"/>
      </w:pPr>
      <w:bookmarkStart w:id="7" w:name="O_289183"/>
      <w:bookmarkEnd w:id="7"/>
      <w:r w:rsidRPr="00B147BF">
        <w:t>Elements and Performance Criteria Pre-Content</w:t>
      </w:r>
    </w:p>
    <w:tbl>
      <w:tblPr>
        <w:tblW w:w="0" w:type="auto"/>
        <w:tblLayout w:type="fixed"/>
        <w:tblCellMar>
          <w:left w:w="62" w:type="dxa"/>
          <w:right w:w="62" w:type="dxa"/>
        </w:tblCellMar>
        <w:tblLook w:val="0000"/>
      </w:tblPr>
      <w:tblGrid>
        <w:gridCol w:w="3186"/>
        <w:gridCol w:w="5336"/>
      </w:tblGrid>
      <w:tr w:rsidTr="00224A25">
        <w:tblPrEx>
          <w:tblW w:w="0" w:type="auto"/>
          <w:tblLayout w:type="fixed"/>
          <w:tblCellMar>
            <w:left w:w="62" w:type="dxa"/>
            <w:right w:w="62" w:type="dxa"/>
          </w:tblCellMar>
          <w:tblLook w:val="0000"/>
        </w:tblPrEx>
        <w:tc>
          <w:tcPr>
            <w:tcW w:w="3186"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t>Elements define the essential outcomes of a unit of competency.</w:t>
            </w:r>
          </w:p>
        </w:tc>
        <w:tc>
          <w:tcPr>
            <w:tcW w:w="5336" w:type="dxa"/>
            <w:tcBorders>
              <w:top w:val="nil"/>
              <w:left w:val="nil"/>
              <w:bottom w:val="nil"/>
              <w:right w:val="nil"/>
            </w:tcBorders>
            <w:tcMar>
              <w:top w:w="0" w:type="dxa"/>
              <w:left w:w="62" w:type="dxa"/>
              <w:bottom w:w="0" w:type="dxa"/>
              <w:right w:w="62" w:type="dxa"/>
            </w:tcMar>
          </w:tcPr>
          <w:p w:rsidR="00000000" w:rsidRPr="00B147BF" w:rsidP="00B147BF">
            <w:pPr>
              <w:pStyle w:val="BodyText"/>
            </w:pPr>
            <w:r w:rsidRPr="00B147BF">
              <w:t xml:space="preserve">The Performance Criteria specify the level of performance required to demonstrate achievement of the Element. Terms in italics are elaborated in the Range Statement. </w:t>
            </w:r>
          </w:p>
        </w:tc>
      </w:tr>
    </w:tbl>
    <w:p w:rsidR="00000000" w:rsidRPr="00B147BF" w:rsidP="00B147BF">
      <w:pPr>
        <w:pStyle w:val="BodyText"/>
      </w:pPr>
    </w:p>
    <w:p w:rsidR="00000000" w:rsidRPr="00B147BF" w:rsidP="00B147BF">
      <w:pPr>
        <w:pStyle w:val="AllowPageBreak"/>
      </w:pPr>
    </w:p>
    <w:p w:rsidR="00000000" w:rsidRPr="00B147BF" w:rsidP="00B147BF">
      <w:pPr>
        <w:pStyle w:val="Heading1"/>
      </w:pPr>
      <w:bookmarkStart w:id="8" w:name="O_235850"/>
      <w:bookmarkEnd w:id="8"/>
      <w:r w:rsidRPr="00B147BF">
        <w:t>Elements and Performance Criteria</w:t>
      </w:r>
    </w:p>
    <w:tbl>
      <w:tblPr>
        <w:tblW w:w="0" w:type="auto"/>
        <w:tblLayout w:type="fixed"/>
        <w:tblCellMar>
          <w:left w:w="62" w:type="dxa"/>
          <w:right w:w="62" w:type="dxa"/>
        </w:tblCellMar>
        <w:tblLook w:val="0000"/>
      </w:tblPr>
      <w:tblGrid>
        <w:gridCol w:w="3186"/>
        <w:gridCol w:w="5336"/>
      </w:tblGrid>
      <w:tr w:rsidTr="00224A25">
        <w:tblPrEx>
          <w:tblW w:w="0" w:type="auto"/>
          <w:tblLayout w:type="fixed"/>
          <w:tblCellMar>
            <w:left w:w="62" w:type="dxa"/>
            <w:right w:w="62" w:type="dxa"/>
          </w:tblCellMar>
          <w:tblLook w:val="0000"/>
        </w:tblPrEx>
        <w:trPr>
          <w:tblHeader/>
        </w:trPr>
        <w:tc>
          <w:tcPr>
            <w:tcW w:w="3186" w:type="dxa"/>
            <w:tcBorders>
              <w:top w:val="nil"/>
              <w:left w:val="nil"/>
              <w:bottom w:val="nil"/>
              <w:right w:val="nil"/>
            </w:tcBorders>
            <w:tcMar>
              <w:top w:w="0" w:type="dxa"/>
              <w:left w:w="62" w:type="dxa"/>
              <w:bottom w:w="0" w:type="dxa"/>
              <w:right w:w="62" w:type="dxa"/>
            </w:tcMar>
          </w:tcPr>
          <w:p w:rsidR="00000000" w:rsidRPr="00B147BF" w:rsidP="00B147BF">
            <w:pPr>
              <w:pStyle w:val="BodyText"/>
            </w:pPr>
            <w:r w:rsidRPr="00B147BF">
              <w:rPr>
                <w:rStyle w:val="SpecialBold"/>
              </w:rPr>
              <w:t>ELEMENT</w:t>
            </w:r>
          </w:p>
        </w:tc>
        <w:tc>
          <w:tcPr>
            <w:tcW w:w="5336"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SpecialBold"/>
              </w:rPr>
              <w:t>PERFORMANCE CRITERIA</w:t>
            </w:r>
          </w:p>
        </w:tc>
      </w:tr>
      <w:tr w:rsidTr="00224A25">
        <w:tblPrEx>
          <w:tblW w:w="0" w:type="auto"/>
          <w:tblLayout w:type="fixed"/>
          <w:tblCellMar>
            <w:left w:w="62" w:type="dxa"/>
            <w:right w:w="62" w:type="dxa"/>
          </w:tblCellMar>
          <w:tblLook w:val="0000"/>
        </w:tblPrEx>
        <w:tc>
          <w:tcPr>
            <w:tcW w:w="31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6"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3186" w:type="dxa"/>
            <w:tcBorders>
              <w:top w:val="nil"/>
              <w:left w:val="nil"/>
              <w:bottom w:val="nil"/>
              <w:right w:val="nil"/>
            </w:tcBorders>
            <w:tcMar>
              <w:top w:w="0" w:type="dxa"/>
              <w:left w:w="62" w:type="dxa"/>
              <w:bottom w:w="0" w:type="dxa"/>
              <w:right w:w="62" w:type="dxa"/>
            </w:tcMar>
          </w:tcPr>
          <w:p w:rsidR="00000000" w:rsidP="00B147BF">
            <w:pPr>
              <w:pStyle w:val="List"/>
              <w:rPr>
                <w:lang w:val="en-NZ"/>
              </w:rPr>
            </w:pPr>
            <w:r w:rsidRPr="00B147BF">
              <w:t>1.</w:t>
            </w:r>
            <w:r w:rsidRPr="00B147BF">
              <w:tab/>
            </w:r>
            <w:r w:rsidRPr="00B147BF">
              <w:t>Prepare removable stone die</w:t>
            </w:r>
          </w:p>
        </w:tc>
        <w:tc>
          <w:tcPr>
            <w:tcW w:w="5336" w:type="dxa"/>
            <w:tcBorders>
              <w:top w:val="nil"/>
              <w:left w:val="nil"/>
              <w:bottom w:val="nil"/>
              <w:right w:val="nil"/>
            </w:tcBorders>
            <w:tcMar>
              <w:top w:w="0" w:type="dxa"/>
              <w:left w:w="62" w:type="dxa"/>
              <w:bottom w:w="0" w:type="dxa"/>
              <w:right w:w="62" w:type="dxa"/>
            </w:tcMar>
          </w:tcPr>
          <w:p w:rsidR="00000000" w:rsidRPr="00B147BF" w:rsidP="00B147BF">
            <w:pPr>
              <w:pStyle w:val="BodyText"/>
            </w:pPr>
            <w:r w:rsidRPr="00B147BF">
              <w:t>1.1</w:t>
            </w:r>
            <w:r w:rsidRPr="00B147BF">
              <w:tab/>
              <w:t>Pour-up die stone horseshoe</w:t>
            </w:r>
          </w:p>
          <w:p w:rsidR="00000000" w:rsidRPr="00B147BF" w:rsidP="00B147BF">
            <w:pPr>
              <w:pStyle w:val="BodyText"/>
            </w:pPr>
            <w:r w:rsidRPr="00B147BF">
              <w:t>1.2</w:t>
            </w:r>
            <w:r w:rsidRPr="00B147BF">
              <w:tab/>
              <w:t>Grind base of die stone to appropriate height and with level occlusal plane</w:t>
            </w:r>
          </w:p>
          <w:p w:rsidR="00000000" w:rsidRPr="00B147BF" w:rsidP="00B147BF">
            <w:pPr>
              <w:pStyle w:val="BodyText"/>
            </w:pPr>
            <w:r w:rsidRPr="00B147BF">
              <w:t>1.3</w:t>
            </w:r>
            <w:r w:rsidRPr="00B147BF">
              <w:tab/>
              <w:t>Trim away undercuts from base of die stone model</w:t>
            </w:r>
          </w:p>
          <w:p w:rsidR="00000000" w:rsidP="00B147BF">
            <w:pPr>
              <w:pStyle w:val="BodyText"/>
              <w:rPr>
                <w:lang w:val="en-NZ"/>
              </w:rPr>
            </w:pPr>
            <w:r w:rsidRPr="00B147BF">
              <w:t>1.4</w:t>
            </w:r>
            <w:r w:rsidRPr="00B147BF">
              <w:tab/>
              <w:t>Prepare die model for dowel pin and base in accordance with</w:t>
            </w:r>
            <w:r w:rsidRPr="00B147BF">
              <w:t xml:space="preserve"> manufacturer's instructions</w:t>
            </w:r>
          </w:p>
        </w:tc>
      </w:tr>
      <w:tr w:rsidTr="00224A25">
        <w:tblPrEx>
          <w:tblW w:w="0" w:type="auto"/>
          <w:tblLayout w:type="fixed"/>
          <w:tblCellMar>
            <w:left w:w="62" w:type="dxa"/>
            <w:right w:w="62" w:type="dxa"/>
          </w:tblCellMar>
          <w:tblLook w:val="0000"/>
        </w:tblPrEx>
        <w:tc>
          <w:tcPr>
            <w:tcW w:w="31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6"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3186" w:type="dxa"/>
            <w:tcBorders>
              <w:top w:val="nil"/>
              <w:left w:val="nil"/>
              <w:bottom w:val="nil"/>
              <w:right w:val="nil"/>
            </w:tcBorders>
            <w:tcMar>
              <w:top w:w="0" w:type="dxa"/>
              <w:left w:w="62" w:type="dxa"/>
              <w:bottom w:w="0" w:type="dxa"/>
              <w:right w:w="62" w:type="dxa"/>
            </w:tcMar>
          </w:tcPr>
          <w:p w:rsidR="00000000" w:rsidP="00B147BF">
            <w:pPr>
              <w:pStyle w:val="List"/>
              <w:rPr>
                <w:lang w:val="en-NZ"/>
              </w:rPr>
            </w:pPr>
            <w:r w:rsidRPr="00B147BF">
              <w:t>2.</w:t>
            </w:r>
            <w:r w:rsidRPr="00B147BF">
              <w:tab/>
              <w:t>Duplicate model</w:t>
            </w:r>
          </w:p>
        </w:tc>
        <w:tc>
          <w:tcPr>
            <w:tcW w:w="5336" w:type="dxa"/>
            <w:tcBorders>
              <w:top w:val="nil"/>
              <w:left w:val="nil"/>
              <w:bottom w:val="nil"/>
              <w:right w:val="nil"/>
            </w:tcBorders>
            <w:tcMar>
              <w:top w:w="0" w:type="dxa"/>
              <w:left w:w="62" w:type="dxa"/>
              <w:bottom w:w="0" w:type="dxa"/>
              <w:right w:w="62" w:type="dxa"/>
            </w:tcMar>
          </w:tcPr>
          <w:p w:rsidR="00000000" w:rsidRPr="00B147BF" w:rsidP="00B147BF">
            <w:pPr>
              <w:pStyle w:val="BodyText"/>
            </w:pPr>
            <w:r w:rsidRPr="00B147BF">
              <w:t>2.1</w:t>
            </w:r>
            <w:r w:rsidRPr="00B147BF">
              <w:tab/>
              <w:t>Prepare materials to duplicate models in accordance with manufacturer's instructions</w:t>
            </w:r>
          </w:p>
          <w:p w:rsidR="00000000" w:rsidRPr="00B147BF" w:rsidP="00B147BF">
            <w:pPr>
              <w:pStyle w:val="BodyText"/>
            </w:pPr>
            <w:r w:rsidRPr="00B147BF">
              <w:t>2.2</w:t>
            </w:r>
            <w:r w:rsidRPr="00B147BF">
              <w:tab/>
              <w:t>Mix stones, die-stones and refractories in accordance with manufacturer instructions</w:t>
            </w:r>
          </w:p>
          <w:p w:rsidR="00000000" w:rsidP="00B147BF">
            <w:pPr>
              <w:pStyle w:val="BodyText"/>
              <w:rPr>
                <w:lang w:val="en-NZ"/>
              </w:rPr>
            </w:pPr>
            <w:r w:rsidRPr="00B147BF">
              <w:t>2.3</w:t>
            </w:r>
            <w:r w:rsidRPr="00B147BF">
              <w:tab/>
            </w:r>
            <w:r w:rsidRPr="00B147BF">
              <w:t>Produce an accurate, bubble free duplicate model</w:t>
            </w:r>
          </w:p>
        </w:tc>
      </w:tr>
      <w:tr w:rsidTr="00224A25">
        <w:tblPrEx>
          <w:tblW w:w="0" w:type="auto"/>
          <w:tblLayout w:type="fixed"/>
          <w:tblCellMar>
            <w:left w:w="62" w:type="dxa"/>
            <w:right w:w="62" w:type="dxa"/>
          </w:tblCellMar>
          <w:tblLook w:val="0000"/>
        </w:tblPrEx>
        <w:tc>
          <w:tcPr>
            <w:tcW w:w="31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6"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3186" w:type="dxa"/>
            <w:tcBorders>
              <w:top w:val="nil"/>
              <w:left w:val="nil"/>
              <w:bottom w:val="nil"/>
              <w:right w:val="nil"/>
            </w:tcBorders>
            <w:tcMar>
              <w:top w:w="0" w:type="dxa"/>
              <w:left w:w="62" w:type="dxa"/>
              <w:bottom w:w="0" w:type="dxa"/>
              <w:right w:w="62" w:type="dxa"/>
            </w:tcMar>
          </w:tcPr>
          <w:p w:rsidR="00000000" w:rsidP="00B147BF">
            <w:pPr>
              <w:pStyle w:val="List"/>
              <w:rPr>
                <w:lang w:val="en-NZ"/>
              </w:rPr>
            </w:pPr>
            <w:r w:rsidRPr="00B147BF">
              <w:t>3.</w:t>
            </w:r>
            <w:r w:rsidRPr="00B147BF">
              <w:tab/>
              <w:t>Wax and invest fixed partial dentures and structures</w:t>
            </w:r>
          </w:p>
        </w:tc>
        <w:tc>
          <w:tcPr>
            <w:tcW w:w="5336" w:type="dxa"/>
            <w:tcBorders>
              <w:top w:val="nil"/>
              <w:left w:val="nil"/>
              <w:bottom w:val="nil"/>
              <w:right w:val="nil"/>
            </w:tcBorders>
            <w:tcMar>
              <w:top w:w="0" w:type="dxa"/>
              <w:left w:w="62" w:type="dxa"/>
              <w:bottom w:w="0" w:type="dxa"/>
              <w:right w:w="62" w:type="dxa"/>
            </w:tcMar>
          </w:tcPr>
          <w:p w:rsidR="00000000" w:rsidRPr="00B147BF" w:rsidP="00B147BF">
            <w:pPr>
              <w:pStyle w:val="BodyText"/>
            </w:pPr>
            <w:r w:rsidRPr="00B147BF">
              <w:t>3.1</w:t>
            </w:r>
            <w:r w:rsidRPr="00B147BF">
              <w:tab/>
              <w:t>Wax up crown and bridge restorations</w:t>
            </w:r>
          </w:p>
          <w:p w:rsidR="00000000" w:rsidRPr="00B147BF" w:rsidP="00B147BF">
            <w:pPr>
              <w:pStyle w:val="BodyText"/>
            </w:pPr>
            <w:r w:rsidRPr="00B147BF">
              <w:t>3.2</w:t>
            </w:r>
            <w:r w:rsidRPr="00B147BF">
              <w:tab/>
              <w:t>Sprue crown and bridge wax pattern and prepare for investing</w:t>
            </w:r>
          </w:p>
          <w:p w:rsidR="00000000" w:rsidRPr="00B147BF" w:rsidP="00B147BF">
            <w:pPr>
              <w:pStyle w:val="BodyText"/>
            </w:pPr>
            <w:r w:rsidRPr="00B147BF">
              <w:t>3.3</w:t>
            </w:r>
            <w:r w:rsidRPr="00B147BF">
              <w:tab/>
              <w:t>Select appropriate investment materia</w:t>
            </w:r>
            <w:r w:rsidRPr="00B147BF">
              <w:t>l according to the alloy to be used</w:t>
            </w:r>
          </w:p>
          <w:p w:rsidR="00000000" w:rsidRPr="00B147BF" w:rsidP="00B147BF">
            <w:pPr>
              <w:pStyle w:val="BodyText"/>
            </w:pPr>
            <w:r w:rsidRPr="00B147BF">
              <w:t>3.4</w:t>
            </w:r>
            <w:r w:rsidRPr="00B147BF">
              <w:tab/>
              <w:t>Prepare investment material according to the manufacturer's instructions</w:t>
            </w:r>
          </w:p>
          <w:p w:rsidR="00000000" w:rsidP="00B147BF">
            <w:pPr>
              <w:pStyle w:val="BodyText"/>
              <w:rPr>
                <w:lang w:val="en-NZ"/>
              </w:rPr>
            </w:pPr>
            <w:r w:rsidRPr="00B147BF">
              <w:t>3.5</w:t>
            </w:r>
            <w:r w:rsidRPr="00B147BF">
              <w:tab/>
              <w:t>Invest wax patterns</w:t>
            </w:r>
          </w:p>
        </w:tc>
      </w:tr>
      <w:tr w:rsidTr="00224A25">
        <w:tblPrEx>
          <w:tblW w:w="0" w:type="auto"/>
          <w:tblLayout w:type="fixed"/>
          <w:tblCellMar>
            <w:left w:w="62" w:type="dxa"/>
            <w:right w:w="62" w:type="dxa"/>
          </w:tblCellMar>
          <w:tblLook w:val="0000"/>
        </w:tblPrEx>
        <w:tc>
          <w:tcPr>
            <w:tcW w:w="31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6"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3186" w:type="dxa"/>
            <w:tcBorders>
              <w:top w:val="nil"/>
              <w:left w:val="nil"/>
              <w:bottom w:val="nil"/>
              <w:right w:val="nil"/>
            </w:tcBorders>
            <w:tcMar>
              <w:top w:w="0" w:type="dxa"/>
              <w:left w:w="62" w:type="dxa"/>
              <w:bottom w:w="0" w:type="dxa"/>
              <w:right w:w="62" w:type="dxa"/>
            </w:tcMar>
          </w:tcPr>
          <w:p w:rsidR="00000000" w:rsidP="00B147BF">
            <w:pPr>
              <w:pStyle w:val="List"/>
              <w:rPr>
                <w:lang w:val="en-NZ"/>
              </w:rPr>
            </w:pPr>
            <w:r w:rsidRPr="00B147BF">
              <w:t>4.</w:t>
            </w:r>
            <w:r w:rsidRPr="00B147BF">
              <w:tab/>
              <w:t>Burnout, cast and finish alloy fixed partial dentures and structures</w:t>
            </w:r>
          </w:p>
        </w:tc>
        <w:tc>
          <w:tcPr>
            <w:tcW w:w="5336" w:type="dxa"/>
            <w:tcBorders>
              <w:top w:val="nil"/>
              <w:left w:val="nil"/>
              <w:bottom w:val="nil"/>
              <w:right w:val="nil"/>
            </w:tcBorders>
            <w:tcMar>
              <w:top w:w="0" w:type="dxa"/>
              <w:left w:w="62" w:type="dxa"/>
              <w:bottom w:w="0" w:type="dxa"/>
              <w:right w:w="62" w:type="dxa"/>
            </w:tcMar>
          </w:tcPr>
          <w:p w:rsidR="00000000" w:rsidRPr="00B147BF" w:rsidP="00B147BF">
            <w:pPr>
              <w:pStyle w:val="BodyText"/>
            </w:pPr>
            <w:r w:rsidRPr="00B147BF">
              <w:t>4.1</w:t>
            </w:r>
            <w:r w:rsidRPr="00B147BF">
              <w:tab/>
              <w:t>Select burnout techniques appropriate t</w:t>
            </w:r>
            <w:r w:rsidRPr="00B147BF">
              <w:t>o the investment material and alloy</w:t>
            </w:r>
          </w:p>
          <w:p w:rsidR="00000000" w:rsidRPr="00B147BF" w:rsidP="00B147BF">
            <w:pPr>
              <w:pStyle w:val="BodyText"/>
            </w:pPr>
            <w:r w:rsidRPr="00B147BF">
              <w:t>4.2</w:t>
            </w:r>
            <w:r w:rsidRPr="00B147BF">
              <w:tab/>
              <w:t>Cast metal restorations in appropriate alloy</w:t>
            </w:r>
          </w:p>
          <w:p w:rsidR="00000000" w:rsidRPr="00B147BF" w:rsidP="00B147BF">
            <w:pPr>
              <w:pStyle w:val="BodyText"/>
            </w:pPr>
            <w:r w:rsidRPr="00B147BF">
              <w:t>4.3</w:t>
            </w:r>
            <w:r w:rsidRPr="00B147BF">
              <w:tab/>
              <w:t>Devest metal restoration without damaging casting</w:t>
            </w:r>
          </w:p>
          <w:p w:rsidR="00000000" w:rsidRPr="00B147BF" w:rsidP="00B147BF">
            <w:pPr>
              <w:pStyle w:val="BodyText"/>
            </w:pPr>
            <w:r w:rsidRPr="00B147BF">
              <w:t>4.4</w:t>
            </w:r>
            <w:r w:rsidRPr="00B147BF">
              <w:tab/>
              <w:t xml:space="preserve">Check the casting for </w:t>
            </w:r>
            <w:r w:rsidRPr="00B147BF">
              <w:rPr>
                <w:rStyle w:val="Emphasis"/>
              </w:rPr>
              <w:t>defects</w:t>
            </w:r>
          </w:p>
          <w:p w:rsidR="00000000" w:rsidRPr="00B147BF" w:rsidP="00B147BF">
            <w:pPr>
              <w:pStyle w:val="BodyText"/>
            </w:pPr>
            <w:r w:rsidRPr="00B147BF">
              <w:t>4.5</w:t>
            </w:r>
            <w:r w:rsidRPr="00B147BF">
              <w:tab/>
            </w:r>
            <w:r w:rsidRPr="00B147BF">
              <w:t xml:space="preserve">Trim and polish metal restoration while maintaining all contact areas and margins </w:t>
            </w:r>
          </w:p>
          <w:p w:rsidR="00000000" w:rsidRPr="00B147BF" w:rsidP="00B147BF">
            <w:pPr>
              <w:pStyle w:val="BodyText"/>
            </w:pPr>
            <w:r w:rsidRPr="00B147BF">
              <w:t>4.6</w:t>
            </w:r>
            <w:r w:rsidRPr="00B147BF">
              <w:tab/>
              <w:t>Evaluate the finished restoration</w:t>
            </w:r>
          </w:p>
          <w:p w:rsidR="00000000" w:rsidRPr="00B147BF" w:rsidP="00B147BF">
            <w:pPr>
              <w:pStyle w:val="BodyText"/>
            </w:pPr>
            <w:r w:rsidRPr="00B147BF">
              <w:t>4.7</w:t>
            </w:r>
            <w:r w:rsidRPr="00B147BF">
              <w:tab/>
              <w:t>Decontaminate the casting according to infection control guidelines</w:t>
            </w:r>
          </w:p>
          <w:p w:rsidR="00000000" w:rsidP="00B147BF">
            <w:pPr>
              <w:pStyle w:val="BodyText"/>
              <w:rPr>
                <w:lang w:val="en-NZ"/>
              </w:rPr>
            </w:pPr>
            <w:r w:rsidRPr="00B147BF">
              <w:t>4.8</w:t>
            </w:r>
            <w:r w:rsidRPr="00B147BF">
              <w:tab/>
              <w:t>Dry the casting, replace on model and place in a sealed con</w:t>
            </w:r>
            <w:r w:rsidRPr="00B147BF">
              <w:t>tainer for dispatch</w:t>
            </w:r>
          </w:p>
        </w:tc>
      </w:tr>
      <w:tr w:rsidTr="00224A25">
        <w:tblPrEx>
          <w:tblW w:w="0" w:type="auto"/>
          <w:tblLayout w:type="fixed"/>
          <w:tblCellMar>
            <w:left w:w="62" w:type="dxa"/>
            <w:right w:w="62" w:type="dxa"/>
          </w:tblCellMar>
          <w:tblLook w:val="0000"/>
        </w:tblPrEx>
        <w:tc>
          <w:tcPr>
            <w:tcW w:w="31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6" w:type="dxa"/>
            <w:tcBorders>
              <w:top w:val="nil"/>
              <w:left w:val="nil"/>
              <w:bottom w:val="nil"/>
              <w:right w:val="nil"/>
            </w:tcBorders>
            <w:tcMar>
              <w:top w:w="0" w:type="dxa"/>
              <w:left w:w="62" w:type="dxa"/>
              <w:bottom w:w="0" w:type="dxa"/>
              <w:right w:w="62" w:type="dxa"/>
            </w:tcMar>
          </w:tcPr>
          <w:p w:rsidR="00000000" w:rsidRPr="00B147BF" w:rsidP="00B147BF">
            <w:pPr>
              <w:pStyle w:val="BodyText"/>
            </w:pPr>
          </w:p>
        </w:tc>
      </w:tr>
    </w:tbl>
    <w:p w:rsidR="00224A25" w:rsidP="00B147BF">
      <w:pPr>
        <w:pStyle w:val="BodyText"/>
      </w:pPr>
    </w:p>
    <w:p w:rsidR="00224A25" w:rsidP="00B147BF">
      <w:pPr>
        <w:pStyle w:val="BodyText"/>
      </w:pPr>
    </w:p>
    <w:p w:rsidR="00000000" w:rsidRPr="00B147BF" w:rsidP="00B147BF">
      <w:pPr>
        <w:pStyle w:val="Heading1"/>
      </w:pPr>
      <w:bookmarkStart w:id="9" w:name="O_259800"/>
      <w:bookmarkEnd w:id="9"/>
      <w:r w:rsidRPr="00B147BF">
        <w:t>Required Skills and Knowledge</w:t>
      </w:r>
    </w:p>
    <w:tbl>
      <w:tblPr>
        <w:tblW w:w="0" w:type="auto"/>
        <w:tblLayout w:type="fixed"/>
        <w:tblCellMar>
          <w:left w:w="62" w:type="dxa"/>
          <w:right w:w="62" w:type="dxa"/>
        </w:tblCellMar>
        <w:tblLook w:val="0000"/>
      </w:tblPr>
      <w:tblGrid>
        <w:gridCol w:w="9072"/>
      </w:tblGrid>
      <w:tr w:rsidTr="00224A2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SpecialBold"/>
              </w:rPr>
              <w:t>REQUIRED SKILLS AND KNOWLEDGE</w:t>
            </w:r>
          </w:p>
        </w:tc>
      </w:tr>
      <w:tr w:rsidTr="00224A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t>This describes the essential skills and knowledge and their level required for this unit.</w:t>
            </w:r>
          </w:p>
        </w:tc>
      </w:tr>
      <w:tr w:rsidTr="00224A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47BF" w:rsidP="00B147BF">
            <w:pPr>
              <w:pStyle w:val="BodyText"/>
            </w:pPr>
            <w:r w:rsidRPr="00B147BF">
              <w:rPr>
                <w:rStyle w:val="Emphasis"/>
              </w:rPr>
              <w:t>Essential knowledge</w:t>
            </w:r>
            <w:r w:rsidRPr="00B147BF">
              <w:t>:</w:t>
            </w:r>
          </w:p>
          <w:p w:rsidR="00000000" w:rsidRPr="00B147BF" w:rsidP="00B147BF">
            <w:pPr>
              <w:pStyle w:val="BodyText"/>
            </w:pPr>
            <w:r w:rsidRPr="00B147B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147BF" w:rsidP="00B147BF">
            <w:pPr>
              <w:pStyle w:val="BodyText"/>
            </w:pPr>
            <w:r w:rsidRPr="00B147BF">
              <w:t xml:space="preserve">This includes </w:t>
            </w:r>
            <w:r w:rsidRPr="00B147BF">
              <w:t>knowledge of:</w:t>
            </w:r>
          </w:p>
          <w:p w:rsidR="00000000" w:rsidRPr="00B147BF" w:rsidP="00B147BF">
            <w:pPr>
              <w:pStyle w:val="ListBullet"/>
            </w:pPr>
            <w:r w:rsidRPr="00B147BF">
              <w:t>Applied oral anatomy including:</w:t>
            </w:r>
          </w:p>
          <w:p w:rsidR="00000000" w:rsidRPr="00B147BF" w:rsidP="00B147BF">
            <w:pPr>
              <w:pStyle w:val="ListBullet2"/>
            </w:pPr>
            <w:r w:rsidRPr="00B147BF">
              <w:t>articulation and occlusion</w:t>
            </w:r>
          </w:p>
          <w:p w:rsidR="00000000" w:rsidRPr="00B147BF" w:rsidP="00B147BF">
            <w:pPr>
              <w:pStyle w:val="ListBullet2"/>
            </w:pPr>
            <w:r w:rsidRPr="00B147BF">
              <w:t>dentition - arrangement of the teeth, naming and coding of teeth</w:t>
            </w:r>
          </w:p>
          <w:p w:rsidR="00000000" w:rsidRPr="00B147BF" w:rsidP="00B147BF">
            <w:pPr>
              <w:pStyle w:val="ListBullet2"/>
            </w:pPr>
            <w:r w:rsidRPr="00B147BF">
              <w:t>structures of the oral cavity - hard and soft palate, lateral and posterior borders of the oral cavity, tongue and floor of the mouth</w:t>
            </w:r>
          </w:p>
          <w:p w:rsidR="00000000" w:rsidRPr="00B147BF" w:rsidP="00B147BF">
            <w:pPr>
              <w:pStyle w:val="ListBullet2"/>
            </w:pPr>
            <w:r w:rsidRPr="00B147BF">
              <w:t>teeth - form and function</w:t>
            </w:r>
          </w:p>
          <w:p w:rsidR="00000000" w:rsidRPr="00B147BF" w:rsidP="00B147BF">
            <w:pPr>
              <w:pStyle w:val="ListBullet"/>
            </w:pPr>
            <w:r w:rsidRPr="00B147BF">
              <w:t>Casting and pickling</w:t>
            </w:r>
          </w:p>
          <w:p w:rsidR="00000000" w:rsidRPr="00B147BF" w:rsidP="00B147BF">
            <w:pPr>
              <w:pStyle w:val="ListBullet"/>
            </w:pPr>
            <w:r w:rsidRPr="00B147BF">
              <w:t>Factors responsible for casting defects</w:t>
            </w:r>
          </w:p>
          <w:p w:rsidR="00000000" w:rsidRPr="00B147BF" w:rsidP="00B147BF">
            <w:pPr>
              <w:pStyle w:val="ListBullet"/>
            </w:pPr>
            <w:r w:rsidRPr="00B147BF">
              <w:t>Finishing and polishing</w:t>
            </w:r>
          </w:p>
          <w:p w:rsidR="00000000" w:rsidRPr="00B147BF" w:rsidP="00B147BF">
            <w:pPr>
              <w:pStyle w:val="ListBullet"/>
            </w:pPr>
            <w:r w:rsidRPr="00B147BF">
              <w:t>Fundamenta</w:t>
            </w:r>
            <w:r w:rsidRPr="00B147BF">
              <w:t>l knowledge of model and die materials including:</w:t>
            </w:r>
          </w:p>
          <w:p w:rsidR="00000000" w:rsidRPr="00B147BF" w:rsidP="00B147BF">
            <w:pPr>
              <w:pStyle w:val="ListBullet2"/>
            </w:pPr>
            <w:r w:rsidRPr="00B147BF">
              <w:t>epoxy die materials</w:t>
            </w:r>
          </w:p>
          <w:p w:rsidR="00000000" w:rsidRPr="00B147BF" w:rsidP="00B147BF">
            <w:pPr>
              <w:pStyle w:val="ListBullet2"/>
            </w:pPr>
            <w:r w:rsidRPr="00B147BF">
              <w:t>gypsum materials including their chemical and physical properties, chemical reaction and the effects of excess water, accelerators and retarders, water-powder ratio, temperature and hum</w:t>
            </w:r>
            <w:r w:rsidRPr="00B147BF">
              <w:t>idity, hardening solutions</w:t>
            </w:r>
          </w:p>
          <w:p w:rsidR="00000000" w:rsidRPr="00B147BF" w:rsidP="00B147BF">
            <w:pPr>
              <w:pStyle w:val="ListBullet2"/>
            </w:pPr>
            <w:r w:rsidRPr="00B147BF">
              <w:t>manipulation of gypsum materials including the measurement and combination of powder and water, spatulation and pouring of the model</w:t>
            </w:r>
          </w:p>
          <w:p w:rsidR="00000000" w:rsidRPr="00B147BF" w:rsidP="00B147BF">
            <w:pPr>
              <w:pStyle w:val="ListBullet"/>
            </w:pPr>
            <w:r w:rsidRPr="00B147BF">
              <w:t>Fundamental knowledge of dental casting alloys and solders</w:t>
            </w:r>
          </w:p>
          <w:p w:rsidR="00000000" w:rsidRPr="00B147BF" w:rsidP="00B147BF">
            <w:pPr>
              <w:pStyle w:val="ListBullet2"/>
            </w:pPr>
            <w:r w:rsidRPr="00B147BF">
              <w:t>casting alloys including the proper</w:t>
            </w:r>
            <w:r w:rsidRPr="00B147BF">
              <w:t>ties of alloys, common casting alloys and the biocompatibility of alloys</w:t>
            </w:r>
          </w:p>
          <w:p w:rsidR="00000000" w:rsidRPr="00B147BF" w:rsidP="00B147BF">
            <w:pPr>
              <w:pStyle w:val="ListBullet2"/>
            </w:pPr>
            <w:r w:rsidRPr="00B147BF">
              <w:t>ceramic bonding alloys</w:t>
            </w:r>
          </w:p>
          <w:p w:rsidR="00000000" w:rsidRPr="00B147BF" w:rsidP="00B147BF">
            <w:pPr>
              <w:pStyle w:val="ListBullet2"/>
            </w:pPr>
            <w:r w:rsidRPr="00B147BF">
              <w:t>solders</w:t>
            </w:r>
          </w:p>
          <w:p w:rsidR="00000000" w:rsidRPr="00B147BF" w:rsidP="00B147BF">
            <w:pPr>
              <w:pStyle w:val="ListBullet2"/>
            </w:pPr>
            <w:r w:rsidRPr="00B147BF">
              <w:t>wrought alloys</w:t>
            </w:r>
          </w:p>
          <w:p w:rsidR="00000000" w:rsidRPr="00B147BF" w:rsidP="00B147BF">
            <w:pPr>
              <w:pStyle w:val="ListBullet"/>
            </w:pPr>
            <w:r w:rsidRPr="00B147BF">
              <w:t>Fundamental knowledge of waxes including:</w:t>
            </w:r>
          </w:p>
          <w:p w:rsidR="00000000" w:rsidRPr="00B147BF" w:rsidP="00B147BF">
            <w:pPr>
              <w:pStyle w:val="ListBullet2"/>
            </w:pPr>
            <w:r w:rsidRPr="00B147BF">
              <w:t>pattern waxes including inlay wax, casting wax, baseplate wax</w:t>
            </w:r>
          </w:p>
          <w:p w:rsidR="00000000" w:rsidRPr="00B147BF" w:rsidP="00B147BF">
            <w:pPr>
              <w:pStyle w:val="ListBullet2"/>
            </w:pPr>
            <w:r w:rsidRPr="00B147BF">
              <w:t>processing waxes including boxing and utility waxes, sticky wax, bite registration wax</w:t>
            </w:r>
          </w:p>
          <w:p w:rsidR="00000000" w:rsidRPr="00B147BF" w:rsidP="00B147BF">
            <w:pPr>
              <w:pStyle w:val="ListBullet2"/>
            </w:pPr>
            <w:r w:rsidRPr="00B147BF">
              <w:t>properties of waxes including melting range, flow, thermal expansion, residual stress</w:t>
            </w:r>
          </w:p>
          <w:p w:rsidR="00000000" w:rsidRPr="00B147BF" w:rsidP="00B147BF">
            <w:pPr>
              <w:pStyle w:val="ListBullet2"/>
            </w:pPr>
            <w:r w:rsidRPr="00B147BF">
              <w:t>wax and plastic pattern techniques</w:t>
            </w:r>
          </w:p>
          <w:p w:rsidR="00000000" w:rsidRPr="00B147BF" w:rsidP="00B147BF">
            <w:pPr>
              <w:pStyle w:val="ListBullet"/>
            </w:pPr>
            <w:r w:rsidRPr="00B147BF">
              <w:t>Infection control guidelines for the decontamin</w:t>
            </w:r>
            <w:r w:rsidRPr="00B147BF">
              <w:t>ation of completed laboratory work</w:t>
            </w:r>
          </w:p>
          <w:p w:rsidR="00000000" w:rsidRPr="00B147BF" w:rsidP="00B147BF">
            <w:pPr>
              <w:pStyle w:val="ListBullet"/>
            </w:pPr>
            <w:r w:rsidRPr="00B147BF">
              <w:t>Investing and burnout including:</w:t>
            </w:r>
          </w:p>
          <w:p w:rsidR="00000000" w:rsidRPr="00B147BF" w:rsidP="00B147BF">
            <w:pPr>
              <w:pStyle w:val="ListBullet2"/>
            </w:pPr>
            <w:r w:rsidRPr="00B147BF">
              <w:t>fundamental knowledge of investment materials</w:t>
            </w:r>
          </w:p>
          <w:p w:rsidR="00000000" w:rsidRPr="00B147BF" w:rsidP="00B147BF">
            <w:pPr>
              <w:pStyle w:val="ListBullet2"/>
            </w:pPr>
            <w:r w:rsidRPr="00B147BF">
              <w:t>investing and expansion of the investment</w:t>
            </w:r>
          </w:p>
          <w:p w:rsidR="00000000" w:rsidRPr="00B147BF" w:rsidP="00B147BF">
            <w:pPr>
              <w:pStyle w:val="ListBullet2"/>
            </w:pPr>
            <w:r w:rsidRPr="00B147BF">
              <w:t>burnout</w:t>
            </w:r>
          </w:p>
          <w:p w:rsidR="00000000" w:rsidRPr="00B147BF" w:rsidP="00B147BF">
            <w:pPr>
              <w:pStyle w:val="ListBullet"/>
            </w:pPr>
            <w:r w:rsidRPr="00B147BF">
              <w:t>Occupational health and safety policies and procedures</w:t>
            </w:r>
          </w:p>
          <w:p w:rsidR="00000000" w:rsidRPr="00B147BF" w:rsidP="00B147BF">
            <w:pPr>
              <w:pStyle w:val="ListBullet"/>
            </w:pPr>
            <w:r w:rsidRPr="00B147BF">
              <w:t>Soldering techniques</w:t>
            </w:r>
          </w:p>
          <w:p w:rsidR="00000000" w:rsidP="00B147BF">
            <w:pPr>
              <w:pStyle w:val="ListBullet"/>
              <w:rPr>
                <w:lang w:val="en-NZ"/>
              </w:rPr>
            </w:pPr>
            <w:r w:rsidRPr="00B147BF">
              <w:t>Waxing and spruing techniques</w:t>
            </w:r>
          </w:p>
        </w:tc>
      </w:tr>
      <w:tr w:rsidTr="00224A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47BF" w:rsidP="00B147BF">
            <w:pPr>
              <w:pStyle w:val="BodyText"/>
            </w:pPr>
            <w:r w:rsidRPr="00B147BF">
              <w:rPr>
                <w:rStyle w:val="Emphasis"/>
              </w:rPr>
              <w:t>Essential skills</w:t>
            </w:r>
            <w:r w:rsidRPr="00B147BF">
              <w:t>:</w:t>
            </w:r>
          </w:p>
          <w:p w:rsidR="00000000" w:rsidRPr="00B147BF" w:rsidP="00B147BF">
            <w:pPr>
              <w:pStyle w:val="BodyText"/>
            </w:pPr>
            <w:r w:rsidRPr="00B147BF">
              <w:t xml:space="preserve">It is critical that the candidate demonstrate the ability to </w:t>
            </w:r>
          </w:p>
          <w:p w:rsidR="00000000" w:rsidRPr="00B147BF" w:rsidP="00B147BF">
            <w:pPr>
              <w:pStyle w:val="ListBullet"/>
            </w:pPr>
            <w:r w:rsidRPr="00B147BF">
              <w:t>Consistently design and manufacture a range of metallic restorations in accordance with prescription</w:t>
            </w:r>
          </w:p>
          <w:p w:rsidR="00000000" w:rsidRPr="00B147BF" w:rsidP="00B147BF">
            <w:pPr>
              <w:pStyle w:val="ListBullet"/>
            </w:pPr>
            <w:r w:rsidRPr="00B147BF">
              <w:t>Consistently trim, polish, finish and evaluate metallic restorations that are suitable for insertion in the mouth</w:t>
            </w:r>
          </w:p>
          <w:p w:rsidR="00000000" w:rsidRPr="00B147BF" w:rsidP="00B147BF">
            <w:pPr>
              <w:pStyle w:val="ListBullet"/>
            </w:pPr>
            <w:r w:rsidRPr="00B147BF">
              <w:t xml:space="preserve">Consistently comply with current infection control guidelines, Australian Standards and legislative requirements as they relate to the dental </w:t>
            </w:r>
            <w:r w:rsidRPr="00B147BF">
              <w:t>technician's specific job role</w:t>
            </w:r>
          </w:p>
          <w:p w:rsidR="00000000" w:rsidRPr="00B147BF" w:rsidP="00B147BF">
            <w:pPr>
              <w:pStyle w:val="ListBullet"/>
            </w:pPr>
            <w:r w:rsidRPr="00B147BF">
              <w:t>Consistently comply with occupational health and safety policies and procedures as they relate to the dental technician's specific job role</w:t>
            </w:r>
          </w:p>
          <w:p w:rsidR="00000000" w:rsidRPr="00B147BF" w:rsidP="00B147BF">
            <w:pPr>
              <w:pStyle w:val="BodyText"/>
            </w:pPr>
          </w:p>
          <w:p w:rsidR="00000000" w:rsidRPr="00B147BF" w:rsidP="00B147BF">
            <w:pPr>
              <w:pStyle w:val="BodyText"/>
            </w:pPr>
            <w:r w:rsidRPr="00B147BF">
              <w:t>In addition, the candidate must be able to effectively do the task outlined in eleme</w:t>
            </w:r>
            <w:r w:rsidRPr="00B147BF">
              <w:t>nts and performance criteria of this unit, manage the task and manage contingencies in the context of the identified work role</w:t>
            </w:r>
          </w:p>
          <w:p w:rsidR="00000000" w:rsidRPr="00B147BF" w:rsidP="00B147BF">
            <w:pPr>
              <w:pStyle w:val="BodyText"/>
            </w:pPr>
            <w:r w:rsidRPr="00B147BF">
              <w:t>This includes the ability to:</w:t>
            </w:r>
          </w:p>
          <w:p w:rsidR="00000000" w:rsidRPr="00B147BF" w:rsidP="00B147BF">
            <w:pPr>
              <w:pStyle w:val="ListBullet"/>
            </w:pPr>
            <w:r w:rsidRPr="00B147BF">
              <w:t>Consistently follow occupational health and safety policies and procedures</w:t>
            </w:r>
          </w:p>
          <w:p w:rsidR="00000000" w:rsidRPr="00B147BF" w:rsidP="00B147BF">
            <w:pPr>
              <w:pStyle w:val="ListBullet"/>
            </w:pPr>
            <w:r w:rsidRPr="00B147BF">
              <w:t>Consistently follow seq</w:t>
            </w:r>
            <w:r w:rsidRPr="00B147BF">
              <w:t>uenced written instructions and manufacturer specifications for the preparation of materials</w:t>
            </w:r>
          </w:p>
          <w:p w:rsidR="00000000" w:rsidRPr="00B147BF" w:rsidP="00B147BF">
            <w:pPr>
              <w:pStyle w:val="ListBullet"/>
            </w:pPr>
            <w:r w:rsidRPr="00B147BF">
              <w:t>Critically evaluate all work produced so as to consistently meet both the technical requirements of the laboratory and client requirements</w:t>
            </w:r>
          </w:p>
          <w:p w:rsidR="00000000" w:rsidRPr="00B147BF" w:rsidP="00B147BF">
            <w:pPr>
              <w:pStyle w:val="ListBullet"/>
            </w:pPr>
            <w:r w:rsidRPr="00B147BF">
              <w:t>Select materials and tec</w:t>
            </w:r>
            <w:r w:rsidRPr="00B147BF">
              <w:t>hniques to manufacture cast metal alloy removable partial denture framework</w:t>
            </w:r>
          </w:p>
          <w:p w:rsidR="00000000" w:rsidRPr="00B147BF" w:rsidP="00B147BF">
            <w:pPr>
              <w:pStyle w:val="ListBullet"/>
            </w:pPr>
            <w:r w:rsidRPr="00B147BF">
              <w:t>Use appropriate practices to ensure efficient use of power and other resources</w:t>
            </w:r>
          </w:p>
          <w:p w:rsidR="00000000" w:rsidRPr="00B147BF" w:rsidP="00B147BF">
            <w:pPr>
              <w:pStyle w:val="ListBullet"/>
            </w:pPr>
            <w:r w:rsidRPr="00B147BF">
              <w:t>Use safe work practices to minimise the risk of transmission of infection including:</w:t>
            </w:r>
          </w:p>
          <w:p w:rsidR="00000000" w:rsidRPr="00B147BF" w:rsidP="00B147BF">
            <w:pPr>
              <w:pStyle w:val="ListBullet2"/>
            </w:pPr>
            <w:r w:rsidRPr="00B147BF">
              <w:t>consistently fo</w:t>
            </w:r>
            <w:r w:rsidRPr="00B147BF">
              <w:t>llowing the procedure for washing and drying hands</w:t>
            </w:r>
          </w:p>
          <w:p w:rsidR="00000000" w:rsidRPr="00B147BF" w:rsidP="00B147BF">
            <w:pPr>
              <w:pStyle w:val="ListBullet2"/>
            </w:pPr>
            <w:r w:rsidRPr="00B147BF">
              <w:t>consistently putting into practice clean techniques</w:t>
            </w:r>
          </w:p>
          <w:p w:rsidR="00000000" w:rsidRPr="00B147BF" w:rsidP="00B147BF">
            <w:pPr>
              <w:pStyle w:val="ListBullet2"/>
            </w:pPr>
            <w:r w:rsidRPr="00B147BF">
              <w:t>consistently using personal protective equipment</w:t>
            </w:r>
          </w:p>
          <w:p w:rsidR="00000000" w:rsidRPr="00B147BF" w:rsidP="00B147BF">
            <w:pPr>
              <w:pStyle w:val="ListBullet2"/>
            </w:pPr>
            <w:r w:rsidRPr="00B147BF">
              <w:t>consistently limiting contamination</w:t>
            </w:r>
          </w:p>
          <w:p w:rsidR="00000000" w:rsidRPr="00B147BF" w:rsidP="00B147BF">
            <w:pPr>
              <w:pStyle w:val="ListBullet2"/>
            </w:pPr>
            <w:r w:rsidRPr="00B147BF">
              <w:t xml:space="preserve">consistently maintaining clean receiving and work areas </w:t>
            </w:r>
          </w:p>
          <w:p w:rsidR="00000000" w:rsidRPr="00B147BF" w:rsidP="00B147BF">
            <w:pPr>
              <w:pStyle w:val="ListBullet"/>
            </w:pPr>
            <w:r w:rsidRPr="00B147BF">
              <w:t>Use literacy skills to read and follow directions, policies and procedures including:</w:t>
            </w:r>
          </w:p>
          <w:p w:rsidR="00000000" w:rsidRPr="00B147BF" w:rsidP="00B147BF">
            <w:pPr>
              <w:pStyle w:val="ListBullet2"/>
            </w:pPr>
            <w:r w:rsidRPr="00B147BF">
              <w:t>occupational health and safety policies and procedures</w:t>
            </w:r>
          </w:p>
          <w:p w:rsidR="00000000" w:rsidRPr="00B147BF" w:rsidP="00B147BF">
            <w:pPr>
              <w:pStyle w:val="ListBullet2"/>
            </w:pPr>
            <w:r w:rsidRPr="00B147BF">
              <w:t>infection control policies and procedures</w:t>
            </w:r>
          </w:p>
          <w:p w:rsidR="00000000" w:rsidRPr="00B147BF" w:rsidP="00B147BF">
            <w:pPr>
              <w:pStyle w:val="ListBullet2"/>
            </w:pPr>
            <w:r w:rsidRPr="00B147BF">
              <w:t>material safety data sheets</w:t>
            </w:r>
          </w:p>
          <w:p w:rsidR="00000000" w:rsidRPr="00B147BF" w:rsidP="00B147BF">
            <w:pPr>
              <w:pStyle w:val="ListBullet2"/>
            </w:pPr>
            <w:r w:rsidRPr="00B147BF">
              <w:t>laboratory policies and procedures</w:t>
            </w:r>
          </w:p>
        </w:tc>
      </w:tr>
    </w:tbl>
    <w:p w:rsidR="00224A25" w:rsidP="00B147BF">
      <w:pPr>
        <w:pStyle w:val="BodyText"/>
      </w:pPr>
    </w:p>
    <w:p w:rsidR="00224A25" w:rsidP="00B147BF">
      <w:pPr>
        <w:pStyle w:val="BodyText"/>
      </w:pPr>
    </w:p>
    <w:p w:rsidR="00000000" w:rsidRPr="00B147BF" w:rsidP="00B147BF">
      <w:pPr>
        <w:pStyle w:val="Heading1"/>
      </w:pPr>
      <w:bookmarkStart w:id="10" w:name="O_243834"/>
      <w:bookmarkEnd w:id="10"/>
      <w:r w:rsidRPr="00B147BF">
        <w:t>Evidence Guide</w:t>
      </w:r>
    </w:p>
    <w:tbl>
      <w:tblPr>
        <w:tblW w:w="0" w:type="auto"/>
        <w:tblLayout w:type="fixed"/>
        <w:tblCellMar>
          <w:left w:w="62" w:type="dxa"/>
          <w:right w:w="62" w:type="dxa"/>
        </w:tblCellMar>
        <w:tblLook w:val="0000"/>
      </w:tblPr>
      <w:tblGrid>
        <w:gridCol w:w="3402"/>
        <w:gridCol w:w="5670"/>
      </w:tblGrid>
      <w:tr w:rsidTr="00224A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SpecialBold"/>
              </w:rPr>
              <w:t>EVIDENCE GUIDE</w:t>
            </w:r>
          </w:p>
        </w:tc>
      </w:tr>
      <w:tr w:rsidTr="00224A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t xml:space="preserve">The evidence guide provides advice on assessment and must be read in conjunction with the Performance Criteria, Required Skills and Knowledge, </w:t>
            </w:r>
            <w:r w:rsidRPr="00B147BF">
              <w:t>the Range Statement and the Assessment Guidelines for this Training Package.</w:t>
            </w:r>
          </w:p>
        </w:tc>
      </w:tr>
      <w:tr w:rsidTr="00224A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Emphasis"/>
              </w:rPr>
              <w:t>Critical aspects for assessment and evidence required to demonstrate this competency unit</w:t>
            </w:r>
            <w:r w:rsidRPr="00B147BF">
              <w:t xml:space="preserve">: </w:t>
            </w:r>
            <w:r w:rsidRPr="00B147BF">
              <w:br/>
            </w:r>
          </w:p>
        </w:tc>
        <w:tc>
          <w:tcPr>
            <w:tcW w:w="5670" w:type="dxa"/>
            <w:tcBorders>
              <w:top w:val="nil"/>
              <w:left w:val="nil"/>
              <w:bottom w:val="nil"/>
              <w:right w:val="nil"/>
            </w:tcBorders>
            <w:tcMar>
              <w:top w:w="0" w:type="dxa"/>
              <w:left w:w="62" w:type="dxa"/>
              <w:bottom w:w="0" w:type="dxa"/>
              <w:right w:w="62" w:type="dxa"/>
            </w:tcMar>
          </w:tcPr>
          <w:p w:rsidR="00000000" w:rsidRPr="00B147BF" w:rsidP="00B147BF">
            <w:pPr>
              <w:pStyle w:val="ListBullet"/>
            </w:pPr>
            <w:r w:rsidRPr="00B147BF">
              <w:t>The individual being assessed must provide evidence of specified essential knowl</w:t>
            </w:r>
            <w:r w:rsidRPr="00B147BF">
              <w:t>edge as well as skills</w:t>
            </w:r>
          </w:p>
          <w:p w:rsidR="00000000" w:rsidP="00B147BF">
            <w:pPr>
              <w:pStyle w:val="ListBullet"/>
              <w:rPr>
                <w:lang w:val="en-NZ"/>
              </w:rPr>
            </w:pPr>
            <w:r w:rsidRPr="00B147BF">
              <w:t>Consistency of performance should be demonstrated over the required range of workplace situations</w:t>
            </w: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Emphasis"/>
              </w:rPr>
              <w:t>Context of and specific resources for assessment</w:t>
            </w:r>
            <w:r w:rsidRPr="00B147BF">
              <w:t xml:space="preserve">: </w:t>
            </w:r>
            <w:r w:rsidRPr="00B147BF">
              <w:br/>
            </w:r>
          </w:p>
        </w:tc>
        <w:tc>
          <w:tcPr>
            <w:tcW w:w="5670" w:type="dxa"/>
            <w:tcBorders>
              <w:top w:val="nil"/>
              <w:left w:val="nil"/>
              <w:bottom w:val="nil"/>
              <w:right w:val="nil"/>
            </w:tcBorders>
            <w:tcMar>
              <w:top w:w="0" w:type="dxa"/>
              <w:left w:w="62" w:type="dxa"/>
              <w:bottom w:w="0" w:type="dxa"/>
              <w:right w:w="62" w:type="dxa"/>
            </w:tcMar>
          </w:tcPr>
          <w:p w:rsidR="00000000" w:rsidRPr="00B147BF" w:rsidP="00B147BF">
            <w:pPr>
              <w:pStyle w:val="ListBullet"/>
            </w:pPr>
            <w:r w:rsidRPr="00B147BF">
              <w:t>Assessment should replicate workplace conditions as far as possible</w:t>
            </w:r>
          </w:p>
          <w:p w:rsidR="00000000" w:rsidP="00B147BF">
            <w:pPr>
              <w:pStyle w:val="ListBullet"/>
              <w:rPr>
                <w:lang w:val="en-NZ"/>
              </w:rPr>
            </w:pPr>
            <w:r w:rsidRPr="00B147BF">
              <w:t>Where, for reasons of safety, access to equipment and resources and space, assessment takes place away from the workplace, simulations should be used to represent workplace conditions as closely as possible</w:t>
            </w: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Emphasis"/>
              </w:rPr>
              <w:t>Method of assessment</w:t>
            </w:r>
            <w:r w:rsidRPr="00B147BF">
              <w:t xml:space="preserve"> </w:t>
            </w:r>
          </w:p>
        </w:tc>
        <w:tc>
          <w:tcPr>
            <w:tcW w:w="5670" w:type="dxa"/>
            <w:tcBorders>
              <w:top w:val="nil"/>
              <w:left w:val="nil"/>
              <w:bottom w:val="nil"/>
              <w:right w:val="nil"/>
            </w:tcBorders>
            <w:tcMar>
              <w:top w:w="0" w:type="dxa"/>
              <w:left w:w="62" w:type="dxa"/>
              <w:bottom w:w="0" w:type="dxa"/>
              <w:right w:w="62" w:type="dxa"/>
            </w:tcMar>
          </w:tcPr>
          <w:p w:rsidR="00000000" w:rsidRPr="00B147BF" w:rsidP="00B147BF">
            <w:pPr>
              <w:pStyle w:val="ListBullet"/>
            </w:pPr>
            <w:r w:rsidRPr="00B147BF">
              <w:t xml:space="preserve">Evidence of essential </w:t>
            </w:r>
            <w:r w:rsidRPr="00B147BF">
              <w:t>knowledge and understanding may be provided by:</w:t>
            </w:r>
          </w:p>
          <w:p w:rsidR="00000000" w:rsidRPr="00B147BF" w:rsidP="00B147BF">
            <w:pPr>
              <w:pStyle w:val="ListBullet2"/>
            </w:pPr>
            <w:r w:rsidRPr="00B147BF">
              <w:t>traditional or online (computer-based) assessment</w:t>
            </w:r>
          </w:p>
          <w:p w:rsidR="00000000" w:rsidRPr="00B147BF" w:rsidP="00B147BF">
            <w:pPr>
              <w:pStyle w:val="ListBullet2"/>
            </w:pPr>
            <w:r w:rsidRPr="00B147BF">
              <w:t>written assignments/projects</w:t>
            </w:r>
          </w:p>
          <w:p w:rsidR="00000000" w:rsidRPr="00B147BF" w:rsidP="00B147BF">
            <w:pPr>
              <w:pStyle w:val="ListBullet"/>
            </w:pPr>
            <w:r w:rsidRPr="00B147BF">
              <w:t>Case study and scenario as a basis for discussion of issues and strategies to contribute to best practice</w:t>
            </w:r>
          </w:p>
          <w:p w:rsidR="00000000" w:rsidRPr="00B147BF" w:rsidP="00B147BF">
            <w:pPr>
              <w:pStyle w:val="ListBullet"/>
            </w:pPr>
            <w:r w:rsidRPr="00B147BF">
              <w:t>Questioning</w:t>
            </w:r>
          </w:p>
          <w:p w:rsidR="00000000" w:rsidRPr="00B147BF" w:rsidP="00B147BF">
            <w:pPr>
              <w:pStyle w:val="ListBullet"/>
            </w:pPr>
            <w:r w:rsidRPr="00B147BF">
              <w:t>Staff and/or client feedback</w:t>
            </w:r>
          </w:p>
          <w:p w:rsidR="00000000" w:rsidRPr="00B147BF" w:rsidP="00B147BF">
            <w:pPr>
              <w:pStyle w:val="ListBullet"/>
            </w:pPr>
            <w:r w:rsidRPr="00B147BF">
              <w:t>Supporting statement of supervisor</w:t>
            </w:r>
          </w:p>
          <w:p w:rsidR="00000000" w:rsidRPr="00B147BF" w:rsidP="00B147BF">
            <w:pPr>
              <w:pStyle w:val="ListBullet"/>
            </w:pPr>
            <w:r w:rsidRPr="00B147BF">
              <w:t>Authenticated evidence of relevant work experience and/or formal/informal learning</w:t>
            </w:r>
          </w:p>
          <w:p w:rsidR="00000000" w:rsidP="00B147BF">
            <w:pPr>
              <w:pStyle w:val="ListBullet"/>
              <w:rPr>
                <w:lang w:val="en-NZ"/>
              </w:rPr>
            </w:pPr>
            <w:r w:rsidRPr="00B147BF">
              <w:t>Role play/simulation</w:t>
            </w: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Emphasis"/>
              </w:rPr>
              <w:t>Access and equity considerations</w:t>
            </w:r>
            <w:r w:rsidRPr="00B147BF">
              <w:t>:</w:t>
            </w:r>
          </w:p>
        </w:tc>
        <w:tc>
          <w:tcPr>
            <w:tcW w:w="5670" w:type="dxa"/>
            <w:tcBorders>
              <w:top w:val="nil"/>
              <w:left w:val="nil"/>
              <w:bottom w:val="nil"/>
              <w:right w:val="nil"/>
            </w:tcBorders>
            <w:tcMar>
              <w:top w:w="0" w:type="dxa"/>
              <w:left w:w="62" w:type="dxa"/>
              <w:bottom w:w="0" w:type="dxa"/>
              <w:right w:w="62" w:type="dxa"/>
            </w:tcMar>
          </w:tcPr>
          <w:p w:rsidR="00000000" w:rsidRPr="00B147BF" w:rsidP="00B147BF">
            <w:pPr>
              <w:pStyle w:val="ListBullet"/>
            </w:pPr>
            <w:r w:rsidRPr="00B147BF">
              <w:t>All workers in the health industry should be aware of access and equity issues in relation to their own area of work</w:t>
            </w:r>
          </w:p>
          <w:p w:rsidR="00000000" w:rsidRPr="00B147BF" w:rsidP="00B147BF">
            <w:pPr>
              <w:pStyle w:val="ListBullet"/>
            </w:pPr>
            <w:r w:rsidRPr="00B147BF">
              <w:t xml:space="preserve">All workers should develop their ability to work in a culturally diverse environment </w:t>
            </w:r>
          </w:p>
          <w:p w:rsidR="00000000" w:rsidRPr="00B147BF" w:rsidP="00B147BF">
            <w:pPr>
              <w:pStyle w:val="ListBullet"/>
            </w:pPr>
            <w:r w:rsidRPr="00B147BF">
              <w:t>In recognition of particular health issues facing Abo</w:t>
            </w:r>
            <w:r w:rsidRPr="00B147BF">
              <w:t>riginal and Torres Strait Islander communities, workers should be aware of cultural, historical and current issues impacting on health of Aboriginal and Torres Strait Islander people</w:t>
            </w:r>
          </w:p>
          <w:p w:rsidR="00000000" w:rsidP="00B147BF">
            <w:pPr>
              <w:pStyle w:val="ListBullet"/>
              <w:rPr>
                <w:lang w:val="en-NZ"/>
              </w:rPr>
            </w:pPr>
            <w:r w:rsidRPr="00B147BF">
              <w:t xml:space="preserve">Assessors and trainers must take into account relevant access and equity </w:t>
            </w:r>
            <w:r w:rsidRPr="00B147BF">
              <w:t>issues, in particular relating to factors impacting on health of Aboriginal and/or Torres Strait Islander clients and communities</w:t>
            </w: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147BF" w:rsidP="00B147BF">
            <w:pPr>
              <w:pStyle w:val="BodyText"/>
            </w:pPr>
          </w:p>
        </w:tc>
      </w:tr>
    </w:tbl>
    <w:p w:rsidR="00224A25" w:rsidP="00B147BF">
      <w:pPr>
        <w:pStyle w:val="BodyText"/>
      </w:pPr>
    </w:p>
    <w:p w:rsidR="00224A25" w:rsidP="00B147BF">
      <w:pPr>
        <w:pStyle w:val="BodyText"/>
      </w:pPr>
    </w:p>
    <w:p w:rsidR="00000000" w:rsidRPr="00B147BF" w:rsidP="00B147BF">
      <w:pPr>
        <w:pStyle w:val="Heading1"/>
      </w:pPr>
      <w:bookmarkStart w:id="11" w:name="O_251817"/>
      <w:bookmarkEnd w:id="11"/>
      <w:r w:rsidRPr="00B147BF">
        <w:t>Range Statement</w:t>
      </w:r>
    </w:p>
    <w:tbl>
      <w:tblPr>
        <w:tblW w:w="0" w:type="auto"/>
        <w:tblLayout w:type="fixed"/>
        <w:tblCellMar>
          <w:left w:w="62" w:type="dxa"/>
          <w:right w:w="62" w:type="dxa"/>
        </w:tblCellMar>
        <w:tblLook w:val="0000"/>
      </w:tblPr>
      <w:tblGrid>
        <w:gridCol w:w="3402"/>
        <w:gridCol w:w="5670"/>
      </w:tblGrid>
      <w:tr w:rsidTr="00224A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SpecialBold"/>
              </w:rPr>
              <w:t>RANGE STATEMENT</w:t>
            </w:r>
          </w:p>
        </w:tc>
      </w:tr>
      <w:tr w:rsidTr="00224A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t xml:space="preserve">The Range Statement relates to the unit of competency as a whole. It allows for different work environments and situations that may affect performance. </w:t>
            </w: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Emphasis"/>
              </w:rPr>
              <w:t>Metallic restorations may include</w:t>
            </w:r>
            <w:r w:rsidRPr="00B147BF">
              <w:t>:</w:t>
            </w:r>
          </w:p>
        </w:tc>
        <w:tc>
          <w:tcPr>
            <w:tcW w:w="5670" w:type="dxa"/>
            <w:tcBorders>
              <w:top w:val="nil"/>
              <w:left w:val="nil"/>
              <w:bottom w:val="nil"/>
              <w:right w:val="nil"/>
            </w:tcBorders>
            <w:tcMar>
              <w:top w:w="0" w:type="dxa"/>
              <w:left w:w="62" w:type="dxa"/>
              <w:bottom w:w="0" w:type="dxa"/>
              <w:right w:w="62" w:type="dxa"/>
            </w:tcMar>
          </w:tcPr>
          <w:p w:rsidR="00000000" w:rsidRPr="00B147BF" w:rsidP="00B147BF">
            <w:pPr>
              <w:pStyle w:val="ListBullet"/>
            </w:pPr>
            <w:r w:rsidRPr="00B147BF">
              <w:t>Crown and bridge structures</w:t>
            </w:r>
          </w:p>
          <w:p w:rsidR="00000000" w:rsidRPr="00B147BF" w:rsidP="00B147BF">
            <w:pPr>
              <w:pStyle w:val="ListBullet"/>
            </w:pPr>
            <w:r w:rsidRPr="00B147BF">
              <w:t>Crowns</w:t>
            </w:r>
          </w:p>
          <w:p w:rsidR="00000000" w:rsidRPr="00B147BF" w:rsidP="00B147BF">
            <w:pPr>
              <w:pStyle w:val="ListBullet"/>
            </w:pPr>
            <w:r w:rsidRPr="00B147BF">
              <w:t>Inlays</w:t>
            </w:r>
          </w:p>
          <w:p w:rsidR="00000000" w:rsidRPr="00B147BF" w:rsidP="00B147BF">
            <w:pPr>
              <w:pStyle w:val="ListBullet"/>
            </w:pPr>
            <w:r w:rsidRPr="00B147BF">
              <w:t>Onlays</w:t>
            </w:r>
          </w:p>
          <w:p w:rsidR="00000000" w:rsidP="00B147BF">
            <w:pPr>
              <w:pStyle w:val="ListBullet"/>
              <w:rPr>
                <w:lang w:val="en-NZ"/>
              </w:rPr>
            </w:pPr>
            <w:r w:rsidRPr="00B147BF">
              <w:t>Single posts and cores</w:t>
            </w: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Emphasis"/>
              </w:rPr>
              <w:t>Construction of crown and bridge structures includes</w:t>
            </w:r>
            <w:r w:rsidRPr="00B147BF">
              <w:t>:</w:t>
            </w:r>
          </w:p>
        </w:tc>
        <w:tc>
          <w:tcPr>
            <w:tcW w:w="5670" w:type="dxa"/>
            <w:tcBorders>
              <w:top w:val="nil"/>
              <w:left w:val="nil"/>
              <w:bottom w:val="nil"/>
              <w:right w:val="nil"/>
            </w:tcBorders>
            <w:tcMar>
              <w:top w:w="0" w:type="dxa"/>
              <w:left w:w="62" w:type="dxa"/>
              <w:bottom w:w="0" w:type="dxa"/>
              <w:right w:w="62" w:type="dxa"/>
            </w:tcMar>
          </w:tcPr>
          <w:p w:rsidR="00000000" w:rsidRPr="00B147BF" w:rsidP="00B147BF">
            <w:pPr>
              <w:pStyle w:val="ListBullet"/>
            </w:pPr>
            <w:r w:rsidRPr="00B147BF">
              <w:t>A range of designs</w:t>
            </w:r>
          </w:p>
          <w:p w:rsidR="00000000" w:rsidRPr="00B147BF" w:rsidP="00B147BF">
            <w:pPr>
              <w:pStyle w:val="ListBullet"/>
            </w:pPr>
            <w:r w:rsidRPr="00B147BF">
              <w:t>Anterior and posterior teeth</w:t>
            </w:r>
          </w:p>
          <w:p w:rsidR="00000000" w:rsidRPr="00B147BF" w:rsidP="00B147BF">
            <w:pPr>
              <w:pStyle w:val="ListBullet"/>
            </w:pPr>
            <w:r w:rsidRPr="00B147BF">
              <w:t>Ceramic fused to metal sub structures</w:t>
            </w:r>
          </w:p>
          <w:p w:rsidR="00000000" w:rsidP="00B147BF">
            <w:pPr>
              <w:pStyle w:val="ListBullet"/>
              <w:rPr>
                <w:lang w:val="en-NZ"/>
              </w:rPr>
            </w:pPr>
            <w:r w:rsidRPr="00B147BF">
              <w:t>Metal inlays, crowns and bridges</w:t>
            </w: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47BF">
            <w:pPr>
              <w:pStyle w:val="BodyText"/>
              <w:rPr>
                <w:lang w:val="en-NZ"/>
              </w:rPr>
            </w:pPr>
            <w:r w:rsidRPr="00B147BF">
              <w:rPr>
                <w:rStyle w:val="Emphasis"/>
              </w:rPr>
              <w:t>Casting defects may include but are not limited to</w:t>
            </w:r>
            <w:r w:rsidRPr="00B147BF">
              <w:t>:</w:t>
            </w:r>
          </w:p>
        </w:tc>
        <w:tc>
          <w:tcPr>
            <w:tcW w:w="5670" w:type="dxa"/>
            <w:tcBorders>
              <w:top w:val="nil"/>
              <w:left w:val="nil"/>
              <w:bottom w:val="nil"/>
              <w:right w:val="nil"/>
            </w:tcBorders>
            <w:tcMar>
              <w:top w:w="0" w:type="dxa"/>
              <w:left w:w="62" w:type="dxa"/>
              <w:bottom w:w="0" w:type="dxa"/>
              <w:right w:w="62" w:type="dxa"/>
            </w:tcMar>
          </w:tcPr>
          <w:p w:rsidR="00000000" w:rsidRPr="00B147BF" w:rsidP="00B147BF">
            <w:pPr>
              <w:pStyle w:val="ListBullet"/>
            </w:pPr>
            <w:r w:rsidRPr="00B147BF">
              <w:t>Incomplete casting</w:t>
            </w:r>
          </w:p>
          <w:p w:rsidR="00000000" w:rsidRPr="00B147BF" w:rsidP="00B147BF">
            <w:pPr>
              <w:pStyle w:val="ListBullet"/>
            </w:pPr>
            <w:r w:rsidRPr="00B147BF">
              <w:t>Porosities</w:t>
            </w:r>
          </w:p>
          <w:p w:rsidR="00000000" w:rsidP="00B147BF">
            <w:pPr>
              <w:pStyle w:val="ListBullet"/>
              <w:rPr>
                <w:lang w:val="en-NZ"/>
              </w:rPr>
            </w:pPr>
            <w:r w:rsidRPr="00B147BF">
              <w:t>Rough surfaces</w:t>
            </w:r>
          </w:p>
        </w:tc>
      </w:tr>
      <w:tr w:rsidTr="00224A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147BF" w:rsidP="00B147BF">
            <w:pPr>
              <w:pStyle w:val="BodyText"/>
            </w:pPr>
          </w:p>
        </w:tc>
      </w:tr>
    </w:tbl>
    <w:p w:rsidR="00224A25" w:rsidP="00B147BF">
      <w:pPr>
        <w:pStyle w:val="BodyText"/>
      </w:pPr>
    </w:p>
    <w:p w:rsidR="00224A25" w:rsidP="00B147BF">
      <w:pPr>
        <w:pStyle w:val="BodyText"/>
      </w:pPr>
    </w:p>
    <w:p w:rsidR="00000000" w:rsidRPr="00B147BF" w:rsidP="00B147BF">
      <w:pPr>
        <w:pStyle w:val="Heading1"/>
      </w:pPr>
      <w:bookmarkStart w:id="12" w:name="O_295043"/>
      <w:bookmarkEnd w:id="12"/>
      <w:r w:rsidRPr="00B147BF">
        <w:t>Unit Sector(s)</w:t>
      </w:r>
    </w:p>
    <w:p w:rsidR="00000000" w:rsidRPr="00B147BF" w:rsidP="00B147BF">
      <w:pPr>
        <w:pStyle w:val="BodyText"/>
      </w:pPr>
      <w:r w:rsidRPr="00B147BF">
        <w:t>Not Applicable</w:t>
      </w:r>
    </w:p>
    <w:p w:rsidR="00000000" w:rsidRPr="00B147BF" w:rsidP="00B147BF"/>
    <w:sectPr w:rsidSect="00B147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4A25" w:rsidP="00224A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25" w:rsidP="00B147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24A25" w:rsidP="00B147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24A25" w:rsidP="00B147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4A25" w:rsidP="00224A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7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25" w:rsidP="00B147BF">
    <w:pPr>
      <w:pStyle w:val="Header"/>
      <w:framePr w:wrap="around"/>
    </w:pPr>
    <w:r>
      <w:fldChar w:fldCharType="begin"/>
    </w:r>
    <w:r>
      <w:instrText xml:space="preserve"> TITLE   \* MERGEFORMAT </w:instrText>
    </w:r>
    <w:r>
      <w:fldChar w:fldCharType="separate"/>
    </w:r>
    <w:r>
      <w:t>HLTDT510C Construct crown and bridge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4A25" w:rsidP="00B147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4E2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1AD4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FA27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7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47BF"/>
    <w:pPr>
      <w:spacing w:before="360" w:after="60"/>
      <w:outlineLvl w:val="0"/>
    </w:pPr>
    <w:rPr>
      <w:sz w:val="32"/>
    </w:rPr>
  </w:style>
  <w:style w:type="paragraph" w:styleId="Heading2">
    <w:name w:val="heading 2"/>
    <w:basedOn w:val="HeadingBase"/>
    <w:next w:val="BodyText"/>
    <w:link w:val="Heading2Char"/>
    <w:qFormat/>
    <w:rsid w:val="00B147BF"/>
    <w:pPr>
      <w:keepLines/>
      <w:spacing w:before="240" w:after="120"/>
      <w:outlineLvl w:val="1"/>
    </w:pPr>
    <w:rPr>
      <w:sz w:val="28"/>
      <w:szCs w:val="40"/>
    </w:rPr>
  </w:style>
  <w:style w:type="paragraph" w:styleId="Heading3">
    <w:name w:val="heading 3"/>
    <w:basedOn w:val="HeadingBase"/>
    <w:next w:val="BodyText"/>
    <w:link w:val="Heading3Char"/>
    <w:qFormat/>
    <w:rsid w:val="00B147BF"/>
    <w:pPr>
      <w:spacing w:before="180" w:after="120"/>
      <w:outlineLvl w:val="2"/>
    </w:pPr>
    <w:rPr>
      <w:spacing w:val="-10"/>
      <w:kern w:val="32"/>
    </w:rPr>
  </w:style>
  <w:style w:type="paragraph" w:styleId="Heading4">
    <w:name w:val="heading 4"/>
    <w:basedOn w:val="HeadingBase"/>
    <w:next w:val="BodyText"/>
    <w:link w:val="Heading4Char"/>
    <w:qFormat/>
    <w:rsid w:val="00B147BF"/>
    <w:pPr>
      <w:spacing w:before="160" w:after="120"/>
      <w:outlineLvl w:val="3"/>
    </w:pPr>
    <w:rPr>
      <w:sz w:val="22"/>
    </w:rPr>
  </w:style>
  <w:style w:type="paragraph" w:styleId="Heading5">
    <w:name w:val="heading 5"/>
    <w:basedOn w:val="HeadingBase"/>
    <w:next w:val="Normal"/>
    <w:link w:val="Heading5Char"/>
    <w:qFormat/>
    <w:rsid w:val="00B147BF"/>
    <w:pPr>
      <w:spacing w:before="80"/>
      <w:outlineLvl w:val="4"/>
    </w:pPr>
    <w:rPr>
      <w:color w:val="918585"/>
      <w:sz w:val="20"/>
    </w:rPr>
  </w:style>
  <w:style w:type="paragraph" w:styleId="Heading6">
    <w:name w:val="heading 6"/>
    <w:basedOn w:val="HeadingBase"/>
    <w:next w:val="Normal"/>
    <w:link w:val="Heading6Char"/>
    <w:qFormat/>
    <w:rsid w:val="00B147BF"/>
    <w:pPr>
      <w:spacing w:before="60"/>
      <w:outlineLvl w:val="5"/>
    </w:pPr>
    <w:rPr>
      <w:color w:val="918585"/>
      <w:sz w:val="20"/>
    </w:rPr>
  </w:style>
  <w:style w:type="paragraph" w:styleId="Heading7">
    <w:name w:val="heading 7"/>
    <w:basedOn w:val="Normal"/>
    <w:next w:val="Normal"/>
    <w:link w:val="Heading7Char"/>
    <w:qFormat/>
    <w:rsid w:val="00B147BF"/>
    <w:pPr>
      <w:ind w:left="720"/>
      <w:outlineLvl w:val="6"/>
    </w:pPr>
    <w:rPr>
      <w:i/>
    </w:rPr>
  </w:style>
  <w:style w:type="paragraph" w:styleId="Heading8">
    <w:name w:val="heading 8"/>
    <w:basedOn w:val="Normal"/>
    <w:next w:val="Normal"/>
    <w:link w:val="Heading8Char"/>
    <w:qFormat/>
    <w:rsid w:val="00B147BF"/>
    <w:pPr>
      <w:ind w:left="720"/>
      <w:outlineLvl w:val="7"/>
    </w:pPr>
    <w:rPr>
      <w:i/>
    </w:rPr>
  </w:style>
  <w:style w:type="paragraph" w:styleId="Heading9">
    <w:name w:val="heading 9"/>
    <w:basedOn w:val="Normal"/>
    <w:next w:val="Normal"/>
    <w:link w:val="Heading9Char"/>
    <w:qFormat/>
    <w:rsid w:val="00B147BF"/>
    <w:pPr>
      <w:ind w:left="720"/>
      <w:outlineLvl w:val="8"/>
    </w:pPr>
    <w:rPr>
      <w:i/>
    </w:rPr>
  </w:style>
  <w:style w:type="character" w:default="1" w:styleId="DefaultParagraphFont">
    <w:name w:val="Default Paragraph Font"/>
    <w:uiPriority w:val="1"/>
    <w:unhideWhenUsed/>
    <w:rsid w:val="00B147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7BF"/>
  </w:style>
  <w:style w:type="character" w:customStyle="1" w:styleId="Heading1Char">
    <w:name w:val="Heading 1 Char"/>
    <w:basedOn w:val="DefaultParagraphFont"/>
    <w:link w:val="Heading1"/>
    <w:rsid w:val="00B147BF"/>
    <w:rPr>
      <w:rFonts w:ascii="Times New Roman" w:eastAsia="Times New Roman" w:hAnsi="Times New Roman" w:cs="Times New Roman"/>
      <w:b/>
      <w:sz w:val="32"/>
      <w:szCs w:val="20"/>
      <w:lang w:eastAsia="en-US"/>
    </w:rPr>
  </w:style>
  <w:style w:type="paragraph" w:styleId="BodyText">
    <w:name w:val="Body Text"/>
    <w:basedOn w:val="Normal"/>
    <w:link w:val="BodyTextChar"/>
    <w:rsid w:val="00B147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47BF"/>
    <w:rPr>
      <w:rFonts w:ascii="Times New Roman" w:eastAsia="Times New Roman" w:hAnsi="Times New Roman" w:cs="Times New Roman"/>
      <w:sz w:val="24"/>
      <w:lang w:val="en-US" w:eastAsia="en-US"/>
    </w:rPr>
  </w:style>
  <w:style w:type="paragraph" w:styleId="Footer">
    <w:name w:val="footer"/>
    <w:basedOn w:val="Normal"/>
    <w:link w:val="FooterChar"/>
    <w:rsid w:val="00B147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7BF"/>
    <w:rPr>
      <w:rFonts w:ascii="Times New Roman" w:eastAsia="Times New Roman" w:hAnsi="Times New Roman" w:cs="Times New Roman"/>
      <w:sz w:val="16"/>
      <w:lang w:val="en-US" w:eastAsia="en-US"/>
    </w:rPr>
  </w:style>
  <w:style w:type="paragraph" w:styleId="List">
    <w:name w:val="List"/>
    <w:basedOn w:val="BodyText"/>
    <w:next w:val="BodyText"/>
    <w:rsid w:val="00B147BF"/>
    <w:pPr>
      <w:tabs>
        <w:tab w:val="left" w:pos="340"/>
      </w:tabs>
      <w:spacing w:before="60" w:after="60"/>
      <w:ind w:left="340" w:hanging="340"/>
    </w:pPr>
  </w:style>
  <w:style w:type="paragraph" w:styleId="ListBullet">
    <w:name w:val="List Bullet"/>
    <w:basedOn w:val="List"/>
    <w:rsid w:val="00B147BF"/>
    <w:pPr>
      <w:numPr>
        <w:numId w:val="13"/>
      </w:numPr>
      <w:tabs>
        <w:tab w:val="clear" w:pos="340"/>
      </w:tabs>
      <w:spacing w:before="40" w:after="40"/>
    </w:pPr>
  </w:style>
  <w:style w:type="character" w:customStyle="1" w:styleId="SpecialBold">
    <w:name w:val="Special Bold"/>
    <w:basedOn w:val="DefaultParagraphFont"/>
    <w:rsid w:val="00B147BF"/>
    <w:rPr>
      <w:b/>
      <w:spacing w:val="0"/>
    </w:rPr>
  </w:style>
  <w:style w:type="paragraph" w:styleId="ListBullet2">
    <w:name w:val="List Bullet 2"/>
    <w:basedOn w:val="List2"/>
    <w:rsid w:val="00B147BF"/>
    <w:pPr>
      <w:numPr>
        <w:numId w:val="14"/>
      </w:numPr>
      <w:tabs>
        <w:tab w:val="clear" w:pos="680"/>
      </w:tabs>
    </w:pPr>
  </w:style>
  <w:style w:type="paragraph" w:styleId="Header">
    <w:name w:val="header"/>
    <w:basedOn w:val="Normal"/>
    <w:link w:val="HeaderChar"/>
    <w:rsid w:val="00B147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7B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147BF"/>
    <w:rPr>
      <w:i/>
    </w:rPr>
  </w:style>
  <w:style w:type="paragraph" w:customStyle="1" w:styleId="SuperHeading">
    <w:name w:val="SuperHeading"/>
    <w:basedOn w:val="Normal"/>
    <w:rsid w:val="00B147BF"/>
    <w:pPr>
      <w:spacing w:before="240" w:after="120"/>
      <w:outlineLvl w:val="0"/>
    </w:pPr>
    <w:rPr>
      <w:rFonts w:ascii="Times New Roman" w:hAnsi="Times New Roman"/>
      <w:b/>
      <w:sz w:val="28"/>
    </w:rPr>
  </w:style>
  <w:style w:type="paragraph" w:customStyle="1" w:styleId="AllowPageBreak">
    <w:name w:val="AllowPageBreak"/>
    <w:rsid w:val="00B147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7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7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7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7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7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7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47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47BF"/>
    <w:rPr>
      <w:rFonts w:ascii="Courier New" w:eastAsia="Times New Roman" w:hAnsi="Courier New" w:cs="Times New Roman"/>
      <w:i/>
      <w:szCs w:val="20"/>
      <w:lang w:val="en-US" w:eastAsia="en-US"/>
    </w:rPr>
  </w:style>
  <w:style w:type="paragraph" w:customStyle="1" w:styleId="HeadingBase">
    <w:name w:val="Heading Base"/>
    <w:rsid w:val="00B147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7BF"/>
    <w:pPr>
      <w:tabs>
        <w:tab w:val="right" w:leader="dot" w:pos="9072"/>
      </w:tabs>
      <w:ind w:left="567"/>
    </w:pPr>
    <w:rPr>
      <w:szCs w:val="22"/>
    </w:rPr>
  </w:style>
  <w:style w:type="paragraph" w:customStyle="1" w:styleId="TOCBase">
    <w:name w:val="TOC Base"/>
    <w:rsid w:val="00B147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7BF"/>
    <w:pPr>
      <w:tabs>
        <w:tab w:val="right" w:leader="dot" w:pos="9072"/>
      </w:tabs>
      <w:spacing w:before="40" w:after="40"/>
      <w:ind w:left="284"/>
    </w:pPr>
    <w:rPr>
      <w:rFonts w:ascii="Times New Roman" w:hAnsi="Times New Roman"/>
    </w:rPr>
  </w:style>
  <w:style w:type="paragraph" w:styleId="TOC1">
    <w:name w:val="toc 1"/>
    <w:basedOn w:val="TOCBase"/>
    <w:next w:val="Normal"/>
    <w:rsid w:val="00B147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47BF"/>
    <w:pPr>
      <w:spacing w:before="5040"/>
      <w:jc w:val="center"/>
    </w:pPr>
    <w:rPr>
      <w:sz w:val="48"/>
      <w:szCs w:val="72"/>
      <w:lang w:val="en-US"/>
    </w:rPr>
  </w:style>
  <w:style w:type="character" w:customStyle="1" w:styleId="TitleChar">
    <w:name w:val="Title Char"/>
    <w:basedOn w:val="DefaultParagraphFont"/>
    <w:link w:val="Title"/>
    <w:rsid w:val="00B147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7BF"/>
    <w:pPr>
      <w:tabs>
        <w:tab w:val="left" w:pos="3600"/>
        <w:tab w:val="left" w:pos="3958"/>
      </w:tabs>
    </w:pPr>
  </w:style>
  <w:style w:type="paragraph" w:customStyle="1" w:styleId="Note">
    <w:name w:val="Note"/>
    <w:basedOn w:val="BodyText"/>
    <w:rsid w:val="00B147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7BF"/>
    <w:pPr>
      <w:framePr w:wrap="auto" w:hAnchor="text" w:y="6049"/>
    </w:pPr>
    <w:rPr>
      <w:color w:val="000000"/>
      <w:sz w:val="40"/>
    </w:rPr>
  </w:style>
  <w:style w:type="paragraph" w:customStyle="1" w:styleId="TOCTitle">
    <w:name w:val="TOCTitle"/>
    <w:basedOn w:val="Heading1"/>
    <w:rsid w:val="00B147BF"/>
    <w:pPr>
      <w:spacing w:after="240"/>
      <w:jc w:val="center"/>
      <w:outlineLvl w:val="9"/>
    </w:pPr>
    <w:rPr>
      <w:caps/>
    </w:rPr>
  </w:style>
  <w:style w:type="paragraph" w:customStyle="1" w:styleId="Version">
    <w:name w:val="Version"/>
    <w:rsid w:val="00B147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7BF"/>
    <w:pPr>
      <w:keepNext w:val="0"/>
      <w:tabs>
        <w:tab w:val="right" w:pos="4176"/>
      </w:tabs>
      <w:ind w:left="198" w:hanging="198"/>
    </w:pPr>
    <w:rPr>
      <w:rFonts w:ascii="Garamond" w:hAnsi="Garamond"/>
    </w:rPr>
  </w:style>
  <w:style w:type="paragraph" w:styleId="IndexHeading">
    <w:name w:val="index heading"/>
    <w:basedOn w:val="Normal"/>
    <w:next w:val="Index1"/>
    <w:semiHidden/>
    <w:rsid w:val="00B147BF"/>
    <w:pPr>
      <w:spacing w:before="120" w:after="120"/>
    </w:pPr>
    <w:rPr>
      <w:rFonts w:ascii="Arial" w:hAnsi="Arial"/>
      <w:b/>
      <w:color w:val="918585"/>
      <w:sz w:val="24"/>
    </w:rPr>
  </w:style>
  <w:style w:type="paragraph" w:customStyle="1" w:styleId="Chapter">
    <w:name w:val="Chapter"/>
    <w:basedOn w:val="Normal"/>
    <w:rsid w:val="00B147BF"/>
    <w:pPr>
      <w:spacing w:before="240"/>
    </w:pPr>
    <w:rPr>
      <w:rFonts w:ascii="Times New Roman" w:hAnsi="Times New Roman"/>
      <w:smallCaps/>
      <w:spacing w:val="80"/>
      <w:sz w:val="28"/>
    </w:rPr>
  </w:style>
  <w:style w:type="paragraph" w:customStyle="1" w:styleId="InChapter">
    <w:name w:val="InChapter"/>
    <w:basedOn w:val="Heading3"/>
    <w:rsid w:val="00B147BF"/>
    <w:pPr>
      <w:spacing w:after="240"/>
      <w:outlineLvl w:val="9"/>
    </w:pPr>
    <w:rPr>
      <w:noProof/>
    </w:rPr>
  </w:style>
  <w:style w:type="paragraph" w:styleId="Index2">
    <w:name w:val="index 2"/>
    <w:basedOn w:val="Normal"/>
    <w:next w:val="Normal"/>
    <w:semiHidden/>
    <w:rsid w:val="00B147BF"/>
    <w:pPr>
      <w:tabs>
        <w:tab w:val="right" w:pos="4176"/>
      </w:tabs>
      <w:ind w:left="568" w:hanging="284"/>
    </w:pPr>
    <w:rPr>
      <w:rFonts w:ascii="Garamond" w:hAnsi="Garamond"/>
    </w:rPr>
  </w:style>
  <w:style w:type="paragraph" w:customStyle="1" w:styleId="Byline">
    <w:name w:val="Byline"/>
    <w:rsid w:val="00B147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7BF"/>
    <w:pPr>
      <w:tabs>
        <w:tab w:val="clear" w:pos="3600"/>
        <w:tab w:val="clear" w:pos="3958"/>
      </w:tabs>
      <w:jc w:val="right"/>
    </w:pPr>
  </w:style>
  <w:style w:type="paragraph" w:styleId="Caption">
    <w:name w:val="caption"/>
    <w:basedOn w:val="BodyText"/>
    <w:next w:val="Normal"/>
    <w:qFormat/>
    <w:rsid w:val="00B147BF"/>
    <w:pPr>
      <w:framePr w:w="2268" w:hSpace="181" w:vSpace="181" w:wrap="around" w:vAnchor="text" w:hAnchor="page" w:x="1135" w:y="285" w:anchorLock="1"/>
    </w:pPr>
    <w:rPr>
      <w:i/>
    </w:rPr>
  </w:style>
  <w:style w:type="paragraph" w:customStyle="1" w:styleId="MiniTOCTitle">
    <w:name w:val="MiniTOCTitle"/>
    <w:basedOn w:val="Heading4"/>
    <w:rsid w:val="00B147BF"/>
    <w:pPr>
      <w:spacing w:before="240"/>
      <w:outlineLvl w:val="9"/>
    </w:pPr>
    <w:rPr>
      <w:noProof/>
      <w:sz w:val="24"/>
    </w:rPr>
  </w:style>
  <w:style w:type="paragraph" w:customStyle="1" w:styleId="MiniTOCItem">
    <w:name w:val="MiniTOCItem"/>
    <w:basedOn w:val="ListBullet"/>
    <w:rsid w:val="00B147BF"/>
    <w:pPr>
      <w:numPr>
        <w:numId w:val="0"/>
      </w:numPr>
      <w:tabs>
        <w:tab w:val="right" w:leader="dot" w:pos="6521"/>
      </w:tabs>
      <w:spacing w:before="0" w:after="0"/>
    </w:pPr>
  </w:style>
  <w:style w:type="paragraph" w:customStyle="1" w:styleId="TOFTitle">
    <w:name w:val="TOFTitle"/>
    <w:basedOn w:val="TOCTitle"/>
    <w:rsid w:val="00B147BF"/>
  </w:style>
  <w:style w:type="paragraph" w:styleId="TableofFigures">
    <w:name w:val="table of figures"/>
    <w:basedOn w:val="Normal"/>
    <w:next w:val="Normal"/>
    <w:semiHidden/>
    <w:rsid w:val="00B147BF"/>
    <w:pPr>
      <w:tabs>
        <w:tab w:val="right" w:leader="dot" w:pos="9072"/>
      </w:tabs>
      <w:ind w:left="970" w:hanging="403"/>
    </w:pPr>
    <w:rPr>
      <w:rFonts w:ascii="Times New Roman" w:hAnsi="Times New Roman"/>
      <w:b/>
    </w:rPr>
  </w:style>
  <w:style w:type="paragraph" w:styleId="ListNumber">
    <w:name w:val="List Number"/>
    <w:basedOn w:val="List"/>
    <w:rsid w:val="00B147BF"/>
    <w:pPr>
      <w:numPr>
        <w:numId w:val="11"/>
      </w:numPr>
    </w:pPr>
  </w:style>
  <w:style w:type="character" w:customStyle="1" w:styleId="WingdingSymbols">
    <w:name w:val="Wingding Symbols"/>
    <w:rsid w:val="00B147BF"/>
    <w:rPr>
      <w:rFonts w:ascii="Wingdings" w:hAnsi="Wingdings"/>
    </w:rPr>
  </w:style>
  <w:style w:type="paragraph" w:customStyle="1" w:styleId="TableHeading">
    <w:name w:val="Table Heading"/>
    <w:basedOn w:val="HeadingBase"/>
    <w:rsid w:val="00B147BF"/>
    <w:pPr>
      <w:keepLines/>
      <w:pBdr>
        <w:bottom w:val="single" w:sz="6" w:space="1" w:color="918585"/>
      </w:pBdr>
      <w:spacing w:before="240"/>
    </w:pPr>
  </w:style>
  <w:style w:type="character" w:customStyle="1" w:styleId="HotSpot">
    <w:name w:val="HotSpot"/>
    <w:rsid w:val="00B147BF"/>
    <w:rPr>
      <w:color w:val="0033CC"/>
      <w:u w:val="none"/>
    </w:rPr>
  </w:style>
  <w:style w:type="paragraph" w:customStyle="1" w:styleId="BodyTextRight">
    <w:name w:val="Body Text Right"/>
    <w:basedOn w:val="BodyText"/>
    <w:rsid w:val="00B147BF"/>
    <w:pPr>
      <w:spacing w:before="0" w:after="0"/>
      <w:jc w:val="right"/>
    </w:pPr>
  </w:style>
  <w:style w:type="paragraph" w:styleId="Index3">
    <w:name w:val="index 3"/>
    <w:basedOn w:val="ListNumber2"/>
    <w:next w:val="Normal"/>
    <w:semiHidden/>
    <w:rsid w:val="00B147BF"/>
    <w:pPr>
      <w:numPr>
        <w:numId w:val="0"/>
      </w:numPr>
      <w:tabs>
        <w:tab w:val="right" w:leader="dot" w:pos="4176"/>
      </w:tabs>
    </w:pPr>
  </w:style>
  <w:style w:type="paragraph" w:styleId="ListNumber2">
    <w:name w:val="List Number 2"/>
    <w:basedOn w:val="List2"/>
    <w:rsid w:val="00B147BF"/>
    <w:pPr>
      <w:numPr>
        <w:numId w:val="10"/>
      </w:numPr>
      <w:tabs>
        <w:tab w:val="clear" w:pos="1060"/>
      </w:tabs>
    </w:pPr>
  </w:style>
  <w:style w:type="paragraph" w:customStyle="1" w:styleId="MarginNote">
    <w:name w:val="Margin Note"/>
    <w:basedOn w:val="BodyText"/>
    <w:rsid w:val="00B147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7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7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47BF"/>
    <w:rPr>
      <w:sz w:val="32"/>
    </w:rPr>
  </w:style>
  <w:style w:type="paragraph" w:customStyle="1" w:styleId="HeadingProcedure">
    <w:name w:val="Heading Procedure"/>
    <w:basedOn w:val="HeadingBase"/>
    <w:next w:val="Normal"/>
    <w:rsid w:val="00B147BF"/>
    <w:pPr>
      <w:tabs>
        <w:tab w:val="left" w:pos="0"/>
      </w:tabs>
      <w:spacing w:before="120" w:after="60"/>
    </w:pPr>
    <w:rPr>
      <w:i/>
      <w:color w:val="918585"/>
      <w:sz w:val="22"/>
    </w:rPr>
  </w:style>
  <w:style w:type="paragraph" w:customStyle="1" w:styleId="TableBodyText">
    <w:name w:val="Table Body Text"/>
    <w:basedOn w:val="BodyText"/>
    <w:rsid w:val="00B147BF"/>
    <w:pPr>
      <w:spacing w:before="60" w:after="60"/>
    </w:pPr>
  </w:style>
  <w:style w:type="paragraph" w:styleId="ListContinue">
    <w:name w:val="List Continue"/>
    <w:basedOn w:val="List"/>
    <w:rsid w:val="00B147BF"/>
    <w:pPr>
      <w:ind w:firstLine="0"/>
    </w:pPr>
  </w:style>
  <w:style w:type="paragraph" w:customStyle="1" w:styleId="ListNote">
    <w:name w:val="List Note"/>
    <w:basedOn w:val="List"/>
    <w:rsid w:val="00B147BF"/>
    <w:pPr>
      <w:pBdr>
        <w:top w:val="single" w:sz="6" w:space="2" w:color="918585"/>
        <w:bottom w:val="single" w:sz="6" w:space="2" w:color="918585"/>
      </w:pBdr>
      <w:tabs>
        <w:tab w:val="left" w:pos="1021"/>
      </w:tabs>
      <w:ind w:firstLine="0"/>
    </w:pPr>
  </w:style>
  <w:style w:type="paragraph" w:customStyle="1" w:styleId="Warning">
    <w:name w:val="Warning"/>
    <w:basedOn w:val="BodyText"/>
    <w:rsid w:val="00B147BF"/>
    <w:pPr>
      <w:shd w:val="clear" w:color="auto" w:fill="D9D9D9"/>
      <w:tabs>
        <w:tab w:val="left" w:pos="992"/>
      </w:tabs>
      <w:ind w:left="119" w:right="119"/>
    </w:pPr>
    <w:rPr>
      <w:sz w:val="20"/>
    </w:rPr>
  </w:style>
  <w:style w:type="paragraph" w:customStyle="1" w:styleId="MarginIcons">
    <w:name w:val="Margin Icons"/>
    <w:basedOn w:val="BodyText"/>
    <w:rsid w:val="00B147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7BF"/>
    <w:rPr>
      <w:rFonts w:ascii="Courier New" w:hAnsi="Courier New"/>
    </w:rPr>
  </w:style>
  <w:style w:type="paragraph" w:customStyle="1" w:styleId="NoteBullet">
    <w:name w:val="Note Bullet"/>
    <w:basedOn w:val="Note"/>
    <w:rsid w:val="00B147BF"/>
    <w:pPr>
      <w:tabs>
        <w:tab w:val="clear" w:pos="680"/>
      </w:tabs>
      <w:spacing w:before="60" w:after="60"/>
    </w:pPr>
  </w:style>
  <w:style w:type="paragraph" w:customStyle="1" w:styleId="SubHeading2">
    <w:name w:val="SubHeading2"/>
    <w:basedOn w:val="HeadingBase"/>
    <w:rsid w:val="00B147BF"/>
    <w:pPr>
      <w:spacing w:before="240" w:after="60"/>
    </w:pPr>
    <w:rPr>
      <w:sz w:val="20"/>
    </w:rPr>
  </w:style>
  <w:style w:type="paragraph" w:customStyle="1" w:styleId="SubHeading1">
    <w:name w:val="SubHeading1"/>
    <w:basedOn w:val="HeadingBase"/>
    <w:rsid w:val="00B147BF"/>
    <w:pPr>
      <w:spacing w:before="240" w:after="60"/>
    </w:pPr>
    <w:rPr>
      <w:color w:val="918585"/>
      <w:sz w:val="22"/>
    </w:rPr>
  </w:style>
  <w:style w:type="paragraph" w:customStyle="1" w:styleId="SideHeading">
    <w:name w:val="Side Heading"/>
    <w:basedOn w:val="HeadingBase"/>
    <w:rsid w:val="00B147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7BF"/>
    <w:pPr>
      <w:numPr>
        <w:numId w:val="12"/>
      </w:numPr>
    </w:pPr>
  </w:style>
  <w:style w:type="paragraph" w:styleId="PlainText">
    <w:name w:val="Plain Text"/>
    <w:basedOn w:val="Normal"/>
    <w:link w:val="PlainTextChar"/>
    <w:rsid w:val="00B147BF"/>
    <w:rPr>
      <w:sz w:val="20"/>
    </w:rPr>
  </w:style>
  <w:style w:type="character" w:customStyle="1" w:styleId="PlainTextChar">
    <w:name w:val="Plain Text Char"/>
    <w:basedOn w:val="DefaultParagraphFont"/>
    <w:link w:val="PlainText"/>
    <w:rsid w:val="00B147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47BF"/>
    <w:rPr>
      <w:b/>
      <w:smallCaps/>
    </w:rPr>
  </w:style>
  <w:style w:type="paragraph" w:customStyle="1" w:styleId="TableListNumber">
    <w:name w:val="Table List Number"/>
    <w:basedOn w:val="ListNumber"/>
    <w:rsid w:val="00B147BF"/>
    <w:pPr>
      <w:numPr>
        <w:numId w:val="0"/>
      </w:numPr>
    </w:pPr>
  </w:style>
  <w:style w:type="paragraph" w:styleId="TOC4">
    <w:name w:val="toc 4"/>
    <w:basedOn w:val="TOCBase"/>
    <w:next w:val="Normal"/>
    <w:semiHidden/>
    <w:rsid w:val="00B147BF"/>
    <w:pPr>
      <w:tabs>
        <w:tab w:val="right" w:leader="dot" w:pos="9071"/>
      </w:tabs>
      <w:ind w:left="1701"/>
    </w:pPr>
  </w:style>
  <w:style w:type="paragraph" w:customStyle="1" w:styleId="ListAlpha">
    <w:name w:val="List Alpha"/>
    <w:basedOn w:val="List"/>
    <w:rsid w:val="00B147BF"/>
    <w:pPr>
      <w:numPr>
        <w:numId w:val="9"/>
      </w:numPr>
    </w:pPr>
  </w:style>
  <w:style w:type="paragraph" w:customStyle="1" w:styleId="ListAlpha2">
    <w:name w:val="List Alpha 2"/>
    <w:basedOn w:val="List2"/>
    <w:rsid w:val="00B147BF"/>
    <w:pPr>
      <w:numPr>
        <w:numId w:val="8"/>
      </w:numPr>
    </w:pPr>
  </w:style>
  <w:style w:type="paragraph" w:styleId="List2">
    <w:name w:val="List 2"/>
    <w:basedOn w:val="BodyText"/>
    <w:rsid w:val="00B147BF"/>
    <w:pPr>
      <w:tabs>
        <w:tab w:val="left" w:pos="680"/>
      </w:tabs>
      <w:spacing w:before="60" w:after="60"/>
      <w:ind w:left="680" w:hanging="340"/>
    </w:pPr>
  </w:style>
  <w:style w:type="paragraph" w:styleId="List3">
    <w:name w:val="List 3"/>
    <w:basedOn w:val="BodyText"/>
    <w:rsid w:val="00B147BF"/>
    <w:pPr>
      <w:tabs>
        <w:tab w:val="left" w:pos="1021"/>
      </w:tabs>
      <w:spacing w:before="60" w:after="60"/>
      <w:ind w:left="1020" w:hanging="340"/>
    </w:pPr>
  </w:style>
  <w:style w:type="paragraph" w:styleId="List4">
    <w:name w:val="List 4"/>
    <w:basedOn w:val="BodyText"/>
    <w:rsid w:val="00B147BF"/>
    <w:pPr>
      <w:tabs>
        <w:tab w:val="left" w:pos="1361"/>
      </w:tabs>
      <w:spacing w:before="60" w:after="60"/>
      <w:ind w:left="1361" w:hanging="340"/>
    </w:pPr>
  </w:style>
  <w:style w:type="paragraph" w:styleId="List5">
    <w:name w:val="List 5"/>
    <w:basedOn w:val="BodyText"/>
    <w:rsid w:val="00B147BF"/>
    <w:pPr>
      <w:tabs>
        <w:tab w:val="left" w:pos="1701"/>
      </w:tabs>
      <w:spacing w:before="60" w:after="60"/>
      <w:ind w:left="1701" w:hanging="340"/>
    </w:pPr>
  </w:style>
  <w:style w:type="paragraph" w:styleId="ListBullet3">
    <w:name w:val="List Bullet 3"/>
    <w:basedOn w:val="List3"/>
    <w:rsid w:val="00B147BF"/>
    <w:pPr>
      <w:numPr>
        <w:numId w:val="15"/>
      </w:numPr>
      <w:tabs>
        <w:tab w:val="clear" w:pos="1021"/>
      </w:tabs>
      <w:ind w:left="1037" w:hanging="357"/>
    </w:pPr>
  </w:style>
  <w:style w:type="paragraph" w:styleId="ListBullet4">
    <w:name w:val="List Bullet 4"/>
    <w:basedOn w:val="List4"/>
    <w:rsid w:val="00B147BF"/>
    <w:pPr>
      <w:numPr>
        <w:numId w:val="3"/>
      </w:numPr>
    </w:pPr>
  </w:style>
  <w:style w:type="paragraph" w:styleId="ListBullet5">
    <w:name w:val="List Bullet 5"/>
    <w:basedOn w:val="List5"/>
    <w:rsid w:val="00B147BF"/>
    <w:pPr>
      <w:numPr>
        <w:numId w:val="4"/>
      </w:numPr>
    </w:pPr>
  </w:style>
  <w:style w:type="paragraph" w:styleId="ListContinue2">
    <w:name w:val="List Continue 2"/>
    <w:basedOn w:val="List2"/>
    <w:rsid w:val="00B147BF"/>
    <w:pPr>
      <w:ind w:firstLine="0"/>
    </w:pPr>
  </w:style>
  <w:style w:type="paragraph" w:styleId="ListContinue3">
    <w:name w:val="List Continue 3"/>
    <w:basedOn w:val="List3"/>
    <w:rsid w:val="00B147BF"/>
    <w:pPr>
      <w:ind w:left="1021" w:firstLine="0"/>
    </w:pPr>
  </w:style>
  <w:style w:type="paragraph" w:styleId="ListContinue4">
    <w:name w:val="List Continue 4"/>
    <w:basedOn w:val="List4"/>
    <w:rsid w:val="00B147BF"/>
    <w:pPr>
      <w:ind w:firstLine="0"/>
    </w:pPr>
  </w:style>
  <w:style w:type="paragraph" w:styleId="ListContinue5">
    <w:name w:val="List Continue 5"/>
    <w:basedOn w:val="List5"/>
    <w:rsid w:val="00B147BF"/>
    <w:pPr>
      <w:ind w:firstLine="0"/>
    </w:pPr>
  </w:style>
  <w:style w:type="paragraph" w:styleId="ListNumber3">
    <w:name w:val="List Number 3"/>
    <w:basedOn w:val="List3"/>
    <w:rsid w:val="00B147BF"/>
    <w:pPr>
      <w:numPr>
        <w:numId w:val="5"/>
      </w:numPr>
    </w:pPr>
  </w:style>
  <w:style w:type="paragraph" w:styleId="ListNumber4">
    <w:name w:val="List Number 4"/>
    <w:basedOn w:val="List4"/>
    <w:rsid w:val="00B147BF"/>
    <w:pPr>
      <w:numPr>
        <w:numId w:val="6"/>
      </w:numPr>
    </w:pPr>
  </w:style>
  <w:style w:type="paragraph" w:styleId="ListNumber5">
    <w:name w:val="List Number 5"/>
    <w:basedOn w:val="List5"/>
    <w:rsid w:val="00B147BF"/>
    <w:pPr>
      <w:numPr>
        <w:numId w:val="7"/>
      </w:numPr>
    </w:pPr>
  </w:style>
  <w:style w:type="paragraph" w:styleId="BlockText">
    <w:name w:val="Block Text"/>
    <w:basedOn w:val="Normal"/>
    <w:rsid w:val="00B147BF"/>
    <w:pPr>
      <w:spacing w:after="120"/>
      <w:ind w:left="1440" w:right="1440"/>
    </w:pPr>
  </w:style>
  <w:style w:type="character" w:customStyle="1" w:styleId="Subscript">
    <w:name w:val="Subscript"/>
    <w:basedOn w:val="DefaultParagraphFont"/>
    <w:rsid w:val="00B147BF"/>
    <w:rPr>
      <w:sz w:val="16"/>
      <w:vertAlign w:val="subscript"/>
    </w:rPr>
  </w:style>
  <w:style w:type="character" w:customStyle="1" w:styleId="Superscript">
    <w:name w:val="Superscript"/>
    <w:basedOn w:val="DefaultParagraphFont"/>
    <w:rsid w:val="00B147BF"/>
    <w:rPr>
      <w:sz w:val="16"/>
      <w:vertAlign w:val="superscript"/>
    </w:rPr>
  </w:style>
  <w:style w:type="character" w:customStyle="1" w:styleId="Symbols">
    <w:name w:val="Symbols"/>
    <w:basedOn w:val="DefaultParagraphFont"/>
    <w:rsid w:val="00B147BF"/>
    <w:rPr>
      <w:rFonts w:ascii="Symbol" w:hAnsi="Symbol"/>
    </w:rPr>
  </w:style>
  <w:style w:type="character" w:customStyle="1" w:styleId="MenuOptions">
    <w:name w:val="Menu Options"/>
    <w:basedOn w:val="DefaultParagraphFont"/>
    <w:rsid w:val="00B147BF"/>
    <w:rPr>
      <w:rFonts w:ascii="Arial Narrow" w:hAnsi="Arial Narrow"/>
      <w:smallCaps/>
    </w:rPr>
  </w:style>
  <w:style w:type="character" w:customStyle="1" w:styleId="Buttons">
    <w:name w:val="Buttons"/>
    <w:basedOn w:val="DefaultParagraphFont"/>
    <w:rsid w:val="00B147BF"/>
    <w:rPr>
      <w:b/>
    </w:rPr>
  </w:style>
  <w:style w:type="character" w:customStyle="1" w:styleId="Underlined">
    <w:name w:val="Underlined"/>
    <w:basedOn w:val="DefaultParagraphFont"/>
    <w:rsid w:val="00B147BF"/>
    <w:rPr>
      <w:u w:val="single"/>
    </w:rPr>
  </w:style>
  <w:style w:type="paragraph" w:customStyle="1" w:styleId="TableBodyTextRight">
    <w:name w:val="Table Body Text Right"/>
    <w:basedOn w:val="TableBodyText"/>
    <w:rsid w:val="00B147BF"/>
    <w:pPr>
      <w:widowControl w:val="0"/>
      <w:autoSpaceDE w:val="0"/>
      <w:autoSpaceDN w:val="0"/>
      <w:adjustRightInd w:val="0"/>
      <w:jc w:val="right"/>
    </w:pPr>
    <w:rPr>
      <w:rFonts w:cs="Arial"/>
      <w:szCs w:val="18"/>
    </w:rPr>
  </w:style>
  <w:style w:type="paragraph" w:customStyle="1" w:styleId="CopyrightText">
    <w:name w:val="Copyright Text"/>
    <w:basedOn w:val="BodyText"/>
    <w:rsid w:val="00B147BF"/>
    <w:rPr>
      <w:sz w:val="18"/>
    </w:rPr>
  </w:style>
  <w:style w:type="paragraph" w:customStyle="1" w:styleId="BodySmallRight">
    <w:name w:val="Body Small Right"/>
    <w:basedOn w:val="BodyTextRight"/>
    <w:rsid w:val="00B147BF"/>
    <w:rPr>
      <w:sz w:val="18"/>
      <w:szCs w:val="18"/>
    </w:rPr>
  </w:style>
  <w:style w:type="paragraph" w:customStyle="1" w:styleId="MarginEdition">
    <w:name w:val="Margin Edition"/>
    <w:basedOn w:val="MarginNote"/>
    <w:rsid w:val="00B147BF"/>
    <w:pPr>
      <w:spacing w:before="0" w:after="0"/>
    </w:pPr>
    <w:rPr>
      <w:rFonts w:ascii="Times New Roman" w:hAnsi="Times New Roman"/>
      <w:color w:val="999999"/>
    </w:rPr>
  </w:style>
  <w:style w:type="paragraph" w:customStyle="1" w:styleId="Spacer">
    <w:name w:val="Spacer"/>
    <w:basedOn w:val="Normal"/>
    <w:rsid w:val="00B147BF"/>
    <w:rPr>
      <w:sz w:val="2"/>
      <w:szCs w:val="2"/>
    </w:rPr>
  </w:style>
  <w:style w:type="character" w:customStyle="1" w:styleId="Small">
    <w:name w:val="Small"/>
    <w:basedOn w:val="DefaultParagraphFont"/>
    <w:rsid w:val="00B147BF"/>
    <w:rPr>
      <w:sz w:val="16"/>
    </w:rPr>
  </w:style>
  <w:style w:type="paragraph" w:customStyle="1" w:styleId="WideTable">
    <w:name w:val="Wide Table"/>
    <w:basedOn w:val="Normal"/>
    <w:rsid w:val="00B147BF"/>
    <w:pPr>
      <w:ind w:left="-1418"/>
    </w:pPr>
    <w:rPr>
      <w:sz w:val="2"/>
      <w:szCs w:val="2"/>
    </w:rPr>
  </w:style>
  <w:style w:type="character" w:styleId="PageNumber">
    <w:name w:val="page number"/>
    <w:basedOn w:val="DefaultParagraphFont"/>
    <w:rsid w:val="00B147BF"/>
  </w:style>
  <w:style w:type="paragraph" w:styleId="Quote">
    <w:name w:val="Quote"/>
    <w:basedOn w:val="Heading1"/>
    <w:link w:val="QuoteChar"/>
    <w:qFormat/>
    <w:rsid w:val="00B147BF"/>
    <w:rPr>
      <w:b w:val="0"/>
      <w:sz w:val="72"/>
      <w:szCs w:val="72"/>
      <w:lang w:val="en-NZ"/>
    </w:rPr>
  </w:style>
  <w:style w:type="character" w:customStyle="1" w:styleId="QuoteChar">
    <w:name w:val="Quote Char"/>
    <w:basedOn w:val="DefaultParagraphFont"/>
    <w:link w:val="Quote"/>
    <w:rsid w:val="00B147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7BF"/>
    <w:pPr>
      <w:pageBreakBefore/>
    </w:pPr>
  </w:style>
  <w:style w:type="paragraph" w:customStyle="1" w:styleId="Border">
    <w:name w:val="Border"/>
    <w:basedOn w:val="Normal"/>
    <w:qFormat/>
    <w:rsid w:val="00B147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7BF"/>
    <w:rPr>
      <w:b/>
      <w:bCs/>
      <w:i/>
      <w:iCs/>
      <w:color w:val="auto"/>
    </w:rPr>
  </w:style>
  <w:style w:type="paragraph" w:styleId="IntenseQuote">
    <w:name w:val="Intense Quote"/>
    <w:basedOn w:val="Normal"/>
    <w:next w:val="Normal"/>
    <w:link w:val="IntenseQuoteChar"/>
    <w:uiPriority w:val="30"/>
    <w:qFormat/>
    <w:rsid w:val="00B147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7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47BF"/>
    <w:rPr>
      <w:smallCaps/>
      <w:color w:val="auto"/>
      <w:u w:val="single"/>
    </w:rPr>
  </w:style>
  <w:style w:type="character" w:styleId="IntenseReference">
    <w:name w:val="Intense Reference"/>
    <w:basedOn w:val="DefaultParagraphFont"/>
    <w:uiPriority w:val="32"/>
    <w:qFormat/>
    <w:rsid w:val="00B147BF"/>
    <w:rPr>
      <w:b/>
      <w:bCs/>
      <w:smallCaps/>
      <w:color w:val="auto"/>
      <w:spacing w:val="5"/>
      <w:u w:val="single"/>
    </w:rPr>
  </w:style>
  <w:style w:type="paragraph" w:customStyle="1" w:styleId="2ColumnHeading">
    <w:name w:val="2Column Heading"/>
    <w:basedOn w:val="BodyText"/>
    <w:qFormat/>
    <w:rsid w:val="00B147BF"/>
    <w:pPr>
      <w:spacing w:after="60"/>
      <w:ind w:left="-2268"/>
    </w:pPr>
    <w:rPr>
      <w:b/>
    </w:rPr>
  </w:style>
  <w:style w:type="paragraph" w:customStyle="1" w:styleId="Heading1TOC">
    <w:name w:val="Heading1 TOC"/>
    <w:basedOn w:val="Normal"/>
    <w:qFormat/>
    <w:rsid w:val="00B147BF"/>
    <w:pPr>
      <w:spacing w:before="240" w:after="120"/>
    </w:pPr>
    <w:rPr>
      <w:rFonts w:ascii="Times New Roman" w:hAnsi="Times New Roman"/>
      <w:b/>
      <w:sz w:val="32"/>
    </w:rPr>
  </w:style>
  <w:style w:type="paragraph" w:customStyle="1" w:styleId="Heading2TOC">
    <w:name w:val="Heading2 TOC"/>
    <w:basedOn w:val="Normal"/>
    <w:qFormat/>
    <w:rsid w:val="00B147BF"/>
    <w:pPr>
      <w:spacing w:before="240" w:after="60"/>
    </w:pPr>
    <w:rPr>
      <w:rFonts w:ascii="Times New Roman" w:hAnsi="Times New Roman"/>
      <w:b/>
      <w:sz w:val="28"/>
    </w:rPr>
  </w:style>
  <w:style w:type="character" w:customStyle="1" w:styleId="Underline">
    <w:name w:val="Underline"/>
    <w:basedOn w:val="DefaultParagraphFont"/>
    <w:qFormat/>
    <w:rsid w:val="00B147BF"/>
    <w:rPr>
      <w:u w:val="single"/>
    </w:rPr>
  </w:style>
  <w:style w:type="character" w:customStyle="1" w:styleId="BoldandItalics">
    <w:name w:val="Bold and Italics"/>
    <w:qFormat/>
    <w:rsid w:val="00B147BF"/>
    <w:rPr>
      <w:b/>
      <w:i/>
      <w:u w:val="none"/>
    </w:rPr>
  </w:style>
  <w:style w:type="paragraph" w:styleId="BalloonText">
    <w:name w:val="Balloon Text"/>
    <w:basedOn w:val="Normal"/>
    <w:link w:val="BalloonTextChar"/>
    <w:rsid w:val="00B147BF"/>
    <w:rPr>
      <w:rFonts w:ascii="Tahoma" w:hAnsi="Tahoma" w:cs="Tahoma"/>
      <w:sz w:val="16"/>
      <w:szCs w:val="16"/>
    </w:rPr>
  </w:style>
  <w:style w:type="character" w:customStyle="1" w:styleId="BalloonTextChar">
    <w:name w:val="Balloon Text Char"/>
    <w:basedOn w:val="DefaultParagraphFont"/>
    <w:link w:val="BalloonText"/>
    <w:rsid w:val="00B147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47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47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1318</Words>
  <Characters>8218</Characters>
  <Application>Microsoft Office Word</Application>
  <DocSecurity>0</DocSecurity>
  <Lines>294</Lines>
  <Paragraphs>158</Paragraphs>
  <ScaleCrop>false</ScaleCrop>
  <Company>Author-it Software Corporation Ltd.</Company>
  <LinksUpToDate>false</LinksUpToDate>
  <CharactersWithSpaces>9474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HLTDT510C Construct crown and bridge structures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2012-05-27T00:20:00Z</dcterms:created>
  <dcterms:modified xsi:type="dcterms:W3CDTF">2012-05-27T00:20:00Z</dcterms:modified>
</cp:coreProperties>
</file>