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9F6" w:rsidP="000279F6">
      <w:pPr>
        <w:pStyle w:val="Title"/>
      </w:pPr>
      <w:r>
        <w:fldChar w:fldCharType="begin"/>
      </w:r>
      <w:r>
        <w:instrText xml:space="preserve"> TITLE   \* MERGEFORMAT </w:instrText>
      </w:r>
      <w:r>
        <w:fldChar w:fldCharType="separate"/>
      </w:r>
      <w:r>
        <w:t>HLTDT507C Construct immediate dentures</w:t>
      </w:r>
      <w:r>
        <w:fldChar w:fldCharType="end"/>
      </w:r>
    </w:p>
    <w:p w:rsidR="000279F6" w:rsidP="000279F6">
      <w:pPr>
        <w:pStyle w:val="Version"/>
        <w:sectPr w:rsidSect="00AA1E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1E2B" w:rsidP="00AA1E2B">
      <w:pPr>
        <w:pStyle w:val="SuperHeading"/>
      </w:pPr>
      <w:r w:rsidRPr="00AA1E2B">
        <w:t>HLTDT507C Construct immediate dentures</w:t>
      </w:r>
    </w:p>
    <w:p w:rsidR="00000000" w:rsidRPr="00AA1E2B" w:rsidP="00AA1E2B">
      <w:pPr>
        <w:pStyle w:val="Heading1"/>
      </w:pPr>
      <w:bookmarkStart w:id="1" w:name="O_271134"/>
      <w:bookmarkEnd w:id="1"/>
      <w:r w:rsidRPr="00AA1E2B">
        <w:t>Modification History</w:t>
      </w:r>
    </w:p>
    <w:p w:rsidR="00000000" w:rsidRPr="00AA1E2B" w:rsidP="00AA1E2B">
      <w:pPr>
        <w:pStyle w:val="BodyText"/>
      </w:pPr>
      <w:r w:rsidRPr="00AA1E2B">
        <w:t>Not Applicable</w:t>
      </w:r>
    </w:p>
    <w:p w:rsidR="00000000" w:rsidRPr="00AA1E2B" w:rsidP="00AA1E2B">
      <w:pPr>
        <w:pStyle w:val="AllowPageBreak"/>
      </w:pPr>
    </w:p>
    <w:p w:rsidR="00000000" w:rsidRPr="00AA1E2B" w:rsidP="00AA1E2B">
      <w:pPr>
        <w:pStyle w:val="Heading1"/>
      </w:pPr>
      <w:bookmarkStart w:id="2" w:name="O_205724"/>
      <w:bookmarkEnd w:id="2"/>
      <w:r w:rsidRPr="00AA1E2B">
        <w:t>Unit Descriptor</w:t>
      </w:r>
    </w:p>
    <w:tbl>
      <w:tblPr>
        <w:tblW w:w="0" w:type="auto"/>
        <w:tblLayout w:type="fixed"/>
        <w:tblCellMar>
          <w:left w:w="62" w:type="dxa"/>
          <w:right w:w="62" w:type="dxa"/>
        </w:tblCellMar>
        <w:tblLook w:val="0000"/>
      </w:tblPr>
      <w:tblGrid>
        <w:gridCol w:w="3337"/>
        <w:gridCol w:w="5219"/>
      </w:tblGrid>
      <w:tr w:rsidTr="000279F6">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r w:rsidRPr="00AA1E2B">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AA1E2B" w:rsidP="00AA1E2B">
            <w:pPr>
              <w:pStyle w:val="BodyText"/>
            </w:pPr>
            <w:r w:rsidRPr="00AA1E2B">
              <w:t>This unit of competency describes the skills and knowledge required to construct complete and partial, immediate repl</w:t>
            </w:r>
            <w:r w:rsidRPr="00AA1E2B">
              <w:t>acement dentures and surgical templates</w:t>
            </w:r>
          </w:p>
          <w:p w:rsidR="00000000" w:rsidRPr="00AA1E2B" w:rsidP="00AA1E2B">
            <w:pPr>
              <w:pStyle w:val="BodyText"/>
            </w:pPr>
            <w:r w:rsidRPr="00AA1E2B">
              <w:t>All procedures must be carried out in accordance with occupational health and safety policies and procedures, current infection control guidelines, Australian and New Zealand Standards, state/territory legislative re</w:t>
            </w:r>
            <w:r w:rsidRPr="00AA1E2B">
              <w:t>quirements and organisation policy</w:t>
            </w:r>
          </w:p>
        </w:tc>
      </w:tr>
    </w:tbl>
    <w:p w:rsidR="000279F6" w:rsidP="00AA1E2B">
      <w:pPr>
        <w:pStyle w:val="BodyText"/>
      </w:pPr>
    </w:p>
    <w:p w:rsidR="000279F6" w:rsidP="00AA1E2B">
      <w:pPr>
        <w:pStyle w:val="BodyText"/>
      </w:pPr>
    </w:p>
    <w:p w:rsidR="00000000" w:rsidRPr="00AA1E2B" w:rsidP="00AA1E2B">
      <w:pPr>
        <w:pStyle w:val="Heading1"/>
      </w:pPr>
      <w:bookmarkStart w:id="3" w:name="O_205727"/>
      <w:bookmarkEnd w:id="3"/>
      <w:r w:rsidRPr="00AA1E2B">
        <w:t>Application of the Unit</w:t>
      </w:r>
    </w:p>
    <w:tbl>
      <w:tblPr>
        <w:tblW w:w="0" w:type="auto"/>
        <w:tblLayout w:type="fixed"/>
        <w:tblCellMar>
          <w:left w:w="62" w:type="dxa"/>
          <w:right w:w="62" w:type="dxa"/>
        </w:tblCellMar>
        <w:tblLook w:val="0000"/>
      </w:tblPr>
      <w:tblGrid>
        <w:gridCol w:w="3349"/>
        <w:gridCol w:w="5207"/>
      </w:tblGrid>
      <w:tr w:rsidTr="000279F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r w:rsidRPr="00AA1E2B">
              <w:rPr>
                <w:rStyle w:val="SpecialBold"/>
              </w:rPr>
              <w:t>Application</w:t>
            </w:r>
            <w:r w:rsidRPr="00AA1E2B">
              <w:t xml:space="preserve"> </w:t>
            </w:r>
          </w:p>
        </w:tc>
        <w:tc>
          <w:tcPr>
            <w:tcW w:w="5207" w:type="dxa"/>
            <w:tcBorders>
              <w:top w:val="nil"/>
              <w:left w:val="nil"/>
              <w:bottom w:val="nil"/>
              <w:right w:val="nil"/>
            </w:tcBorders>
            <w:tcMar>
              <w:top w:w="0" w:type="dxa"/>
              <w:left w:w="62" w:type="dxa"/>
              <w:bottom w:w="0" w:type="dxa"/>
              <w:right w:w="62" w:type="dxa"/>
            </w:tcMar>
          </w:tcPr>
          <w:p w:rsidR="00000000" w:rsidRPr="00AA1E2B" w:rsidP="00AA1E2B">
            <w:pPr>
              <w:pStyle w:val="BodyText"/>
            </w:pPr>
            <w:r w:rsidRPr="00AA1E2B">
              <w:t>This unit applies to work in dental technology</w:t>
            </w:r>
          </w:p>
        </w:tc>
      </w:tr>
    </w:tbl>
    <w:p w:rsidR="000279F6" w:rsidP="00AA1E2B">
      <w:pPr>
        <w:pStyle w:val="BodyText"/>
      </w:pPr>
    </w:p>
    <w:p w:rsidR="000279F6" w:rsidP="00AA1E2B">
      <w:pPr>
        <w:pStyle w:val="BodyText"/>
      </w:pPr>
    </w:p>
    <w:p w:rsidR="00000000" w:rsidRPr="00AA1E2B" w:rsidP="00AA1E2B">
      <w:pPr>
        <w:pStyle w:val="Heading1"/>
      </w:pPr>
      <w:bookmarkStart w:id="4" w:name="O_279394"/>
      <w:bookmarkEnd w:id="4"/>
      <w:r w:rsidRPr="00AA1E2B">
        <w:t>Licensing/Regulatory Information</w:t>
      </w:r>
    </w:p>
    <w:p w:rsidR="00000000" w:rsidRPr="00AA1E2B" w:rsidP="00AA1E2B">
      <w:pPr>
        <w:pStyle w:val="BodyText"/>
      </w:pPr>
      <w:r w:rsidRPr="00AA1E2B">
        <w:t>Not Applicable</w:t>
      </w:r>
    </w:p>
    <w:p w:rsidR="00000000" w:rsidRPr="00AA1E2B" w:rsidP="00AA1E2B">
      <w:pPr>
        <w:pStyle w:val="AllowPageBreak"/>
      </w:pPr>
    </w:p>
    <w:p w:rsidR="00000000" w:rsidRPr="00AA1E2B" w:rsidP="00AA1E2B">
      <w:pPr>
        <w:pStyle w:val="Heading1"/>
      </w:pPr>
      <w:bookmarkStart w:id="5" w:name="O_205726"/>
      <w:bookmarkEnd w:id="5"/>
      <w:r w:rsidRPr="00AA1E2B">
        <w:t>Pre-Requisites</w:t>
      </w:r>
    </w:p>
    <w:tbl>
      <w:tblPr>
        <w:tblW w:w="0" w:type="auto"/>
        <w:tblLayout w:type="fixed"/>
        <w:tblCellMar>
          <w:left w:w="62" w:type="dxa"/>
          <w:right w:w="62" w:type="dxa"/>
        </w:tblCellMar>
        <w:tblLook w:val="0000"/>
      </w:tblPr>
      <w:tblGrid>
        <w:gridCol w:w="3219"/>
        <w:gridCol w:w="5337"/>
      </w:tblGrid>
      <w:tr w:rsidTr="000279F6">
        <w:tblPrEx>
          <w:tblW w:w="0" w:type="auto"/>
          <w:tblLayout w:type="fixed"/>
          <w:tblCellMar>
            <w:left w:w="62" w:type="dxa"/>
            <w:right w:w="62" w:type="dxa"/>
          </w:tblCellMar>
          <w:tblLook w:val="0000"/>
        </w:tblPrEx>
        <w:tc>
          <w:tcPr>
            <w:tcW w:w="3219"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r w:rsidRPr="00AA1E2B">
              <w:rPr>
                <w:rStyle w:val="SpecialBold"/>
              </w:rPr>
              <w:t>Pre-requisite units</w:t>
            </w:r>
          </w:p>
        </w:tc>
        <w:tc>
          <w:tcPr>
            <w:tcW w:w="5337" w:type="dxa"/>
            <w:tcBorders>
              <w:top w:val="nil"/>
              <w:left w:val="nil"/>
              <w:bottom w:val="nil"/>
              <w:right w:val="nil"/>
            </w:tcBorders>
            <w:tcMar>
              <w:top w:w="0" w:type="dxa"/>
              <w:left w:w="62" w:type="dxa"/>
              <w:bottom w:w="0" w:type="dxa"/>
              <w:right w:w="62" w:type="dxa"/>
            </w:tcMar>
          </w:tcPr>
          <w:p w:rsidR="00000000" w:rsidRPr="00AA1E2B" w:rsidP="00AA1E2B">
            <w:pPr>
              <w:pStyle w:val="BodyText"/>
            </w:pPr>
            <w:r w:rsidRPr="00AA1E2B">
              <w:t>This unit must be assessed after successful achievement of pre-requisites:</w:t>
            </w:r>
          </w:p>
          <w:p w:rsidR="00000000" w:rsidRPr="00AA1E2B" w:rsidP="00AA1E2B">
            <w:pPr>
              <w:pStyle w:val="ListBullet"/>
            </w:pPr>
            <w:r w:rsidRPr="00AA1E2B">
              <w:t>HLTDT301C Construct models</w:t>
            </w:r>
          </w:p>
          <w:p w:rsidR="00000000" w:rsidRPr="00AA1E2B" w:rsidP="00AA1E2B">
            <w:pPr>
              <w:pStyle w:val="ListBullet"/>
            </w:pPr>
            <w:r w:rsidRPr="00AA1E2B">
              <w:t>HLTDT302C Construct custom impression trays</w:t>
            </w:r>
          </w:p>
          <w:p w:rsidR="00000000" w:rsidRPr="00AA1E2B" w:rsidP="00AA1E2B">
            <w:pPr>
              <w:pStyle w:val="ListBullet"/>
            </w:pPr>
            <w:r w:rsidRPr="00AA1E2B">
              <w:t>HLTDT303C Construct registration rims</w:t>
            </w:r>
          </w:p>
          <w:p w:rsidR="00000000" w:rsidRPr="00AA1E2B" w:rsidP="00AA1E2B">
            <w:pPr>
              <w:pStyle w:val="ListBullet"/>
            </w:pPr>
            <w:r w:rsidRPr="00AA1E2B">
              <w:t>HLTDT304C Articulate models and transfer records</w:t>
            </w:r>
          </w:p>
          <w:p w:rsidR="00000000" w:rsidRPr="00AA1E2B" w:rsidP="00AA1E2B">
            <w:pPr>
              <w:pStyle w:val="ListBullet"/>
            </w:pPr>
            <w:r w:rsidRPr="00AA1E2B">
              <w:t>HL</w:t>
            </w:r>
            <w:r w:rsidRPr="00AA1E2B">
              <w:t>TDT519B Construct simple complete removable dentures and appliances</w:t>
            </w:r>
          </w:p>
          <w:p w:rsidR="00000000" w:rsidRPr="00AA1E2B" w:rsidP="00AA1E2B">
            <w:pPr>
              <w:pStyle w:val="ListBullet"/>
            </w:pPr>
            <w:r w:rsidRPr="00AA1E2B">
              <w:t xml:space="preserve">HLTIN301C Comply with infection control policies and procedures </w:t>
            </w:r>
          </w:p>
          <w:p w:rsidR="00000000" w:rsidRPr="00AA1E2B" w:rsidP="00AA1E2B">
            <w:pPr>
              <w:pStyle w:val="BodyText"/>
            </w:pPr>
            <w:r w:rsidRPr="00AA1E2B">
              <w:t>This unit may be assessed with other units making up a job role</w:t>
            </w:r>
          </w:p>
        </w:tc>
      </w:tr>
    </w:tbl>
    <w:p w:rsidR="000279F6" w:rsidP="00AA1E2B">
      <w:pPr>
        <w:pStyle w:val="BodyText"/>
      </w:pPr>
    </w:p>
    <w:p w:rsidR="000279F6" w:rsidP="00AA1E2B">
      <w:pPr>
        <w:pStyle w:val="BodyText"/>
      </w:pPr>
    </w:p>
    <w:p w:rsidR="00000000" w:rsidRPr="00AA1E2B" w:rsidP="00AA1E2B">
      <w:pPr>
        <w:pStyle w:val="Heading1"/>
      </w:pPr>
      <w:bookmarkStart w:id="6" w:name="O_205725"/>
      <w:bookmarkEnd w:id="6"/>
      <w:r w:rsidRPr="00AA1E2B">
        <w:t>Employability Skills Information</w:t>
      </w:r>
    </w:p>
    <w:tbl>
      <w:tblPr>
        <w:tblW w:w="0" w:type="auto"/>
        <w:tblLayout w:type="fixed"/>
        <w:tblCellMar>
          <w:left w:w="62" w:type="dxa"/>
          <w:right w:w="62" w:type="dxa"/>
        </w:tblCellMar>
        <w:tblLook w:val="0000"/>
      </w:tblPr>
      <w:tblGrid>
        <w:gridCol w:w="3320"/>
        <w:gridCol w:w="5236"/>
      </w:tblGrid>
      <w:tr w:rsidTr="000279F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r w:rsidRPr="00AA1E2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A1E2B" w:rsidP="00AA1E2B">
            <w:pPr>
              <w:pStyle w:val="BodyText"/>
            </w:pPr>
            <w:r w:rsidRPr="00AA1E2B">
              <w:t>This unit contains Employability Skills</w:t>
            </w:r>
          </w:p>
        </w:tc>
      </w:tr>
    </w:tbl>
    <w:p w:rsidR="000279F6" w:rsidP="00AA1E2B">
      <w:pPr>
        <w:pStyle w:val="BodyText"/>
      </w:pPr>
    </w:p>
    <w:p w:rsidR="000279F6" w:rsidP="00AA1E2B">
      <w:pPr>
        <w:pStyle w:val="BodyText"/>
      </w:pPr>
    </w:p>
    <w:p w:rsidR="00000000" w:rsidRPr="00AA1E2B" w:rsidP="00AA1E2B">
      <w:pPr>
        <w:pStyle w:val="Heading1"/>
      </w:pPr>
      <w:bookmarkStart w:id="7" w:name="O_289180"/>
      <w:bookmarkEnd w:id="7"/>
      <w:r w:rsidRPr="00AA1E2B">
        <w:t>Elements and Performance Criteria Pre-Content</w:t>
      </w:r>
    </w:p>
    <w:tbl>
      <w:tblPr>
        <w:tblW w:w="0" w:type="auto"/>
        <w:tblLayout w:type="fixed"/>
        <w:tblCellMar>
          <w:left w:w="62" w:type="dxa"/>
          <w:right w:w="62" w:type="dxa"/>
        </w:tblCellMar>
        <w:tblLook w:val="0000"/>
      </w:tblPr>
      <w:tblGrid>
        <w:gridCol w:w="3369"/>
        <w:gridCol w:w="5702"/>
      </w:tblGrid>
      <w:tr w:rsidTr="000279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r w:rsidRPr="00AA1E2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A1E2B" w:rsidP="00AA1E2B">
            <w:pPr>
              <w:pStyle w:val="BodyText"/>
            </w:pPr>
            <w:r w:rsidRPr="00AA1E2B">
              <w:t>The Performance Criteria specify the level of performance require</w:t>
            </w:r>
            <w:r w:rsidRPr="00AA1E2B">
              <w:t xml:space="preserve">d to demonstrate achievement of the Element. Terms in italics are elaborated in the Range Statement. </w:t>
            </w:r>
          </w:p>
        </w:tc>
      </w:tr>
    </w:tbl>
    <w:p w:rsidR="00000000" w:rsidRPr="00AA1E2B" w:rsidP="00AA1E2B">
      <w:pPr>
        <w:pStyle w:val="BodyText"/>
      </w:pPr>
    </w:p>
    <w:p w:rsidR="00000000" w:rsidRPr="00AA1E2B" w:rsidP="00AA1E2B">
      <w:pPr>
        <w:pStyle w:val="AllowPageBreak"/>
      </w:pPr>
    </w:p>
    <w:p w:rsidR="00000000" w:rsidRPr="00AA1E2B" w:rsidP="00AA1E2B">
      <w:pPr>
        <w:pStyle w:val="Heading1"/>
      </w:pPr>
      <w:bookmarkStart w:id="8" w:name="O_235847"/>
      <w:bookmarkEnd w:id="8"/>
      <w:r w:rsidRPr="00AA1E2B">
        <w:t>Elements and Performance Criteria</w:t>
      </w:r>
    </w:p>
    <w:tbl>
      <w:tblPr>
        <w:tblW w:w="0" w:type="auto"/>
        <w:tblLayout w:type="fixed"/>
        <w:tblCellMar>
          <w:left w:w="62" w:type="dxa"/>
          <w:right w:w="62" w:type="dxa"/>
        </w:tblCellMar>
        <w:tblLook w:val="0000"/>
      </w:tblPr>
      <w:tblGrid>
        <w:gridCol w:w="3369"/>
        <w:gridCol w:w="5702"/>
      </w:tblGrid>
      <w:tr w:rsidTr="000279F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A1E2B" w:rsidP="00AA1E2B">
            <w:pPr>
              <w:pStyle w:val="BodyText"/>
            </w:pPr>
            <w:r w:rsidRPr="00AA1E2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r w:rsidRPr="00AA1E2B">
              <w:rPr>
                <w:rStyle w:val="SpecialBold"/>
              </w:rPr>
              <w:t>PERFORMANCE CRITERIA</w:t>
            </w:r>
          </w:p>
        </w:tc>
      </w:tr>
      <w:tr w:rsidTr="000279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p>
        </w:tc>
      </w:tr>
      <w:tr w:rsidTr="000279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1E2B">
            <w:pPr>
              <w:pStyle w:val="List"/>
              <w:rPr>
                <w:lang w:val="en-NZ"/>
              </w:rPr>
            </w:pPr>
            <w:r w:rsidRPr="00AA1E2B">
              <w:t>1.</w:t>
            </w:r>
            <w:r w:rsidRPr="00AA1E2B">
              <w:tab/>
              <w:t>Arrange artificial teeth for try-in</w:t>
            </w:r>
          </w:p>
        </w:tc>
        <w:tc>
          <w:tcPr>
            <w:tcW w:w="5702" w:type="dxa"/>
            <w:tcBorders>
              <w:top w:val="nil"/>
              <w:left w:val="nil"/>
              <w:bottom w:val="nil"/>
              <w:right w:val="nil"/>
            </w:tcBorders>
            <w:tcMar>
              <w:top w:w="0" w:type="dxa"/>
              <w:left w:w="62" w:type="dxa"/>
              <w:bottom w:w="0" w:type="dxa"/>
              <w:right w:w="62" w:type="dxa"/>
            </w:tcMar>
          </w:tcPr>
          <w:p w:rsidR="00000000" w:rsidRPr="00AA1E2B" w:rsidP="00AA1E2B">
            <w:pPr>
              <w:pStyle w:val="BodyText"/>
            </w:pPr>
            <w:r w:rsidRPr="00AA1E2B">
              <w:t>1.1</w:t>
            </w:r>
            <w:r w:rsidRPr="00AA1E2B">
              <w:tab/>
            </w:r>
            <w:r w:rsidRPr="00AA1E2B">
              <w:t>Select the artificial teeth in accordance with prescription</w:t>
            </w:r>
          </w:p>
          <w:p w:rsidR="00000000" w:rsidP="00AA1E2B">
            <w:pPr>
              <w:pStyle w:val="BodyText"/>
              <w:rPr>
                <w:lang w:val="en-NZ"/>
              </w:rPr>
            </w:pPr>
            <w:r w:rsidRPr="00AA1E2B">
              <w:t>1.2</w:t>
            </w:r>
            <w:r w:rsidRPr="00AA1E2B">
              <w:tab/>
              <w:t>Arrange artificial teeth in current edentulous area in accordance with prescription</w:t>
            </w:r>
          </w:p>
        </w:tc>
      </w:tr>
      <w:tr w:rsidTr="000279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p>
        </w:tc>
      </w:tr>
      <w:tr w:rsidTr="000279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1E2B">
            <w:pPr>
              <w:pStyle w:val="List"/>
              <w:rPr>
                <w:lang w:val="en-NZ"/>
              </w:rPr>
            </w:pPr>
            <w:r w:rsidRPr="00AA1E2B">
              <w:t>2.</w:t>
            </w:r>
            <w:r w:rsidRPr="00AA1E2B">
              <w:tab/>
              <w:t>Construct a surgical template</w:t>
            </w:r>
          </w:p>
        </w:tc>
        <w:tc>
          <w:tcPr>
            <w:tcW w:w="5702" w:type="dxa"/>
            <w:tcBorders>
              <w:top w:val="nil"/>
              <w:left w:val="nil"/>
              <w:bottom w:val="nil"/>
              <w:right w:val="nil"/>
            </w:tcBorders>
            <w:tcMar>
              <w:top w:w="0" w:type="dxa"/>
              <w:left w:w="62" w:type="dxa"/>
              <w:bottom w:w="0" w:type="dxa"/>
              <w:right w:w="62" w:type="dxa"/>
            </w:tcMar>
          </w:tcPr>
          <w:p w:rsidR="00000000" w:rsidRPr="00AA1E2B" w:rsidP="00AA1E2B">
            <w:pPr>
              <w:pStyle w:val="BodyText"/>
            </w:pPr>
            <w:r w:rsidRPr="00AA1E2B">
              <w:t>2.1</w:t>
            </w:r>
            <w:r w:rsidRPr="00AA1E2B">
              <w:tab/>
              <w:t>Finalise the ridge shape</w:t>
            </w:r>
          </w:p>
          <w:p w:rsidR="00000000" w:rsidRPr="00AA1E2B" w:rsidP="00AA1E2B">
            <w:pPr>
              <w:pStyle w:val="BodyText"/>
            </w:pPr>
            <w:r w:rsidRPr="00AA1E2B">
              <w:t>2.2</w:t>
            </w:r>
            <w:r w:rsidRPr="00AA1E2B">
              <w:tab/>
              <w:t>Duplicate and pour model</w:t>
            </w:r>
          </w:p>
          <w:p w:rsidR="00000000" w:rsidP="00AA1E2B">
            <w:pPr>
              <w:pStyle w:val="BodyText"/>
              <w:rPr>
                <w:lang w:val="en-NZ"/>
              </w:rPr>
            </w:pPr>
            <w:r w:rsidRPr="00AA1E2B">
              <w:t>2.3</w:t>
            </w:r>
            <w:r w:rsidRPr="00AA1E2B">
              <w:tab/>
            </w:r>
            <w:r w:rsidRPr="00AA1E2B">
              <w:t>Construct surgical template</w:t>
            </w:r>
          </w:p>
        </w:tc>
      </w:tr>
      <w:tr w:rsidTr="000279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p>
        </w:tc>
      </w:tr>
      <w:tr w:rsidTr="000279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1E2B">
            <w:pPr>
              <w:pStyle w:val="List"/>
              <w:rPr>
                <w:lang w:val="en-NZ"/>
              </w:rPr>
            </w:pPr>
            <w:r w:rsidRPr="00AA1E2B">
              <w:t>3.</w:t>
            </w:r>
            <w:r w:rsidRPr="00AA1E2B">
              <w:tab/>
              <w:t>Arrange artificial teeth for finish</w:t>
            </w:r>
          </w:p>
        </w:tc>
        <w:tc>
          <w:tcPr>
            <w:tcW w:w="5702" w:type="dxa"/>
            <w:tcBorders>
              <w:top w:val="nil"/>
              <w:left w:val="nil"/>
              <w:bottom w:val="nil"/>
              <w:right w:val="nil"/>
            </w:tcBorders>
            <w:tcMar>
              <w:top w:w="0" w:type="dxa"/>
              <w:left w:w="62" w:type="dxa"/>
              <w:bottom w:w="0" w:type="dxa"/>
              <w:right w:w="62" w:type="dxa"/>
            </w:tcMar>
          </w:tcPr>
          <w:p w:rsidR="00000000" w:rsidRPr="00AA1E2B" w:rsidP="00AA1E2B">
            <w:pPr>
              <w:pStyle w:val="BodyText"/>
            </w:pPr>
            <w:r w:rsidRPr="00AA1E2B">
              <w:t>3.1</w:t>
            </w:r>
            <w:r w:rsidRPr="00AA1E2B">
              <w:tab/>
              <w:t>Remove stone model teeth individually and prepare the ridge in accordance with prescription</w:t>
            </w:r>
          </w:p>
          <w:p w:rsidR="00000000" w:rsidRPr="00AA1E2B" w:rsidP="00AA1E2B">
            <w:pPr>
              <w:pStyle w:val="BodyText"/>
            </w:pPr>
            <w:r w:rsidRPr="00AA1E2B">
              <w:t>3.2</w:t>
            </w:r>
            <w:r w:rsidRPr="00AA1E2B">
              <w:tab/>
              <w:t>Arrange artificial teeth in sequence as each model tooth is removed</w:t>
            </w:r>
          </w:p>
          <w:p w:rsidR="00000000" w:rsidRPr="00AA1E2B" w:rsidP="00AA1E2B">
            <w:pPr>
              <w:pStyle w:val="BodyText"/>
            </w:pPr>
            <w:r w:rsidRPr="00AA1E2B">
              <w:t>3.3</w:t>
            </w:r>
            <w:r w:rsidRPr="00AA1E2B">
              <w:tab/>
              <w:t>Adjust existi</w:t>
            </w:r>
            <w:r w:rsidRPr="00AA1E2B">
              <w:t>ng artificial teeth if necessary when commencing removal of model teeth</w:t>
            </w:r>
          </w:p>
          <w:p w:rsidR="00000000" w:rsidP="00AA1E2B">
            <w:pPr>
              <w:pStyle w:val="BodyText"/>
              <w:rPr>
                <w:lang w:val="en-NZ"/>
              </w:rPr>
            </w:pPr>
            <w:r w:rsidRPr="00AA1E2B">
              <w:t>3.4</w:t>
            </w:r>
            <w:r w:rsidRPr="00AA1E2B">
              <w:tab/>
              <w:t>Contour wax surfaces</w:t>
            </w:r>
          </w:p>
        </w:tc>
      </w:tr>
      <w:tr w:rsidTr="000279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p>
        </w:tc>
      </w:tr>
      <w:tr w:rsidTr="000279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1E2B">
            <w:pPr>
              <w:pStyle w:val="List"/>
              <w:rPr>
                <w:lang w:val="en-NZ"/>
              </w:rPr>
            </w:pPr>
            <w:r w:rsidRPr="00AA1E2B">
              <w:t>4.</w:t>
            </w:r>
            <w:r w:rsidRPr="00AA1E2B">
              <w:tab/>
              <w:t xml:space="preserve">Process </w:t>
            </w:r>
            <w:r w:rsidRPr="00AA1E2B">
              <w:rPr>
                <w:rStyle w:val="Emphasis"/>
              </w:rPr>
              <w:t>immediate dentures</w:t>
            </w:r>
          </w:p>
        </w:tc>
        <w:tc>
          <w:tcPr>
            <w:tcW w:w="5702" w:type="dxa"/>
            <w:tcBorders>
              <w:top w:val="nil"/>
              <w:left w:val="nil"/>
              <w:bottom w:val="nil"/>
              <w:right w:val="nil"/>
            </w:tcBorders>
            <w:tcMar>
              <w:top w:w="0" w:type="dxa"/>
              <w:left w:w="62" w:type="dxa"/>
              <w:bottom w:w="0" w:type="dxa"/>
              <w:right w:w="62" w:type="dxa"/>
            </w:tcMar>
          </w:tcPr>
          <w:p w:rsidR="00000000" w:rsidRPr="00AA1E2B" w:rsidP="00AA1E2B">
            <w:pPr>
              <w:pStyle w:val="BodyText"/>
            </w:pPr>
            <w:r w:rsidRPr="00AA1E2B">
              <w:t>4.1</w:t>
            </w:r>
            <w:r w:rsidRPr="00AA1E2B">
              <w:tab/>
              <w:t>Trim and polish immediate dentures</w:t>
            </w:r>
          </w:p>
          <w:p w:rsidR="00000000" w:rsidRPr="00AA1E2B" w:rsidP="00AA1E2B">
            <w:pPr>
              <w:pStyle w:val="BodyText"/>
            </w:pPr>
            <w:r w:rsidRPr="00AA1E2B">
              <w:t>4.2</w:t>
            </w:r>
            <w:r w:rsidRPr="00AA1E2B">
              <w:tab/>
              <w:t>Process surgical template</w:t>
            </w:r>
          </w:p>
          <w:p w:rsidR="00000000" w:rsidRPr="00AA1E2B" w:rsidP="00AA1E2B">
            <w:pPr>
              <w:pStyle w:val="BodyText"/>
            </w:pPr>
            <w:r w:rsidRPr="00AA1E2B">
              <w:t>4.3</w:t>
            </w:r>
            <w:r w:rsidRPr="00AA1E2B">
              <w:tab/>
              <w:t>Trim and polish surgical template</w:t>
            </w:r>
          </w:p>
          <w:p w:rsidR="00000000" w:rsidRPr="00AA1E2B" w:rsidP="00AA1E2B">
            <w:pPr>
              <w:pStyle w:val="BodyText"/>
            </w:pPr>
            <w:r w:rsidRPr="00AA1E2B">
              <w:t>4.4</w:t>
            </w:r>
            <w:r w:rsidRPr="00AA1E2B">
              <w:tab/>
            </w:r>
            <w:r w:rsidRPr="00AA1E2B">
              <w:t>Decontaminate the denture and template according to infection control guidelines</w:t>
            </w:r>
          </w:p>
          <w:p w:rsidR="00000000" w:rsidP="00AA1E2B">
            <w:pPr>
              <w:pStyle w:val="BodyText"/>
              <w:rPr>
                <w:lang w:val="en-NZ"/>
              </w:rPr>
            </w:pPr>
            <w:r w:rsidRPr="00AA1E2B">
              <w:t>4.5</w:t>
            </w:r>
            <w:r w:rsidRPr="00AA1E2B">
              <w:tab/>
              <w:t>Place denture and template in a suitable container which will keep moist in accordance with infection control guidelines</w:t>
            </w:r>
          </w:p>
        </w:tc>
      </w:tr>
      <w:tr w:rsidTr="000279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A1E2B" w:rsidP="00AA1E2B">
            <w:pPr>
              <w:pStyle w:val="BodyText"/>
            </w:pPr>
          </w:p>
        </w:tc>
      </w:tr>
    </w:tbl>
    <w:p w:rsidR="000279F6" w:rsidP="00AA1E2B">
      <w:pPr>
        <w:pStyle w:val="BodyText"/>
      </w:pPr>
    </w:p>
    <w:p w:rsidR="000279F6" w:rsidP="00AA1E2B">
      <w:pPr>
        <w:pStyle w:val="BodyText"/>
      </w:pPr>
    </w:p>
    <w:p w:rsidR="00000000" w:rsidRPr="00AA1E2B" w:rsidP="00AA1E2B">
      <w:pPr>
        <w:pStyle w:val="Heading1"/>
      </w:pPr>
      <w:bookmarkStart w:id="9" w:name="O_259797"/>
      <w:bookmarkEnd w:id="9"/>
      <w:r w:rsidRPr="00AA1E2B">
        <w:t>Required Skills and Knowl</w:t>
      </w:r>
      <w:r w:rsidRPr="00AA1E2B">
        <w:t>edge</w:t>
      </w:r>
    </w:p>
    <w:tbl>
      <w:tblPr>
        <w:tblW w:w="0" w:type="auto"/>
        <w:tblLayout w:type="fixed"/>
        <w:tblCellMar>
          <w:left w:w="62" w:type="dxa"/>
          <w:right w:w="62" w:type="dxa"/>
        </w:tblCellMar>
        <w:tblLook w:val="0000"/>
      </w:tblPr>
      <w:tblGrid>
        <w:gridCol w:w="9072"/>
      </w:tblGrid>
      <w:tr w:rsidTr="000279F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r w:rsidRPr="00AA1E2B">
              <w:rPr>
                <w:rStyle w:val="SpecialBold"/>
              </w:rPr>
              <w:t>REQUIRED SKILLS AND KNOWLEDGE</w:t>
            </w:r>
          </w:p>
        </w:tc>
      </w:tr>
      <w:tr w:rsidTr="000279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p>
        </w:tc>
      </w:tr>
      <w:tr w:rsidTr="000279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r w:rsidRPr="00AA1E2B">
              <w:t>This describes the essential skills and knowledge and their level required for this unit.</w:t>
            </w:r>
          </w:p>
        </w:tc>
      </w:tr>
      <w:tr w:rsidTr="000279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p>
        </w:tc>
      </w:tr>
      <w:tr w:rsidTr="000279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1E2B" w:rsidP="00AA1E2B">
            <w:pPr>
              <w:pStyle w:val="BodyText"/>
            </w:pPr>
            <w:r w:rsidRPr="00AA1E2B">
              <w:rPr>
                <w:rStyle w:val="Emphasis"/>
              </w:rPr>
              <w:t>Essential knowledge</w:t>
            </w:r>
            <w:r w:rsidRPr="00AA1E2B">
              <w:t>:</w:t>
            </w:r>
          </w:p>
          <w:p w:rsidR="00000000" w:rsidRPr="00AA1E2B" w:rsidP="00AA1E2B">
            <w:pPr>
              <w:pStyle w:val="BodyText"/>
            </w:pPr>
            <w:r w:rsidRPr="00AA1E2B">
              <w:t>The candidate must be able to demonstrate essen</w:t>
            </w:r>
            <w:r w:rsidRPr="00AA1E2B">
              <w:t>tial knowledge required to effectively do the task outlined in elements and performance criteria of this unit, manage the task and manage contingencies in the context of the identified work role</w:t>
            </w:r>
          </w:p>
          <w:p w:rsidR="00000000" w:rsidRPr="00AA1E2B" w:rsidP="00AA1E2B">
            <w:pPr>
              <w:pStyle w:val="BodyText"/>
            </w:pPr>
            <w:r w:rsidRPr="00AA1E2B">
              <w:t>This includes knowledge of:</w:t>
            </w:r>
          </w:p>
          <w:p w:rsidR="00000000" w:rsidRPr="00AA1E2B" w:rsidP="00AA1E2B">
            <w:pPr>
              <w:pStyle w:val="ListBullet"/>
            </w:pPr>
            <w:r w:rsidRPr="00AA1E2B">
              <w:t>Advantages of immediate dentures</w:t>
            </w:r>
            <w:r w:rsidRPr="00AA1E2B">
              <w:t xml:space="preserve"> for the client including:</w:t>
            </w:r>
          </w:p>
          <w:p w:rsidR="00000000" w:rsidRPr="00AA1E2B" w:rsidP="00AA1E2B">
            <w:pPr>
              <w:pStyle w:val="ListBullet2"/>
            </w:pPr>
            <w:r w:rsidRPr="00AA1E2B">
              <w:t>accurate positioning of the artificial teeth</w:t>
            </w:r>
          </w:p>
          <w:p w:rsidR="00000000" w:rsidRPr="00AA1E2B" w:rsidP="00AA1E2B">
            <w:pPr>
              <w:pStyle w:val="ListBullet2"/>
            </w:pPr>
            <w:r w:rsidRPr="00AA1E2B">
              <w:t>control of post-extraction haemorrhage</w:t>
            </w:r>
          </w:p>
          <w:p w:rsidR="00000000" w:rsidRPr="00AA1E2B" w:rsidP="00AA1E2B">
            <w:pPr>
              <w:pStyle w:val="ListBullet2"/>
            </w:pPr>
            <w:r w:rsidRPr="00AA1E2B">
              <w:t>correct restoration of the vertical and horizontal relationships between maxilla and mandible</w:t>
            </w:r>
          </w:p>
          <w:p w:rsidR="00000000" w:rsidRPr="00AA1E2B" w:rsidP="00AA1E2B">
            <w:pPr>
              <w:pStyle w:val="ListBullet2"/>
            </w:pPr>
            <w:r w:rsidRPr="00AA1E2B">
              <w:t>maintenance of appearance</w:t>
            </w:r>
          </w:p>
          <w:p w:rsidR="00000000" w:rsidRPr="00AA1E2B" w:rsidP="00AA1E2B">
            <w:pPr>
              <w:pStyle w:val="ListBullet"/>
            </w:pPr>
            <w:r w:rsidRPr="00AA1E2B">
              <w:t>Applied oral anatomy:</w:t>
            </w:r>
          </w:p>
          <w:p w:rsidR="00000000" w:rsidRPr="00AA1E2B" w:rsidP="00AA1E2B">
            <w:pPr>
              <w:pStyle w:val="ListBullet2"/>
            </w:pPr>
            <w:r w:rsidRPr="00AA1E2B">
              <w:t>dentition - arrangement of the teeth, naming and coding of teeth</w:t>
            </w:r>
          </w:p>
          <w:p w:rsidR="00000000" w:rsidRPr="00AA1E2B" w:rsidP="00AA1E2B">
            <w:pPr>
              <w:pStyle w:val="ListBullet2"/>
            </w:pPr>
            <w:r w:rsidRPr="00AA1E2B">
              <w:t>structures of the oral cavity - hard and soft palate, lateral and posterior borders of the oral cavity, tongue and floor of the mouth</w:t>
            </w:r>
          </w:p>
          <w:p w:rsidR="00000000" w:rsidRPr="00AA1E2B" w:rsidP="00AA1E2B">
            <w:pPr>
              <w:pStyle w:val="ListBullet2"/>
            </w:pPr>
            <w:r w:rsidRPr="00AA1E2B">
              <w:t>teeth - form and function</w:t>
            </w:r>
          </w:p>
          <w:p w:rsidR="00000000" w:rsidRPr="00AA1E2B" w:rsidP="00AA1E2B">
            <w:pPr>
              <w:pStyle w:val="ListBullet"/>
            </w:pPr>
            <w:r w:rsidRPr="00AA1E2B">
              <w:t xml:space="preserve">Clinical treatment procedures </w:t>
            </w:r>
            <w:r w:rsidRPr="00AA1E2B">
              <w:t>necessary to prepare the client for immediate denture insertion</w:t>
            </w:r>
          </w:p>
          <w:p w:rsidR="00000000" w:rsidRPr="00AA1E2B" w:rsidP="00AA1E2B">
            <w:pPr>
              <w:pStyle w:val="ListBullet2"/>
            </w:pPr>
            <w:r w:rsidRPr="00AA1E2B">
              <w:t>where there are posterior teeth and no existing partial denture</w:t>
            </w:r>
          </w:p>
          <w:p w:rsidR="00000000" w:rsidRPr="00AA1E2B" w:rsidP="00AA1E2B">
            <w:pPr>
              <w:pStyle w:val="ListBullet2"/>
            </w:pPr>
            <w:r w:rsidRPr="00AA1E2B">
              <w:t>where a partial denture is present</w:t>
            </w:r>
          </w:p>
          <w:p w:rsidR="00000000" w:rsidRPr="00AA1E2B" w:rsidP="00AA1E2B">
            <w:pPr>
              <w:pStyle w:val="ListBullet"/>
            </w:pPr>
            <w:r w:rsidRPr="00AA1E2B">
              <w:t>Disadvantages of immediate dentures for the client including:</w:t>
            </w:r>
          </w:p>
          <w:p w:rsidR="00000000" w:rsidRPr="00AA1E2B" w:rsidP="00AA1E2B">
            <w:pPr>
              <w:pStyle w:val="ListBullet2"/>
            </w:pPr>
            <w:r w:rsidRPr="00AA1E2B">
              <w:t>the implications for the cli</w:t>
            </w:r>
            <w:r w:rsidRPr="00AA1E2B">
              <w:t>ent where appearance of anterior artificial teeth cannot be approved at try-in</w:t>
            </w:r>
          </w:p>
          <w:p w:rsidR="00000000" w:rsidRPr="00AA1E2B" w:rsidP="00AA1E2B">
            <w:pPr>
              <w:pStyle w:val="ListBullet2"/>
            </w:pPr>
            <w:r w:rsidRPr="00AA1E2B">
              <w:t>the implications of rapid bone resorption following extraction</w:t>
            </w:r>
          </w:p>
          <w:p w:rsidR="00000000" w:rsidRPr="00AA1E2B" w:rsidP="00AA1E2B">
            <w:pPr>
              <w:pStyle w:val="ListBullet"/>
            </w:pPr>
            <w:r w:rsidRPr="00AA1E2B">
              <w:t>Infection control guidelines for the decontamination of completed laboratory work</w:t>
            </w:r>
          </w:p>
          <w:p w:rsidR="00000000" w:rsidRPr="00AA1E2B" w:rsidP="00AA1E2B">
            <w:pPr>
              <w:pStyle w:val="ListBullet"/>
            </w:pPr>
            <w:r w:rsidRPr="00AA1E2B">
              <w:t>Types of immediate replacement denture and their advantages and disadvantages</w:t>
            </w:r>
          </w:p>
          <w:p w:rsidR="00000000" w:rsidRPr="00AA1E2B" w:rsidP="00AA1E2B">
            <w:pPr>
              <w:pStyle w:val="ListBullet2"/>
            </w:pPr>
            <w:r w:rsidRPr="00AA1E2B">
              <w:t>flanged denture and without bone re-contouring</w:t>
            </w:r>
          </w:p>
          <w:p w:rsidR="00000000" w:rsidRPr="00AA1E2B" w:rsidP="00AA1E2B">
            <w:pPr>
              <w:pStyle w:val="ListBullet2"/>
            </w:pPr>
            <w:r w:rsidRPr="00AA1E2B">
              <w:t>flanged denture with bone re-contouring</w:t>
            </w:r>
          </w:p>
          <w:p w:rsidR="00000000" w:rsidP="00AA1E2B">
            <w:pPr>
              <w:pStyle w:val="ListBullet2"/>
              <w:rPr>
                <w:lang w:val="en-NZ"/>
              </w:rPr>
            </w:pPr>
            <w:r w:rsidRPr="00AA1E2B">
              <w:t>socketed or open-faced denture</w:t>
            </w:r>
          </w:p>
        </w:tc>
      </w:tr>
      <w:tr w:rsidTr="000279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p>
        </w:tc>
      </w:tr>
      <w:tr w:rsidTr="000279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1E2B" w:rsidP="00AA1E2B">
            <w:pPr>
              <w:pStyle w:val="BodyText"/>
            </w:pPr>
            <w:r w:rsidRPr="00AA1E2B">
              <w:rPr>
                <w:rStyle w:val="Emphasis"/>
              </w:rPr>
              <w:t>Essential skills</w:t>
            </w:r>
            <w:r w:rsidRPr="00AA1E2B">
              <w:t>:</w:t>
            </w:r>
          </w:p>
          <w:p w:rsidR="00000000" w:rsidRPr="00AA1E2B" w:rsidP="00AA1E2B">
            <w:pPr>
              <w:pStyle w:val="BodyText"/>
            </w:pPr>
            <w:r w:rsidRPr="00AA1E2B">
              <w:t xml:space="preserve">It is critical that the candidate demonstrate the ability to </w:t>
            </w:r>
          </w:p>
          <w:p w:rsidR="00000000" w:rsidRPr="00AA1E2B" w:rsidP="00AA1E2B">
            <w:pPr>
              <w:pStyle w:val="ListBullet"/>
            </w:pPr>
            <w:r w:rsidRPr="00AA1E2B">
              <w:t>Consistently construct complete and partial immediate dentures suitable for insertion in the mouth</w:t>
            </w:r>
          </w:p>
          <w:p w:rsidR="00000000" w:rsidRPr="00AA1E2B" w:rsidP="00AA1E2B">
            <w:pPr>
              <w:pStyle w:val="ListBullet"/>
            </w:pPr>
            <w:r w:rsidRPr="00AA1E2B">
              <w:t>Consistently comply with current infection control guidelines, Australian Standards and legisl</w:t>
            </w:r>
            <w:r w:rsidRPr="00AA1E2B">
              <w:t>ative requirements as they relate to the dental technician's specific job role</w:t>
            </w:r>
          </w:p>
          <w:p w:rsidR="00000000" w:rsidRPr="00AA1E2B" w:rsidP="00AA1E2B">
            <w:pPr>
              <w:pStyle w:val="ListBullet"/>
            </w:pPr>
            <w:r w:rsidRPr="00AA1E2B">
              <w:t>Consistently comply with occupational health and safety policies and procedures as they relate to the dental technician's specific job role</w:t>
            </w:r>
          </w:p>
          <w:p w:rsidR="00000000" w:rsidRPr="00AA1E2B" w:rsidP="00AA1E2B">
            <w:pPr>
              <w:pStyle w:val="BodyText"/>
            </w:pPr>
          </w:p>
          <w:p w:rsidR="00000000" w:rsidRPr="00AA1E2B" w:rsidP="00AA1E2B">
            <w:pPr>
              <w:pStyle w:val="BodyText"/>
            </w:pPr>
            <w:r w:rsidRPr="00AA1E2B">
              <w:t>In addition, the candidate must be a</w:t>
            </w:r>
            <w:r w:rsidRPr="00AA1E2B">
              <w:t>ble to effectively do the task outlined in elements and performance criteria of this unit, manage the task and manage contingencies in the context of the identified work role</w:t>
            </w:r>
          </w:p>
          <w:p w:rsidR="00000000" w:rsidRPr="00AA1E2B" w:rsidP="00AA1E2B">
            <w:pPr>
              <w:pStyle w:val="BodyText"/>
            </w:pPr>
            <w:r w:rsidRPr="00AA1E2B">
              <w:t>This includes the ability to:</w:t>
            </w:r>
          </w:p>
          <w:p w:rsidR="00000000" w:rsidRPr="00AA1E2B" w:rsidP="00AA1E2B">
            <w:pPr>
              <w:pStyle w:val="ListBullet"/>
            </w:pPr>
            <w:r w:rsidRPr="00AA1E2B">
              <w:t xml:space="preserve">Consistently follow safe work practices and apply </w:t>
            </w:r>
            <w:r w:rsidRPr="00AA1E2B">
              <w:t>standard precautions during the construction of immediate dentures</w:t>
            </w:r>
          </w:p>
          <w:p w:rsidR="00000000" w:rsidRPr="00AA1E2B" w:rsidP="00AA1E2B">
            <w:pPr>
              <w:pStyle w:val="ListBullet"/>
            </w:pPr>
            <w:r w:rsidRPr="00AA1E2B">
              <w:t>Consistently follow sequenced written instructions and manufacturer specifications for the preparation of materials</w:t>
            </w:r>
          </w:p>
          <w:p w:rsidR="00000000" w:rsidRPr="00AA1E2B" w:rsidP="00AA1E2B">
            <w:pPr>
              <w:pStyle w:val="ListBullet"/>
            </w:pPr>
            <w:r w:rsidRPr="00AA1E2B">
              <w:t>Consistently interpret and follow the laboratory request form during modi</w:t>
            </w:r>
            <w:r w:rsidRPr="00AA1E2B">
              <w:t>fication of the model for immediate dentures including:</w:t>
            </w:r>
          </w:p>
          <w:p w:rsidR="00000000" w:rsidRPr="00AA1E2B" w:rsidP="00AA1E2B">
            <w:pPr>
              <w:pStyle w:val="ListBullet2"/>
            </w:pPr>
            <w:r w:rsidRPr="00AA1E2B">
              <w:t>flanged denture and without bone re-contouring</w:t>
            </w:r>
          </w:p>
          <w:p w:rsidR="00000000" w:rsidRPr="00AA1E2B" w:rsidP="00AA1E2B">
            <w:pPr>
              <w:pStyle w:val="ListBullet2"/>
            </w:pPr>
            <w:r w:rsidRPr="00AA1E2B">
              <w:t>flanged denture with bone re-contouring</w:t>
            </w:r>
          </w:p>
          <w:p w:rsidR="00000000" w:rsidRPr="00AA1E2B" w:rsidP="00AA1E2B">
            <w:pPr>
              <w:pStyle w:val="ListBullet2"/>
            </w:pPr>
            <w:r w:rsidRPr="00AA1E2B">
              <w:t>socketed or open-faced denture</w:t>
            </w:r>
          </w:p>
          <w:p w:rsidR="00000000" w:rsidRPr="00AA1E2B" w:rsidP="00AA1E2B">
            <w:pPr>
              <w:pStyle w:val="ListBullet"/>
            </w:pPr>
            <w:r w:rsidRPr="00AA1E2B">
              <w:t>Consistently follow established laboratory techniques f</w:t>
            </w:r>
            <w:r w:rsidRPr="00AA1E2B">
              <w:t>or immediate denture construction</w:t>
            </w:r>
          </w:p>
          <w:p w:rsidR="00000000" w:rsidRPr="00AA1E2B" w:rsidP="00AA1E2B">
            <w:pPr>
              <w:pStyle w:val="ListBullet"/>
            </w:pPr>
            <w:r w:rsidRPr="00AA1E2B">
              <w:t>Select procedures to prepare a range of custom trays</w:t>
            </w:r>
          </w:p>
          <w:p w:rsidR="00000000" w:rsidRPr="00AA1E2B" w:rsidP="00AA1E2B">
            <w:pPr>
              <w:pStyle w:val="ListBullet"/>
            </w:pPr>
            <w:r w:rsidRPr="00AA1E2B">
              <w:t>Use appropriate practices to ensure efficient use of power and other resources</w:t>
            </w:r>
          </w:p>
          <w:p w:rsidR="00000000" w:rsidRPr="00AA1E2B" w:rsidP="00AA1E2B">
            <w:pPr>
              <w:pStyle w:val="ListBullet"/>
            </w:pPr>
            <w:r w:rsidRPr="00AA1E2B">
              <w:t>Use literacy skills to read and follow directions, policies and procedures including:</w:t>
            </w:r>
          </w:p>
          <w:p w:rsidR="00000000" w:rsidRPr="00AA1E2B" w:rsidP="00AA1E2B">
            <w:pPr>
              <w:pStyle w:val="ListBullet2"/>
            </w:pPr>
            <w:r w:rsidRPr="00AA1E2B">
              <w:t>lab</w:t>
            </w:r>
            <w:r w:rsidRPr="00AA1E2B">
              <w:t>oratory policies and procedures</w:t>
            </w:r>
          </w:p>
          <w:p w:rsidR="00000000" w:rsidRPr="00AA1E2B" w:rsidP="00AA1E2B">
            <w:pPr>
              <w:pStyle w:val="ListBullet2"/>
            </w:pPr>
            <w:r w:rsidRPr="00AA1E2B">
              <w:t>material safety data sheets</w:t>
            </w:r>
          </w:p>
        </w:tc>
      </w:tr>
    </w:tbl>
    <w:p w:rsidR="000279F6" w:rsidP="00AA1E2B">
      <w:pPr>
        <w:pStyle w:val="BodyText"/>
      </w:pPr>
    </w:p>
    <w:p w:rsidR="000279F6" w:rsidP="00AA1E2B">
      <w:pPr>
        <w:pStyle w:val="BodyText"/>
      </w:pPr>
    </w:p>
    <w:p w:rsidR="00000000" w:rsidRPr="00AA1E2B" w:rsidP="00AA1E2B">
      <w:pPr>
        <w:pStyle w:val="Heading1"/>
      </w:pPr>
      <w:bookmarkStart w:id="10" w:name="O_243831"/>
      <w:bookmarkEnd w:id="10"/>
      <w:r w:rsidRPr="00AA1E2B">
        <w:t>Evidence Guide</w:t>
      </w:r>
    </w:p>
    <w:tbl>
      <w:tblPr>
        <w:tblW w:w="0" w:type="auto"/>
        <w:tblLayout w:type="fixed"/>
        <w:tblCellMar>
          <w:left w:w="62" w:type="dxa"/>
          <w:right w:w="62" w:type="dxa"/>
        </w:tblCellMar>
        <w:tblLook w:val="0000"/>
      </w:tblPr>
      <w:tblGrid>
        <w:gridCol w:w="3402"/>
        <w:gridCol w:w="5670"/>
      </w:tblGrid>
      <w:tr w:rsidTr="000279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A1E2B">
            <w:pPr>
              <w:pStyle w:val="BodyText"/>
              <w:rPr>
                <w:lang w:val="en-NZ"/>
              </w:rPr>
            </w:pPr>
            <w:r w:rsidRPr="00AA1E2B">
              <w:rPr>
                <w:rStyle w:val="SpecialBold"/>
              </w:rPr>
              <w:t>EVIDENCE GUIDE</w:t>
            </w:r>
          </w:p>
        </w:tc>
      </w:tr>
      <w:tr w:rsidTr="000279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1E2B">
            <w:pPr>
              <w:pStyle w:val="BodyText"/>
              <w:rPr>
                <w:lang w:val="en-NZ"/>
              </w:rPr>
            </w:pPr>
          </w:p>
        </w:tc>
      </w:tr>
      <w:tr w:rsidTr="000279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1E2B">
            <w:pPr>
              <w:pStyle w:val="BodyText"/>
              <w:rPr>
                <w:lang w:val="en-NZ"/>
              </w:rPr>
            </w:pPr>
            <w:r w:rsidRPr="00AA1E2B">
              <w:t>The evidence guide provides advice on assessment and must be read in conjunction with the Performance Criteria, Required Skills and Knowledge, the Range Statement and the Assessment Guidelines for this Training Package.</w:t>
            </w:r>
          </w:p>
        </w:tc>
      </w:tr>
      <w:tr w:rsidTr="000279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1E2B">
            <w:pPr>
              <w:pStyle w:val="BodyText"/>
              <w:rPr>
                <w:lang w:val="en-NZ"/>
              </w:rPr>
            </w:pPr>
          </w:p>
        </w:tc>
      </w:tr>
      <w:tr w:rsidTr="000279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r w:rsidRPr="00AA1E2B">
              <w:rPr>
                <w:rStyle w:val="Emphasis"/>
              </w:rPr>
              <w:t>Critical aspects for assessment</w:t>
            </w:r>
            <w:r w:rsidRPr="00AA1E2B">
              <w:rPr>
                <w:rStyle w:val="Emphasis"/>
              </w:rPr>
              <w:t xml:space="preserve"> and evidence required to demonstrate this competency unit</w:t>
            </w:r>
            <w:r w:rsidRPr="00AA1E2B">
              <w:t xml:space="preserve">: </w:t>
            </w:r>
            <w:r w:rsidRPr="00AA1E2B">
              <w:br/>
            </w:r>
          </w:p>
        </w:tc>
        <w:tc>
          <w:tcPr>
            <w:tcW w:w="5670" w:type="dxa"/>
            <w:tcBorders>
              <w:top w:val="nil"/>
              <w:left w:val="nil"/>
              <w:bottom w:val="nil"/>
              <w:right w:val="nil"/>
            </w:tcBorders>
            <w:tcMar>
              <w:top w:w="0" w:type="dxa"/>
              <w:left w:w="62" w:type="dxa"/>
              <w:bottom w:w="0" w:type="dxa"/>
              <w:right w:w="62" w:type="dxa"/>
            </w:tcMar>
          </w:tcPr>
          <w:p w:rsidR="00000000" w:rsidRPr="00AA1E2B" w:rsidP="00AA1E2B">
            <w:pPr>
              <w:pStyle w:val="ListBullet"/>
            </w:pPr>
            <w:r w:rsidRPr="00AA1E2B">
              <w:t>The individual being assessed must provide evidence of specified essential knowledge as well as skills</w:t>
            </w:r>
          </w:p>
          <w:p w:rsidR="00000000" w:rsidP="00AA1E2B">
            <w:pPr>
              <w:pStyle w:val="ListBullet"/>
              <w:rPr>
                <w:lang w:val="en-NZ"/>
              </w:rPr>
            </w:pPr>
            <w:r w:rsidRPr="00AA1E2B">
              <w:t>Consistency of performance should be demonstrated over the required range of workplace sit</w:t>
            </w:r>
            <w:r w:rsidRPr="00AA1E2B">
              <w:t xml:space="preserve">uations </w:t>
            </w:r>
          </w:p>
        </w:tc>
      </w:tr>
      <w:tr w:rsidTr="000279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p>
        </w:tc>
      </w:tr>
      <w:tr w:rsidTr="000279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r w:rsidRPr="00AA1E2B">
              <w:rPr>
                <w:rStyle w:val="Emphasis"/>
              </w:rPr>
              <w:t>Context of and specific resources for assessment</w:t>
            </w:r>
            <w:r w:rsidRPr="00AA1E2B">
              <w:t xml:space="preserve">: </w:t>
            </w:r>
            <w:r w:rsidRPr="00AA1E2B">
              <w:br/>
            </w:r>
          </w:p>
        </w:tc>
        <w:tc>
          <w:tcPr>
            <w:tcW w:w="5670" w:type="dxa"/>
            <w:tcBorders>
              <w:top w:val="nil"/>
              <w:left w:val="nil"/>
              <w:bottom w:val="nil"/>
              <w:right w:val="nil"/>
            </w:tcBorders>
            <w:tcMar>
              <w:top w:w="0" w:type="dxa"/>
              <w:left w:w="62" w:type="dxa"/>
              <w:bottom w:w="0" w:type="dxa"/>
              <w:right w:w="62" w:type="dxa"/>
            </w:tcMar>
          </w:tcPr>
          <w:p w:rsidR="00000000" w:rsidRPr="00AA1E2B" w:rsidP="00AA1E2B">
            <w:pPr>
              <w:pStyle w:val="ListBullet"/>
            </w:pPr>
            <w:r w:rsidRPr="00AA1E2B">
              <w:t>Assessment should replicate workplace conditions as far as possible</w:t>
            </w:r>
          </w:p>
          <w:p w:rsidR="00000000" w:rsidP="00AA1E2B">
            <w:pPr>
              <w:pStyle w:val="ListBullet"/>
              <w:rPr>
                <w:lang w:val="en-NZ"/>
              </w:rPr>
            </w:pPr>
            <w:r w:rsidRPr="00AA1E2B">
              <w:t>Where, for reasons of safety, access to equipment and resources and space, assessment takes place away from the workplace, simulations should be used to represent workplace conditions as closely as possible</w:t>
            </w:r>
          </w:p>
        </w:tc>
      </w:tr>
      <w:tr w:rsidTr="000279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p>
        </w:tc>
      </w:tr>
      <w:tr w:rsidTr="000279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r w:rsidRPr="00AA1E2B">
              <w:rPr>
                <w:rStyle w:val="Emphasis"/>
              </w:rPr>
              <w:t>Method of assessment</w:t>
            </w:r>
            <w:r w:rsidRPr="00AA1E2B">
              <w:t xml:space="preserve"> </w:t>
            </w:r>
          </w:p>
        </w:tc>
        <w:tc>
          <w:tcPr>
            <w:tcW w:w="5670" w:type="dxa"/>
            <w:tcBorders>
              <w:top w:val="nil"/>
              <w:left w:val="nil"/>
              <w:bottom w:val="nil"/>
              <w:right w:val="nil"/>
            </w:tcBorders>
            <w:tcMar>
              <w:top w:w="0" w:type="dxa"/>
              <w:left w:w="62" w:type="dxa"/>
              <w:bottom w:w="0" w:type="dxa"/>
              <w:right w:w="62" w:type="dxa"/>
            </w:tcMar>
          </w:tcPr>
          <w:p w:rsidR="00000000" w:rsidRPr="00AA1E2B" w:rsidP="00AA1E2B">
            <w:pPr>
              <w:pStyle w:val="ListBullet"/>
            </w:pPr>
            <w:r w:rsidRPr="00AA1E2B">
              <w:t xml:space="preserve">Evidence of essential </w:t>
            </w:r>
            <w:r w:rsidRPr="00AA1E2B">
              <w:t>knowledge and understanding may be provided by:</w:t>
            </w:r>
          </w:p>
          <w:p w:rsidR="00000000" w:rsidRPr="00AA1E2B" w:rsidP="00AA1E2B">
            <w:pPr>
              <w:pStyle w:val="ListBullet2"/>
            </w:pPr>
            <w:r w:rsidRPr="00AA1E2B">
              <w:t>traditional or online (computer-based) assessment</w:t>
            </w:r>
          </w:p>
          <w:p w:rsidR="00000000" w:rsidRPr="00AA1E2B" w:rsidP="00AA1E2B">
            <w:pPr>
              <w:pStyle w:val="ListBullet2"/>
            </w:pPr>
            <w:r w:rsidRPr="00AA1E2B">
              <w:t>written assignments/projects</w:t>
            </w:r>
          </w:p>
          <w:p w:rsidR="00000000" w:rsidRPr="00AA1E2B" w:rsidP="00AA1E2B">
            <w:pPr>
              <w:pStyle w:val="ListBullet"/>
            </w:pPr>
            <w:r w:rsidRPr="00AA1E2B">
              <w:t>Case study and scenario as a basis for discussion of issues and strategies to contribute to best practice</w:t>
            </w:r>
          </w:p>
          <w:p w:rsidR="00000000" w:rsidRPr="00AA1E2B" w:rsidP="00AA1E2B">
            <w:pPr>
              <w:pStyle w:val="ListBullet"/>
            </w:pPr>
            <w:r w:rsidRPr="00AA1E2B">
              <w:t>Questioning</w:t>
            </w:r>
          </w:p>
          <w:p w:rsidR="00000000" w:rsidRPr="00AA1E2B" w:rsidP="00AA1E2B">
            <w:pPr>
              <w:pStyle w:val="ListBullet"/>
            </w:pPr>
            <w:r w:rsidRPr="00AA1E2B">
              <w:t>Staff and/or client feedback</w:t>
            </w:r>
          </w:p>
          <w:p w:rsidR="00000000" w:rsidRPr="00AA1E2B" w:rsidP="00AA1E2B">
            <w:pPr>
              <w:pStyle w:val="ListBullet"/>
            </w:pPr>
            <w:r w:rsidRPr="00AA1E2B">
              <w:t>Supporting statement of supervisor</w:t>
            </w:r>
          </w:p>
          <w:p w:rsidR="00000000" w:rsidRPr="00AA1E2B" w:rsidP="00AA1E2B">
            <w:pPr>
              <w:pStyle w:val="ListBullet"/>
            </w:pPr>
            <w:r w:rsidRPr="00AA1E2B">
              <w:t>Authenticated evidence of relevant work experience and/or formal/informal learning</w:t>
            </w:r>
          </w:p>
          <w:p w:rsidR="00000000" w:rsidP="00AA1E2B">
            <w:pPr>
              <w:pStyle w:val="ListBullet"/>
              <w:rPr>
                <w:lang w:val="en-NZ"/>
              </w:rPr>
            </w:pPr>
            <w:r w:rsidRPr="00AA1E2B">
              <w:t>Role play/simulation</w:t>
            </w:r>
          </w:p>
        </w:tc>
      </w:tr>
      <w:tr w:rsidTr="000279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p>
        </w:tc>
      </w:tr>
      <w:tr w:rsidTr="000279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r w:rsidRPr="00AA1E2B">
              <w:rPr>
                <w:rStyle w:val="Emphasis"/>
              </w:rPr>
              <w:t>Access and equity considerations</w:t>
            </w:r>
            <w:r w:rsidRPr="00AA1E2B">
              <w:t>:</w:t>
            </w:r>
          </w:p>
        </w:tc>
        <w:tc>
          <w:tcPr>
            <w:tcW w:w="5670" w:type="dxa"/>
            <w:tcBorders>
              <w:top w:val="nil"/>
              <w:left w:val="nil"/>
              <w:bottom w:val="nil"/>
              <w:right w:val="nil"/>
            </w:tcBorders>
            <w:tcMar>
              <w:top w:w="0" w:type="dxa"/>
              <w:left w:w="62" w:type="dxa"/>
              <w:bottom w:w="0" w:type="dxa"/>
              <w:right w:w="62" w:type="dxa"/>
            </w:tcMar>
          </w:tcPr>
          <w:p w:rsidR="00000000" w:rsidRPr="00AA1E2B" w:rsidP="00AA1E2B">
            <w:pPr>
              <w:pStyle w:val="ListBullet"/>
            </w:pPr>
            <w:r w:rsidRPr="00AA1E2B">
              <w:t>All workers in the health industry should b</w:t>
            </w:r>
            <w:r w:rsidRPr="00AA1E2B">
              <w:t>e aware of access and equity issues in relation to their own area of work</w:t>
            </w:r>
          </w:p>
          <w:p w:rsidR="00000000" w:rsidRPr="00AA1E2B" w:rsidP="00AA1E2B">
            <w:pPr>
              <w:pStyle w:val="ListBullet"/>
            </w:pPr>
            <w:r w:rsidRPr="00AA1E2B">
              <w:t xml:space="preserve">All workers should develop their ability to work in a culturally diverse environment </w:t>
            </w:r>
          </w:p>
          <w:p w:rsidR="00000000" w:rsidRPr="00AA1E2B" w:rsidP="00AA1E2B">
            <w:pPr>
              <w:pStyle w:val="ListBullet"/>
            </w:pPr>
            <w:r w:rsidRPr="00AA1E2B">
              <w:t>In recognition of particular health issues facing Aboriginal and Torres Strait Islander communit</w:t>
            </w:r>
            <w:r w:rsidRPr="00AA1E2B">
              <w:t>ies, workers should be aware of cultural, historical and current issues impacting on health of Aboriginal and Torres Strait Islander people</w:t>
            </w:r>
          </w:p>
          <w:p w:rsidR="00000000" w:rsidP="00AA1E2B">
            <w:pPr>
              <w:pStyle w:val="ListBullet"/>
              <w:rPr>
                <w:lang w:val="en-NZ"/>
              </w:rPr>
            </w:pPr>
            <w:r w:rsidRPr="00AA1E2B">
              <w:t>Assessors and trainers must take into account relevant access and equity issues, in particular relating to factors i</w:t>
            </w:r>
            <w:r w:rsidRPr="00AA1E2B">
              <w:t>mpacting on health of Aboriginal and/or Torres Strait Islander clients and communities</w:t>
            </w:r>
          </w:p>
        </w:tc>
      </w:tr>
      <w:tr w:rsidTr="000279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A1E2B" w:rsidP="00AA1E2B">
            <w:pPr>
              <w:pStyle w:val="BodyText"/>
            </w:pPr>
          </w:p>
        </w:tc>
      </w:tr>
    </w:tbl>
    <w:p w:rsidR="000279F6" w:rsidP="00AA1E2B">
      <w:pPr>
        <w:pStyle w:val="BodyText"/>
      </w:pPr>
    </w:p>
    <w:p w:rsidR="000279F6" w:rsidP="00AA1E2B">
      <w:pPr>
        <w:pStyle w:val="BodyText"/>
      </w:pPr>
    </w:p>
    <w:p w:rsidR="00000000" w:rsidRPr="00AA1E2B" w:rsidP="00AA1E2B">
      <w:pPr>
        <w:pStyle w:val="Heading1"/>
      </w:pPr>
      <w:bookmarkStart w:id="11" w:name="O_251814"/>
      <w:bookmarkEnd w:id="11"/>
      <w:r w:rsidRPr="00AA1E2B">
        <w:t>Range Statement</w:t>
      </w:r>
    </w:p>
    <w:tbl>
      <w:tblPr>
        <w:tblW w:w="0" w:type="auto"/>
        <w:tblLayout w:type="fixed"/>
        <w:tblCellMar>
          <w:left w:w="62" w:type="dxa"/>
          <w:right w:w="62" w:type="dxa"/>
        </w:tblCellMar>
        <w:tblLook w:val="0000"/>
      </w:tblPr>
      <w:tblGrid>
        <w:gridCol w:w="3402"/>
        <w:gridCol w:w="5670"/>
      </w:tblGrid>
      <w:tr w:rsidTr="000279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A1E2B">
            <w:pPr>
              <w:pStyle w:val="BodyText"/>
              <w:rPr>
                <w:lang w:val="en-NZ"/>
              </w:rPr>
            </w:pPr>
            <w:r w:rsidRPr="00AA1E2B">
              <w:rPr>
                <w:rStyle w:val="SpecialBold"/>
              </w:rPr>
              <w:t>RANGE STATEMENT</w:t>
            </w:r>
          </w:p>
        </w:tc>
      </w:tr>
      <w:tr w:rsidTr="000279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1E2B">
            <w:pPr>
              <w:pStyle w:val="BodyText"/>
              <w:rPr>
                <w:lang w:val="en-NZ"/>
              </w:rPr>
            </w:pPr>
          </w:p>
        </w:tc>
      </w:tr>
      <w:tr w:rsidTr="000279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1E2B">
            <w:pPr>
              <w:pStyle w:val="BodyText"/>
              <w:rPr>
                <w:lang w:val="en-NZ"/>
              </w:rPr>
            </w:pPr>
            <w:r w:rsidRPr="00AA1E2B">
              <w:t>The Range Statement relates to the unit of competency as a whole. It allows for different work environments and situations that may affect performance.</w:t>
            </w:r>
          </w:p>
        </w:tc>
      </w:tr>
      <w:tr w:rsidTr="000279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p>
        </w:tc>
      </w:tr>
      <w:tr w:rsidTr="000279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r w:rsidRPr="00AA1E2B">
              <w:rPr>
                <w:rStyle w:val="Emphasis"/>
              </w:rPr>
              <w:t>Immediate dentures may include</w:t>
            </w:r>
            <w:r w:rsidRPr="00AA1E2B">
              <w:t>:</w:t>
            </w:r>
          </w:p>
        </w:tc>
        <w:tc>
          <w:tcPr>
            <w:tcW w:w="5670" w:type="dxa"/>
            <w:tcBorders>
              <w:top w:val="nil"/>
              <w:left w:val="nil"/>
              <w:bottom w:val="nil"/>
              <w:right w:val="nil"/>
            </w:tcBorders>
            <w:tcMar>
              <w:top w:w="0" w:type="dxa"/>
              <w:left w:w="62" w:type="dxa"/>
              <w:bottom w:w="0" w:type="dxa"/>
              <w:right w:w="62" w:type="dxa"/>
            </w:tcMar>
          </w:tcPr>
          <w:p w:rsidR="00000000" w:rsidRPr="00AA1E2B" w:rsidP="00AA1E2B">
            <w:pPr>
              <w:pStyle w:val="ListBullet"/>
            </w:pPr>
            <w:r w:rsidRPr="00AA1E2B">
              <w:t>Complete dentures</w:t>
            </w:r>
          </w:p>
          <w:p w:rsidR="00000000" w:rsidP="00AA1E2B">
            <w:pPr>
              <w:pStyle w:val="ListBullet"/>
              <w:rPr>
                <w:lang w:val="en-NZ"/>
              </w:rPr>
            </w:pPr>
            <w:r w:rsidRPr="00AA1E2B">
              <w:t>Partial dentures</w:t>
            </w:r>
          </w:p>
        </w:tc>
      </w:tr>
      <w:tr w:rsidTr="000279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p>
        </w:tc>
      </w:tr>
      <w:tr w:rsidTr="000279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1E2B">
            <w:pPr>
              <w:pStyle w:val="BodyText"/>
              <w:rPr>
                <w:lang w:val="en-NZ"/>
              </w:rPr>
            </w:pPr>
            <w:r w:rsidRPr="00AA1E2B">
              <w:rPr>
                <w:rStyle w:val="Emphasis"/>
              </w:rPr>
              <w:t>Type of immediate denture replacement may include</w:t>
            </w:r>
            <w:r w:rsidRPr="00AA1E2B">
              <w:t>:</w:t>
            </w:r>
          </w:p>
        </w:tc>
        <w:tc>
          <w:tcPr>
            <w:tcW w:w="5670" w:type="dxa"/>
            <w:tcBorders>
              <w:top w:val="nil"/>
              <w:left w:val="nil"/>
              <w:bottom w:val="nil"/>
              <w:right w:val="nil"/>
            </w:tcBorders>
            <w:tcMar>
              <w:top w:w="0" w:type="dxa"/>
              <w:left w:w="62" w:type="dxa"/>
              <w:bottom w:w="0" w:type="dxa"/>
              <w:right w:w="62" w:type="dxa"/>
            </w:tcMar>
          </w:tcPr>
          <w:p w:rsidR="00000000" w:rsidRPr="00AA1E2B" w:rsidP="00AA1E2B">
            <w:pPr>
              <w:pStyle w:val="ListBullet"/>
            </w:pPr>
            <w:r w:rsidRPr="00AA1E2B">
              <w:t>Flanged denture with bone re-contouring</w:t>
            </w:r>
          </w:p>
          <w:p w:rsidR="00000000" w:rsidRPr="00AA1E2B" w:rsidP="00AA1E2B">
            <w:pPr>
              <w:pStyle w:val="ListBullet"/>
            </w:pPr>
            <w:r w:rsidRPr="00AA1E2B">
              <w:t>Flanged denture without bone re-contouring</w:t>
            </w:r>
          </w:p>
          <w:p w:rsidR="00000000" w:rsidP="00AA1E2B">
            <w:pPr>
              <w:pStyle w:val="ListBullet"/>
              <w:rPr>
                <w:lang w:val="en-NZ"/>
              </w:rPr>
            </w:pPr>
            <w:r w:rsidRPr="00AA1E2B">
              <w:t>Socketed or open-faced denture</w:t>
            </w:r>
          </w:p>
        </w:tc>
      </w:tr>
      <w:tr w:rsidTr="000279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A1E2B" w:rsidP="00AA1E2B">
            <w:pPr>
              <w:pStyle w:val="BodyText"/>
            </w:pPr>
          </w:p>
        </w:tc>
      </w:tr>
    </w:tbl>
    <w:p w:rsidR="000279F6" w:rsidP="00AA1E2B">
      <w:pPr>
        <w:pStyle w:val="BodyText"/>
      </w:pPr>
    </w:p>
    <w:p w:rsidR="000279F6" w:rsidP="00AA1E2B">
      <w:pPr>
        <w:pStyle w:val="BodyText"/>
      </w:pPr>
    </w:p>
    <w:p w:rsidR="00000000" w:rsidRPr="00AA1E2B" w:rsidP="00AA1E2B">
      <w:pPr>
        <w:pStyle w:val="Heading1"/>
      </w:pPr>
      <w:bookmarkStart w:id="12" w:name="O_295040"/>
      <w:bookmarkEnd w:id="12"/>
      <w:r w:rsidRPr="00AA1E2B">
        <w:t>Unit Sector(s)</w:t>
      </w:r>
    </w:p>
    <w:p w:rsidR="00000000" w:rsidRPr="00AA1E2B" w:rsidP="00AA1E2B">
      <w:pPr>
        <w:pStyle w:val="BodyText"/>
      </w:pPr>
      <w:r w:rsidRPr="00AA1E2B">
        <w:t>Not Applicable</w:t>
      </w:r>
    </w:p>
    <w:p w:rsidR="00000000" w:rsidRPr="00AA1E2B" w:rsidP="00AA1E2B"/>
    <w:sectPr w:rsidSect="00AA1E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E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9F6" w:rsidP="000279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E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9F6" w:rsidP="00AA1E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279F6" w:rsidP="00AA1E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279F6" w:rsidP="00AA1E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E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9F6" w:rsidP="000279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E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9F6" w:rsidP="00AA1E2B">
    <w:pPr>
      <w:pStyle w:val="Header"/>
      <w:framePr w:wrap="around"/>
    </w:pPr>
    <w:r>
      <w:fldChar w:fldCharType="begin"/>
    </w:r>
    <w:r>
      <w:instrText xml:space="preserve"> TITLE   \* MERGEFORMAT </w:instrText>
    </w:r>
    <w:r>
      <w:fldChar w:fldCharType="separate"/>
    </w:r>
    <w:r>
      <w:t>HLTDT507C Construct immediate dentures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79F6" w:rsidP="00AA1E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A026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E49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E48F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E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1E2B"/>
    <w:pPr>
      <w:spacing w:before="360" w:after="60"/>
      <w:outlineLvl w:val="0"/>
    </w:pPr>
    <w:rPr>
      <w:sz w:val="32"/>
    </w:rPr>
  </w:style>
  <w:style w:type="paragraph" w:styleId="Heading2">
    <w:name w:val="heading 2"/>
    <w:basedOn w:val="HeadingBase"/>
    <w:next w:val="BodyText"/>
    <w:link w:val="Heading2Char"/>
    <w:qFormat/>
    <w:rsid w:val="00AA1E2B"/>
    <w:pPr>
      <w:keepLines/>
      <w:spacing w:before="240" w:after="120"/>
      <w:outlineLvl w:val="1"/>
    </w:pPr>
    <w:rPr>
      <w:sz w:val="28"/>
      <w:szCs w:val="40"/>
    </w:rPr>
  </w:style>
  <w:style w:type="paragraph" w:styleId="Heading3">
    <w:name w:val="heading 3"/>
    <w:basedOn w:val="HeadingBase"/>
    <w:next w:val="BodyText"/>
    <w:link w:val="Heading3Char"/>
    <w:qFormat/>
    <w:rsid w:val="00AA1E2B"/>
    <w:pPr>
      <w:spacing w:before="180" w:after="120"/>
      <w:outlineLvl w:val="2"/>
    </w:pPr>
    <w:rPr>
      <w:spacing w:val="-10"/>
      <w:kern w:val="32"/>
    </w:rPr>
  </w:style>
  <w:style w:type="paragraph" w:styleId="Heading4">
    <w:name w:val="heading 4"/>
    <w:basedOn w:val="HeadingBase"/>
    <w:next w:val="BodyText"/>
    <w:link w:val="Heading4Char"/>
    <w:qFormat/>
    <w:rsid w:val="00AA1E2B"/>
    <w:pPr>
      <w:spacing w:before="160" w:after="120"/>
      <w:outlineLvl w:val="3"/>
    </w:pPr>
    <w:rPr>
      <w:sz w:val="22"/>
    </w:rPr>
  </w:style>
  <w:style w:type="paragraph" w:styleId="Heading5">
    <w:name w:val="heading 5"/>
    <w:basedOn w:val="HeadingBase"/>
    <w:next w:val="Normal"/>
    <w:link w:val="Heading5Char"/>
    <w:qFormat/>
    <w:rsid w:val="00AA1E2B"/>
    <w:pPr>
      <w:spacing w:before="80"/>
      <w:outlineLvl w:val="4"/>
    </w:pPr>
    <w:rPr>
      <w:color w:val="918585"/>
      <w:sz w:val="20"/>
    </w:rPr>
  </w:style>
  <w:style w:type="paragraph" w:styleId="Heading6">
    <w:name w:val="heading 6"/>
    <w:basedOn w:val="HeadingBase"/>
    <w:next w:val="Normal"/>
    <w:link w:val="Heading6Char"/>
    <w:qFormat/>
    <w:rsid w:val="00AA1E2B"/>
    <w:pPr>
      <w:spacing w:before="60"/>
      <w:outlineLvl w:val="5"/>
    </w:pPr>
    <w:rPr>
      <w:color w:val="918585"/>
      <w:sz w:val="20"/>
    </w:rPr>
  </w:style>
  <w:style w:type="paragraph" w:styleId="Heading7">
    <w:name w:val="heading 7"/>
    <w:basedOn w:val="Normal"/>
    <w:next w:val="Normal"/>
    <w:link w:val="Heading7Char"/>
    <w:qFormat/>
    <w:rsid w:val="00AA1E2B"/>
    <w:pPr>
      <w:ind w:left="720"/>
      <w:outlineLvl w:val="6"/>
    </w:pPr>
    <w:rPr>
      <w:i/>
    </w:rPr>
  </w:style>
  <w:style w:type="paragraph" w:styleId="Heading8">
    <w:name w:val="heading 8"/>
    <w:basedOn w:val="Normal"/>
    <w:next w:val="Normal"/>
    <w:link w:val="Heading8Char"/>
    <w:qFormat/>
    <w:rsid w:val="00AA1E2B"/>
    <w:pPr>
      <w:ind w:left="720"/>
      <w:outlineLvl w:val="7"/>
    </w:pPr>
    <w:rPr>
      <w:i/>
    </w:rPr>
  </w:style>
  <w:style w:type="paragraph" w:styleId="Heading9">
    <w:name w:val="heading 9"/>
    <w:basedOn w:val="Normal"/>
    <w:next w:val="Normal"/>
    <w:link w:val="Heading9Char"/>
    <w:qFormat/>
    <w:rsid w:val="00AA1E2B"/>
    <w:pPr>
      <w:ind w:left="720"/>
      <w:outlineLvl w:val="8"/>
    </w:pPr>
    <w:rPr>
      <w:i/>
    </w:rPr>
  </w:style>
  <w:style w:type="character" w:default="1" w:styleId="DefaultParagraphFont">
    <w:name w:val="Default Paragraph Font"/>
    <w:uiPriority w:val="1"/>
    <w:unhideWhenUsed/>
    <w:rsid w:val="00AA1E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E2B"/>
  </w:style>
  <w:style w:type="character" w:customStyle="1" w:styleId="Heading1Char">
    <w:name w:val="Heading 1 Char"/>
    <w:basedOn w:val="DefaultParagraphFont"/>
    <w:link w:val="Heading1"/>
    <w:rsid w:val="00AA1E2B"/>
    <w:rPr>
      <w:rFonts w:ascii="Times New Roman" w:eastAsia="Times New Roman" w:hAnsi="Times New Roman" w:cs="Times New Roman"/>
      <w:b/>
      <w:sz w:val="32"/>
      <w:szCs w:val="20"/>
      <w:lang w:eastAsia="en-US"/>
    </w:rPr>
  </w:style>
  <w:style w:type="paragraph" w:styleId="BodyText">
    <w:name w:val="Body Text"/>
    <w:basedOn w:val="Normal"/>
    <w:link w:val="BodyTextChar"/>
    <w:rsid w:val="00AA1E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1E2B"/>
    <w:rPr>
      <w:rFonts w:ascii="Times New Roman" w:eastAsia="Times New Roman" w:hAnsi="Times New Roman" w:cs="Times New Roman"/>
      <w:sz w:val="24"/>
      <w:lang w:val="en-US" w:eastAsia="en-US"/>
    </w:rPr>
  </w:style>
  <w:style w:type="paragraph" w:styleId="Footer">
    <w:name w:val="footer"/>
    <w:basedOn w:val="Normal"/>
    <w:link w:val="FooterChar"/>
    <w:rsid w:val="00AA1E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E2B"/>
    <w:rPr>
      <w:rFonts w:ascii="Times New Roman" w:eastAsia="Times New Roman" w:hAnsi="Times New Roman" w:cs="Times New Roman"/>
      <w:sz w:val="16"/>
      <w:lang w:val="en-US" w:eastAsia="en-US"/>
    </w:rPr>
  </w:style>
  <w:style w:type="paragraph" w:styleId="List">
    <w:name w:val="List"/>
    <w:basedOn w:val="BodyText"/>
    <w:next w:val="BodyText"/>
    <w:rsid w:val="00AA1E2B"/>
    <w:pPr>
      <w:tabs>
        <w:tab w:val="left" w:pos="340"/>
      </w:tabs>
      <w:spacing w:before="60" w:after="60"/>
      <w:ind w:left="340" w:hanging="340"/>
    </w:pPr>
  </w:style>
  <w:style w:type="paragraph" w:styleId="ListBullet">
    <w:name w:val="List Bullet"/>
    <w:basedOn w:val="List"/>
    <w:rsid w:val="00AA1E2B"/>
    <w:pPr>
      <w:numPr>
        <w:numId w:val="13"/>
      </w:numPr>
      <w:tabs>
        <w:tab w:val="clear" w:pos="340"/>
      </w:tabs>
      <w:spacing w:before="40" w:after="40"/>
    </w:pPr>
  </w:style>
  <w:style w:type="character" w:customStyle="1" w:styleId="SpecialBold">
    <w:name w:val="Special Bold"/>
    <w:basedOn w:val="DefaultParagraphFont"/>
    <w:rsid w:val="00AA1E2B"/>
    <w:rPr>
      <w:b/>
      <w:spacing w:val="0"/>
    </w:rPr>
  </w:style>
  <w:style w:type="paragraph" w:styleId="ListBullet2">
    <w:name w:val="List Bullet 2"/>
    <w:basedOn w:val="List2"/>
    <w:rsid w:val="00AA1E2B"/>
    <w:pPr>
      <w:numPr>
        <w:numId w:val="14"/>
      </w:numPr>
      <w:tabs>
        <w:tab w:val="clear" w:pos="680"/>
      </w:tabs>
    </w:pPr>
  </w:style>
  <w:style w:type="paragraph" w:styleId="Header">
    <w:name w:val="header"/>
    <w:basedOn w:val="Normal"/>
    <w:link w:val="HeaderChar"/>
    <w:rsid w:val="00AA1E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E2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A1E2B"/>
    <w:rPr>
      <w:i/>
    </w:rPr>
  </w:style>
  <w:style w:type="paragraph" w:customStyle="1" w:styleId="SuperHeading">
    <w:name w:val="SuperHeading"/>
    <w:basedOn w:val="Normal"/>
    <w:rsid w:val="00AA1E2B"/>
    <w:pPr>
      <w:spacing w:before="240" w:after="120"/>
      <w:outlineLvl w:val="0"/>
    </w:pPr>
    <w:rPr>
      <w:rFonts w:ascii="Times New Roman" w:hAnsi="Times New Roman"/>
      <w:b/>
      <w:sz w:val="28"/>
    </w:rPr>
  </w:style>
  <w:style w:type="paragraph" w:customStyle="1" w:styleId="AllowPageBreak">
    <w:name w:val="AllowPageBreak"/>
    <w:rsid w:val="00AA1E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1E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E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E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E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E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E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1E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1E2B"/>
    <w:rPr>
      <w:rFonts w:ascii="Courier New" w:eastAsia="Times New Roman" w:hAnsi="Courier New" w:cs="Times New Roman"/>
      <w:i/>
      <w:szCs w:val="20"/>
      <w:lang w:val="en-US" w:eastAsia="en-US"/>
    </w:rPr>
  </w:style>
  <w:style w:type="paragraph" w:customStyle="1" w:styleId="HeadingBase">
    <w:name w:val="Heading Base"/>
    <w:rsid w:val="00AA1E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E2B"/>
    <w:pPr>
      <w:tabs>
        <w:tab w:val="right" w:leader="dot" w:pos="9072"/>
      </w:tabs>
      <w:ind w:left="567"/>
    </w:pPr>
    <w:rPr>
      <w:szCs w:val="22"/>
    </w:rPr>
  </w:style>
  <w:style w:type="paragraph" w:customStyle="1" w:styleId="TOCBase">
    <w:name w:val="TOC Base"/>
    <w:rsid w:val="00AA1E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E2B"/>
    <w:pPr>
      <w:tabs>
        <w:tab w:val="right" w:leader="dot" w:pos="9072"/>
      </w:tabs>
      <w:spacing w:before="40" w:after="40"/>
      <w:ind w:left="284"/>
    </w:pPr>
    <w:rPr>
      <w:rFonts w:ascii="Times New Roman" w:hAnsi="Times New Roman"/>
    </w:rPr>
  </w:style>
  <w:style w:type="paragraph" w:styleId="TOC1">
    <w:name w:val="toc 1"/>
    <w:basedOn w:val="TOCBase"/>
    <w:next w:val="Normal"/>
    <w:rsid w:val="00AA1E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1E2B"/>
    <w:pPr>
      <w:spacing w:before="5040"/>
      <w:jc w:val="center"/>
    </w:pPr>
    <w:rPr>
      <w:sz w:val="48"/>
      <w:szCs w:val="72"/>
      <w:lang w:val="en-US"/>
    </w:rPr>
  </w:style>
  <w:style w:type="character" w:customStyle="1" w:styleId="TitleChar">
    <w:name w:val="Title Char"/>
    <w:basedOn w:val="DefaultParagraphFont"/>
    <w:link w:val="Title"/>
    <w:rsid w:val="00AA1E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E2B"/>
    <w:pPr>
      <w:tabs>
        <w:tab w:val="left" w:pos="3600"/>
        <w:tab w:val="left" w:pos="3958"/>
      </w:tabs>
    </w:pPr>
  </w:style>
  <w:style w:type="paragraph" w:customStyle="1" w:styleId="Note">
    <w:name w:val="Note"/>
    <w:basedOn w:val="BodyText"/>
    <w:rsid w:val="00AA1E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E2B"/>
    <w:pPr>
      <w:framePr w:wrap="auto" w:hAnchor="text" w:y="6049"/>
    </w:pPr>
    <w:rPr>
      <w:color w:val="000000"/>
      <w:sz w:val="40"/>
    </w:rPr>
  </w:style>
  <w:style w:type="paragraph" w:customStyle="1" w:styleId="TOCTitle">
    <w:name w:val="TOCTitle"/>
    <w:basedOn w:val="Heading1"/>
    <w:rsid w:val="00AA1E2B"/>
    <w:pPr>
      <w:spacing w:after="240"/>
      <w:jc w:val="center"/>
      <w:outlineLvl w:val="9"/>
    </w:pPr>
    <w:rPr>
      <w:caps/>
    </w:rPr>
  </w:style>
  <w:style w:type="paragraph" w:customStyle="1" w:styleId="Version">
    <w:name w:val="Version"/>
    <w:rsid w:val="00AA1E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1E2B"/>
    <w:pPr>
      <w:keepNext w:val="0"/>
      <w:tabs>
        <w:tab w:val="right" w:pos="4176"/>
      </w:tabs>
      <w:ind w:left="198" w:hanging="198"/>
    </w:pPr>
    <w:rPr>
      <w:rFonts w:ascii="Garamond" w:hAnsi="Garamond"/>
    </w:rPr>
  </w:style>
  <w:style w:type="paragraph" w:styleId="IndexHeading">
    <w:name w:val="index heading"/>
    <w:basedOn w:val="Normal"/>
    <w:next w:val="Index1"/>
    <w:semiHidden/>
    <w:rsid w:val="00AA1E2B"/>
    <w:pPr>
      <w:spacing w:before="120" w:after="120"/>
    </w:pPr>
    <w:rPr>
      <w:rFonts w:ascii="Arial" w:hAnsi="Arial"/>
      <w:b/>
      <w:color w:val="918585"/>
      <w:sz w:val="24"/>
    </w:rPr>
  </w:style>
  <w:style w:type="paragraph" w:customStyle="1" w:styleId="Chapter">
    <w:name w:val="Chapter"/>
    <w:basedOn w:val="Normal"/>
    <w:rsid w:val="00AA1E2B"/>
    <w:pPr>
      <w:spacing w:before="240"/>
    </w:pPr>
    <w:rPr>
      <w:rFonts w:ascii="Times New Roman" w:hAnsi="Times New Roman"/>
      <w:smallCaps/>
      <w:spacing w:val="80"/>
      <w:sz w:val="28"/>
    </w:rPr>
  </w:style>
  <w:style w:type="paragraph" w:customStyle="1" w:styleId="InChapter">
    <w:name w:val="InChapter"/>
    <w:basedOn w:val="Heading3"/>
    <w:rsid w:val="00AA1E2B"/>
    <w:pPr>
      <w:spacing w:after="240"/>
      <w:outlineLvl w:val="9"/>
    </w:pPr>
    <w:rPr>
      <w:noProof/>
    </w:rPr>
  </w:style>
  <w:style w:type="paragraph" w:styleId="Index2">
    <w:name w:val="index 2"/>
    <w:basedOn w:val="Normal"/>
    <w:next w:val="Normal"/>
    <w:semiHidden/>
    <w:rsid w:val="00AA1E2B"/>
    <w:pPr>
      <w:tabs>
        <w:tab w:val="right" w:pos="4176"/>
      </w:tabs>
      <w:ind w:left="568" w:hanging="284"/>
    </w:pPr>
    <w:rPr>
      <w:rFonts w:ascii="Garamond" w:hAnsi="Garamond"/>
    </w:rPr>
  </w:style>
  <w:style w:type="paragraph" w:customStyle="1" w:styleId="Byline">
    <w:name w:val="Byline"/>
    <w:rsid w:val="00AA1E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E2B"/>
    <w:pPr>
      <w:tabs>
        <w:tab w:val="clear" w:pos="3600"/>
        <w:tab w:val="clear" w:pos="3958"/>
      </w:tabs>
      <w:jc w:val="right"/>
    </w:pPr>
  </w:style>
  <w:style w:type="paragraph" w:styleId="Caption">
    <w:name w:val="caption"/>
    <w:basedOn w:val="BodyText"/>
    <w:next w:val="Normal"/>
    <w:qFormat/>
    <w:rsid w:val="00AA1E2B"/>
    <w:pPr>
      <w:framePr w:w="2268" w:hSpace="181" w:vSpace="181" w:wrap="around" w:vAnchor="text" w:hAnchor="page" w:x="1135" w:y="285" w:anchorLock="1"/>
    </w:pPr>
    <w:rPr>
      <w:i/>
    </w:rPr>
  </w:style>
  <w:style w:type="paragraph" w:customStyle="1" w:styleId="MiniTOCTitle">
    <w:name w:val="MiniTOCTitle"/>
    <w:basedOn w:val="Heading4"/>
    <w:rsid w:val="00AA1E2B"/>
    <w:pPr>
      <w:spacing w:before="240"/>
      <w:outlineLvl w:val="9"/>
    </w:pPr>
    <w:rPr>
      <w:noProof/>
      <w:sz w:val="24"/>
    </w:rPr>
  </w:style>
  <w:style w:type="paragraph" w:customStyle="1" w:styleId="MiniTOCItem">
    <w:name w:val="MiniTOCItem"/>
    <w:basedOn w:val="ListBullet"/>
    <w:rsid w:val="00AA1E2B"/>
    <w:pPr>
      <w:numPr>
        <w:numId w:val="0"/>
      </w:numPr>
      <w:tabs>
        <w:tab w:val="right" w:leader="dot" w:pos="6521"/>
      </w:tabs>
      <w:spacing w:before="0" w:after="0"/>
    </w:pPr>
  </w:style>
  <w:style w:type="paragraph" w:customStyle="1" w:styleId="TOFTitle">
    <w:name w:val="TOFTitle"/>
    <w:basedOn w:val="TOCTitle"/>
    <w:rsid w:val="00AA1E2B"/>
  </w:style>
  <w:style w:type="paragraph" w:styleId="TableofFigures">
    <w:name w:val="table of figures"/>
    <w:basedOn w:val="Normal"/>
    <w:next w:val="Normal"/>
    <w:semiHidden/>
    <w:rsid w:val="00AA1E2B"/>
    <w:pPr>
      <w:tabs>
        <w:tab w:val="right" w:leader="dot" w:pos="9072"/>
      </w:tabs>
      <w:ind w:left="970" w:hanging="403"/>
    </w:pPr>
    <w:rPr>
      <w:rFonts w:ascii="Times New Roman" w:hAnsi="Times New Roman"/>
      <w:b/>
    </w:rPr>
  </w:style>
  <w:style w:type="paragraph" w:styleId="ListNumber">
    <w:name w:val="List Number"/>
    <w:basedOn w:val="List"/>
    <w:rsid w:val="00AA1E2B"/>
    <w:pPr>
      <w:numPr>
        <w:numId w:val="11"/>
      </w:numPr>
    </w:pPr>
  </w:style>
  <w:style w:type="character" w:customStyle="1" w:styleId="WingdingSymbols">
    <w:name w:val="Wingding Symbols"/>
    <w:rsid w:val="00AA1E2B"/>
    <w:rPr>
      <w:rFonts w:ascii="Wingdings" w:hAnsi="Wingdings"/>
    </w:rPr>
  </w:style>
  <w:style w:type="paragraph" w:customStyle="1" w:styleId="TableHeading">
    <w:name w:val="Table Heading"/>
    <w:basedOn w:val="HeadingBase"/>
    <w:rsid w:val="00AA1E2B"/>
    <w:pPr>
      <w:keepLines/>
      <w:pBdr>
        <w:bottom w:val="single" w:sz="6" w:space="1" w:color="918585"/>
      </w:pBdr>
      <w:spacing w:before="240"/>
    </w:pPr>
  </w:style>
  <w:style w:type="character" w:customStyle="1" w:styleId="HotSpot">
    <w:name w:val="HotSpot"/>
    <w:rsid w:val="00AA1E2B"/>
    <w:rPr>
      <w:color w:val="0033CC"/>
      <w:u w:val="none"/>
    </w:rPr>
  </w:style>
  <w:style w:type="paragraph" w:customStyle="1" w:styleId="BodyTextRight">
    <w:name w:val="Body Text Right"/>
    <w:basedOn w:val="BodyText"/>
    <w:rsid w:val="00AA1E2B"/>
    <w:pPr>
      <w:spacing w:before="0" w:after="0"/>
      <w:jc w:val="right"/>
    </w:pPr>
  </w:style>
  <w:style w:type="paragraph" w:styleId="Index3">
    <w:name w:val="index 3"/>
    <w:basedOn w:val="ListNumber2"/>
    <w:next w:val="Normal"/>
    <w:semiHidden/>
    <w:rsid w:val="00AA1E2B"/>
    <w:pPr>
      <w:numPr>
        <w:numId w:val="0"/>
      </w:numPr>
      <w:tabs>
        <w:tab w:val="right" w:leader="dot" w:pos="4176"/>
      </w:tabs>
    </w:pPr>
  </w:style>
  <w:style w:type="paragraph" w:styleId="ListNumber2">
    <w:name w:val="List Number 2"/>
    <w:basedOn w:val="List2"/>
    <w:rsid w:val="00AA1E2B"/>
    <w:pPr>
      <w:numPr>
        <w:numId w:val="10"/>
      </w:numPr>
      <w:tabs>
        <w:tab w:val="clear" w:pos="1060"/>
      </w:tabs>
    </w:pPr>
  </w:style>
  <w:style w:type="paragraph" w:customStyle="1" w:styleId="MarginNote">
    <w:name w:val="Margin Note"/>
    <w:basedOn w:val="BodyText"/>
    <w:rsid w:val="00AA1E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E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E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1E2B"/>
    <w:rPr>
      <w:sz w:val="32"/>
    </w:rPr>
  </w:style>
  <w:style w:type="paragraph" w:customStyle="1" w:styleId="HeadingProcedure">
    <w:name w:val="Heading Procedure"/>
    <w:basedOn w:val="HeadingBase"/>
    <w:next w:val="Normal"/>
    <w:rsid w:val="00AA1E2B"/>
    <w:pPr>
      <w:tabs>
        <w:tab w:val="left" w:pos="0"/>
      </w:tabs>
      <w:spacing w:before="120" w:after="60"/>
    </w:pPr>
    <w:rPr>
      <w:i/>
      <w:color w:val="918585"/>
      <w:sz w:val="22"/>
    </w:rPr>
  </w:style>
  <w:style w:type="paragraph" w:customStyle="1" w:styleId="TableBodyText">
    <w:name w:val="Table Body Text"/>
    <w:basedOn w:val="BodyText"/>
    <w:rsid w:val="00AA1E2B"/>
    <w:pPr>
      <w:spacing w:before="60" w:after="60"/>
    </w:pPr>
  </w:style>
  <w:style w:type="paragraph" w:styleId="ListContinue">
    <w:name w:val="List Continue"/>
    <w:basedOn w:val="List"/>
    <w:rsid w:val="00AA1E2B"/>
    <w:pPr>
      <w:ind w:firstLine="0"/>
    </w:pPr>
  </w:style>
  <w:style w:type="paragraph" w:customStyle="1" w:styleId="ListNote">
    <w:name w:val="List Note"/>
    <w:basedOn w:val="List"/>
    <w:rsid w:val="00AA1E2B"/>
    <w:pPr>
      <w:pBdr>
        <w:top w:val="single" w:sz="6" w:space="2" w:color="918585"/>
        <w:bottom w:val="single" w:sz="6" w:space="2" w:color="918585"/>
      </w:pBdr>
      <w:tabs>
        <w:tab w:val="left" w:pos="1021"/>
      </w:tabs>
      <w:ind w:firstLine="0"/>
    </w:pPr>
  </w:style>
  <w:style w:type="paragraph" w:customStyle="1" w:styleId="Warning">
    <w:name w:val="Warning"/>
    <w:basedOn w:val="BodyText"/>
    <w:rsid w:val="00AA1E2B"/>
    <w:pPr>
      <w:shd w:val="clear" w:color="auto" w:fill="D9D9D9"/>
      <w:tabs>
        <w:tab w:val="left" w:pos="992"/>
      </w:tabs>
      <w:ind w:left="119" w:right="119"/>
    </w:pPr>
    <w:rPr>
      <w:sz w:val="20"/>
    </w:rPr>
  </w:style>
  <w:style w:type="paragraph" w:customStyle="1" w:styleId="MarginIcons">
    <w:name w:val="Margin Icons"/>
    <w:basedOn w:val="BodyText"/>
    <w:rsid w:val="00AA1E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E2B"/>
    <w:rPr>
      <w:rFonts w:ascii="Courier New" w:hAnsi="Courier New"/>
    </w:rPr>
  </w:style>
  <w:style w:type="paragraph" w:customStyle="1" w:styleId="NoteBullet">
    <w:name w:val="Note Bullet"/>
    <w:basedOn w:val="Note"/>
    <w:rsid w:val="00AA1E2B"/>
    <w:pPr>
      <w:tabs>
        <w:tab w:val="clear" w:pos="680"/>
      </w:tabs>
      <w:spacing w:before="60" w:after="60"/>
    </w:pPr>
  </w:style>
  <w:style w:type="paragraph" w:customStyle="1" w:styleId="SubHeading2">
    <w:name w:val="SubHeading2"/>
    <w:basedOn w:val="HeadingBase"/>
    <w:rsid w:val="00AA1E2B"/>
    <w:pPr>
      <w:spacing w:before="240" w:after="60"/>
    </w:pPr>
    <w:rPr>
      <w:sz w:val="20"/>
    </w:rPr>
  </w:style>
  <w:style w:type="paragraph" w:customStyle="1" w:styleId="SubHeading1">
    <w:name w:val="SubHeading1"/>
    <w:basedOn w:val="HeadingBase"/>
    <w:rsid w:val="00AA1E2B"/>
    <w:pPr>
      <w:spacing w:before="240" w:after="60"/>
    </w:pPr>
    <w:rPr>
      <w:color w:val="918585"/>
      <w:sz w:val="22"/>
    </w:rPr>
  </w:style>
  <w:style w:type="paragraph" w:customStyle="1" w:styleId="SideHeading">
    <w:name w:val="Side Heading"/>
    <w:basedOn w:val="HeadingBase"/>
    <w:rsid w:val="00AA1E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E2B"/>
    <w:pPr>
      <w:numPr>
        <w:numId w:val="12"/>
      </w:numPr>
    </w:pPr>
  </w:style>
  <w:style w:type="paragraph" w:styleId="PlainText">
    <w:name w:val="Plain Text"/>
    <w:basedOn w:val="Normal"/>
    <w:link w:val="PlainTextChar"/>
    <w:rsid w:val="00AA1E2B"/>
    <w:rPr>
      <w:sz w:val="20"/>
    </w:rPr>
  </w:style>
  <w:style w:type="character" w:customStyle="1" w:styleId="PlainTextChar">
    <w:name w:val="Plain Text Char"/>
    <w:basedOn w:val="DefaultParagraphFont"/>
    <w:link w:val="PlainText"/>
    <w:rsid w:val="00AA1E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1E2B"/>
    <w:rPr>
      <w:b/>
      <w:smallCaps/>
    </w:rPr>
  </w:style>
  <w:style w:type="paragraph" w:customStyle="1" w:styleId="TableListNumber">
    <w:name w:val="Table List Number"/>
    <w:basedOn w:val="ListNumber"/>
    <w:rsid w:val="00AA1E2B"/>
    <w:pPr>
      <w:numPr>
        <w:numId w:val="0"/>
      </w:numPr>
    </w:pPr>
  </w:style>
  <w:style w:type="paragraph" w:styleId="TOC4">
    <w:name w:val="toc 4"/>
    <w:basedOn w:val="TOCBase"/>
    <w:next w:val="Normal"/>
    <w:semiHidden/>
    <w:rsid w:val="00AA1E2B"/>
    <w:pPr>
      <w:tabs>
        <w:tab w:val="right" w:leader="dot" w:pos="9071"/>
      </w:tabs>
      <w:ind w:left="1701"/>
    </w:pPr>
  </w:style>
  <w:style w:type="paragraph" w:customStyle="1" w:styleId="ListAlpha">
    <w:name w:val="List Alpha"/>
    <w:basedOn w:val="List"/>
    <w:rsid w:val="00AA1E2B"/>
    <w:pPr>
      <w:numPr>
        <w:numId w:val="9"/>
      </w:numPr>
    </w:pPr>
  </w:style>
  <w:style w:type="paragraph" w:customStyle="1" w:styleId="ListAlpha2">
    <w:name w:val="List Alpha 2"/>
    <w:basedOn w:val="List2"/>
    <w:rsid w:val="00AA1E2B"/>
    <w:pPr>
      <w:numPr>
        <w:numId w:val="8"/>
      </w:numPr>
    </w:pPr>
  </w:style>
  <w:style w:type="paragraph" w:styleId="List2">
    <w:name w:val="List 2"/>
    <w:basedOn w:val="BodyText"/>
    <w:rsid w:val="00AA1E2B"/>
    <w:pPr>
      <w:tabs>
        <w:tab w:val="left" w:pos="680"/>
      </w:tabs>
      <w:spacing w:before="60" w:after="60"/>
      <w:ind w:left="680" w:hanging="340"/>
    </w:pPr>
  </w:style>
  <w:style w:type="paragraph" w:styleId="List3">
    <w:name w:val="List 3"/>
    <w:basedOn w:val="BodyText"/>
    <w:rsid w:val="00AA1E2B"/>
    <w:pPr>
      <w:tabs>
        <w:tab w:val="left" w:pos="1021"/>
      </w:tabs>
      <w:spacing w:before="60" w:after="60"/>
      <w:ind w:left="1020" w:hanging="340"/>
    </w:pPr>
  </w:style>
  <w:style w:type="paragraph" w:styleId="List4">
    <w:name w:val="List 4"/>
    <w:basedOn w:val="BodyText"/>
    <w:rsid w:val="00AA1E2B"/>
    <w:pPr>
      <w:tabs>
        <w:tab w:val="left" w:pos="1361"/>
      </w:tabs>
      <w:spacing w:before="60" w:after="60"/>
      <w:ind w:left="1361" w:hanging="340"/>
    </w:pPr>
  </w:style>
  <w:style w:type="paragraph" w:styleId="List5">
    <w:name w:val="List 5"/>
    <w:basedOn w:val="BodyText"/>
    <w:rsid w:val="00AA1E2B"/>
    <w:pPr>
      <w:tabs>
        <w:tab w:val="left" w:pos="1701"/>
      </w:tabs>
      <w:spacing w:before="60" w:after="60"/>
      <w:ind w:left="1701" w:hanging="340"/>
    </w:pPr>
  </w:style>
  <w:style w:type="paragraph" w:styleId="ListBullet3">
    <w:name w:val="List Bullet 3"/>
    <w:basedOn w:val="List3"/>
    <w:rsid w:val="00AA1E2B"/>
    <w:pPr>
      <w:numPr>
        <w:numId w:val="15"/>
      </w:numPr>
      <w:tabs>
        <w:tab w:val="clear" w:pos="1021"/>
      </w:tabs>
      <w:ind w:left="1037" w:hanging="357"/>
    </w:pPr>
  </w:style>
  <w:style w:type="paragraph" w:styleId="ListBullet4">
    <w:name w:val="List Bullet 4"/>
    <w:basedOn w:val="List4"/>
    <w:rsid w:val="00AA1E2B"/>
    <w:pPr>
      <w:numPr>
        <w:numId w:val="3"/>
      </w:numPr>
    </w:pPr>
  </w:style>
  <w:style w:type="paragraph" w:styleId="ListBullet5">
    <w:name w:val="List Bullet 5"/>
    <w:basedOn w:val="List5"/>
    <w:rsid w:val="00AA1E2B"/>
    <w:pPr>
      <w:numPr>
        <w:numId w:val="4"/>
      </w:numPr>
    </w:pPr>
  </w:style>
  <w:style w:type="paragraph" w:styleId="ListContinue2">
    <w:name w:val="List Continue 2"/>
    <w:basedOn w:val="List2"/>
    <w:rsid w:val="00AA1E2B"/>
    <w:pPr>
      <w:ind w:firstLine="0"/>
    </w:pPr>
  </w:style>
  <w:style w:type="paragraph" w:styleId="ListContinue3">
    <w:name w:val="List Continue 3"/>
    <w:basedOn w:val="List3"/>
    <w:rsid w:val="00AA1E2B"/>
    <w:pPr>
      <w:ind w:left="1021" w:firstLine="0"/>
    </w:pPr>
  </w:style>
  <w:style w:type="paragraph" w:styleId="ListContinue4">
    <w:name w:val="List Continue 4"/>
    <w:basedOn w:val="List4"/>
    <w:rsid w:val="00AA1E2B"/>
    <w:pPr>
      <w:ind w:firstLine="0"/>
    </w:pPr>
  </w:style>
  <w:style w:type="paragraph" w:styleId="ListContinue5">
    <w:name w:val="List Continue 5"/>
    <w:basedOn w:val="List5"/>
    <w:rsid w:val="00AA1E2B"/>
    <w:pPr>
      <w:ind w:firstLine="0"/>
    </w:pPr>
  </w:style>
  <w:style w:type="paragraph" w:styleId="ListNumber3">
    <w:name w:val="List Number 3"/>
    <w:basedOn w:val="List3"/>
    <w:rsid w:val="00AA1E2B"/>
    <w:pPr>
      <w:numPr>
        <w:numId w:val="5"/>
      </w:numPr>
    </w:pPr>
  </w:style>
  <w:style w:type="paragraph" w:styleId="ListNumber4">
    <w:name w:val="List Number 4"/>
    <w:basedOn w:val="List4"/>
    <w:rsid w:val="00AA1E2B"/>
    <w:pPr>
      <w:numPr>
        <w:numId w:val="6"/>
      </w:numPr>
    </w:pPr>
  </w:style>
  <w:style w:type="paragraph" w:styleId="ListNumber5">
    <w:name w:val="List Number 5"/>
    <w:basedOn w:val="List5"/>
    <w:rsid w:val="00AA1E2B"/>
    <w:pPr>
      <w:numPr>
        <w:numId w:val="7"/>
      </w:numPr>
    </w:pPr>
  </w:style>
  <w:style w:type="paragraph" w:styleId="BlockText">
    <w:name w:val="Block Text"/>
    <w:basedOn w:val="Normal"/>
    <w:rsid w:val="00AA1E2B"/>
    <w:pPr>
      <w:spacing w:after="120"/>
      <w:ind w:left="1440" w:right="1440"/>
    </w:pPr>
  </w:style>
  <w:style w:type="character" w:customStyle="1" w:styleId="Subscript">
    <w:name w:val="Subscript"/>
    <w:basedOn w:val="DefaultParagraphFont"/>
    <w:rsid w:val="00AA1E2B"/>
    <w:rPr>
      <w:sz w:val="16"/>
      <w:vertAlign w:val="subscript"/>
    </w:rPr>
  </w:style>
  <w:style w:type="character" w:customStyle="1" w:styleId="Superscript">
    <w:name w:val="Superscript"/>
    <w:basedOn w:val="DefaultParagraphFont"/>
    <w:rsid w:val="00AA1E2B"/>
    <w:rPr>
      <w:sz w:val="16"/>
      <w:vertAlign w:val="superscript"/>
    </w:rPr>
  </w:style>
  <w:style w:type="character" w:customStyle="1" w:styleId="Symbols">
    <w:name w:val="Symbols"/>
    <w:basedOn w:val="DefaultParagraphFont"/>
    <w:rsid w:val="00AA1E2B"/>
    <w:rPr>
      <w:rFonts w:ascii="Symbol" w:hAnsi="Symbol"/>
    </w:rPr>
  </w:style>
  <w:style w:type="character" w:customStyle="1" w:styleId="MenuOptions">
    <w:name w:val="Menu Options"/>
    <w:basedOn w:val="DefaultParagraphFont"/>
    <w:rsid w:val="00AA1E2B"/>
    <w:rPr>
      <w:rFonts w:ascii="Arial Narrow" w:hAnsi="Arial Narrow"/>
      <w:smallCaps/>
    </w:rPr>
  </w:style>
  <w:style w:type="character" w:customStyle="1" w:styleId="Buttons">
    <w:name w:val="Buttons"/>
    <w:basedOn w:val="DefaultParagraphFont"/>
    <w:rsid w:val="00AA1E2B"/>
    <w:rPr>
      <w:b/>
    </w:rPr>
  </w:style>
  <w:style w:type="character" w:customStyle="1" w:styleId="Underlined">
    <w:name w:val="Underlined"/>
    <w:basedOn w:val="DefaultParagraphFont"/>
    <w:rsid w:val="00AA1E2B"/>
    <w:rPr>
      <w:u w:val="single"/>
    </w:rPr>
  </w:style>
  <w:style w:type="paragraph" w:customStyle="1" w:styleId="TableBodyTextRight">
    <w:name w:val="Table Body Text Right"/>
    <w:basedOn w:val="TableBodyText"/>
    <w:rsid w:val="00AA1E2B"/>
    <w:pPr>
      <w:widowControl w:val="0"/>
      <w:autoSpaceDE w:val="0"/>
      <w:autoSpaceDN w:val="0"/>
      <w:adjustRightInd w:val="0"/>
      <w:jc w:val="right"/>
    </w:pPr>
    <w:rPr>
      <w:rFonts w:cs="Arial"/>
      <w:szCs w:val="18"/>
    </w:rPr>
  </w:style>
  <w:style w:type="paragraph" w:customStyle="1" w:styleId="CopyrightText">
    <w:name w:val="Copyright Text"/>
    <w:basedOn w:val="BodyText"/>
    <w:rsid w:val="00AA1E2B"/>
    <w:rPr>
      <w:sz w:val="18"/>
    </w:rPr>
  </w:style>
  <w:style w:type="paragraph" w:customStyle="1" w:styleId="BodySmallRight">
    <w:name w:val="Body Small Right"/>
    <w:basedOn w:val="BodyTextRight"/>
    <w:rsid w:val="00AA1E2B"/>
    <w:rPr>
      <w:sz w:val="18"/>
      <w:szCs w:val="18"/>
    </w:rPr>
  </w:style>
  <w:style w:type="paragraph" w:customStyle="1" w:styleId="MarginEdition">
    <w:name w:val="Margin Edition"/>
    <w:basedOn w:val="MarginNote"/>
    <w:rsid w:val="00AA1E2B"/>
    <w:pPr>
      <w:spacing w:before="0" w:after="0"/>
    </w:pPr>
    <w:rPr>
      <w:rFonts w:ascii="Times New Roman" w:hAnsi="Times New Roman"/>
      <w:color w:val="999999"/>
    </w:rPr>
  </w:style>
  <w:style w:type="paragraph" w:customStyle="1" w:styleId="Spacer">
    <w:name w:val="Spacer"/>
    <w:basedOn w:val="Normal"/>
    <w:rsid w:val="00AA1E2B"/>
    <w:rPr>
      <w:sz w:val="2"/>
      <w:szCs w:val="2"/>
    </w:rPr>
  </w:style>
  <w:style w:type="character" w:customStyle="1" w:styleId="Small">
    <w:name w:val="Small"/>
    <w:basedOn w:val="DefaultParagraphFont"/>
    <w:rsid w:val="00AA1E2B"/>
    <w:rPr>
      <w:sz w:val="16"/>
    </w:rPr>
  </w:style>
  <w:style w:type="paragraph" w:customStyle="1" w:styleId="WideTable">
    <w:name w:val="Wide Table"/>
    <w:basedOn w:val="Normal"/>
    <w:rsid w:val="00AA1E2B"/>
    <w:pPr>
      <w:ind w:left="-1418"/>
    </w:pPr>
    <w:rPr>
      <w:sz w:val="2"/>
      <w:szCs w:val="2"/>
    </w:rPr>
  </w:style>
  <w:style w:type="character" w:styleId="PageNumber">
    <w:name w:val="page number"/>
    <w:basedOn w:val="DefaultParagraphFont"/>
    <w:rsid w:val="00AA1E2B"/>
  </w:style>
  <w:style w:type="paragraph" w:styleId="Quote">
    <w:name w:val="Quote"/>
    <w:basedOn w:val="Heading1"/>
    <w:link w:val="QuoteChar"/>
    <w:qFormat/>
    <w:rsid w:val="00AA1E2B"/>
    <w:rPr>
      <w:b w:val="0"/>
      <w:sz w:val="72"/>
      <w:szCs w:val="72"/>
      <w:lang w:val="en-NZ"/>
    </w:rPr>
  </w:style>
  <w:style w:type="character" w:customStyle="1" w:styleId="QuoteChar">
    <w:name w:val="Quote Char"/>
    <w:basedOn w:val="DefaultParagraphFont"/>
    <w:link w:val="Quote"/>
    <w:rsid w:val="00AA1E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E2B"/>
    <w:pPr>
      <w:pageBreakBefore/>
    </w:pPr>
  </w:style>
  <w:style w:type="paragraph" w:customStyle="1" w:styleId="Border">
    <w:name w:val="Border"/>
    <w:basedOn w:val="Normal"/>
    <w:qFormat/>
    <w:rsid w:val="00AA1E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E2B"/>
    <w:rPr>
      <w:b/>
      <w:bCs/>
      <w:i/>
      <w:iCs/>
      <w:color w:val="auto"/>
    </w:rPr>
  </w:style>
  <w:style w:type="paragraph" w:styleId="IntenseQuote">
    <w:name w:val="Intense Quote"/>
    <w:basedOn w:val="Normal"/>
    <w:next w:val="Normal"/>
    <w:link w:val="IntenseQuoteChar"/>
    <w:uiPriority w:val="30"/>
    <w:qFormat/>
    <w:rsid w:val="00AA1E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E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1E2B"/>
    <w:rPr>
      <w:smallCaps/>
      <w:color w:val="auto"/>
      <w:u w:val="single"/>
    </w:rPr>
  </w:style>
  <w:style w:type="character" w:styleId="IntenseReference">
    <w:name w:val="Intense Reference"/>
    <w:basedOn w:val="DefaultParagraphFont"/>
    <w:uiPriority w:val="32"/>
    <w:qFormat/>
    <w:rsid w:val="00AA1E2B"/>
    <w:rPr>
      <w:b/>
      <w:bCs/>
      <w:smallCaps/>
      <w:color w:val="auto"/>
      <w:spacing w:val="5"/>
      <w:u w:val="single"/>
    </w:rPr>
  </w:style>
  <w:style w:type="paragraph" w:customStyle="1" w:styleId="2ColumnHeading">
    <w:name w:val="2Column Heading"/>
    <w:basedOn w:val="BodyText"/>
    <w:qFormat/>
    <w:rsid w:val="00AA1E2B"/>
    <w:pPr>
      <w:spacing w:after="60"/>
      <w:ind w:left="-2268"/>
    </w:pPr>
    <w:rPr>
      <w:b/>
    </w:rPr>
  </w:style>
  <w:style w:type="paragraph" w:customStyle="1" w:styleId="Heading1TOC">
    <w:name w:val="Heading1 TOC"/>
    <w:basedOn w:val="Normal"/>
    <w:qFormat/>
    <w:rsid w:val="00AA1E2B"/>
    <w:pPr>
      <w:spacing w:before="240" w:after="120"/>
    </w:pPr>
    <w:rPr>
      <w:rFonts w:ascii="Times New Roman" w:hAnsi="Times New Roman"/>
      <w:b/>
      <w:sz w:val="32"/>
    </w:rPr>
  </w:style>
  <w:style w:type="paragraph" w:customStyle="1" w:styleId="Heading2TOC">
    <w:name w:val="Heading2 TOC"/>
    <w:basedOn w:val="Normal"/>
    <w:qFormat/>
    <w:rsid w:val="00AA1E2B"/>
    <w:pPr>
      <w:spacing w:before="240" w:after="60"/>
    </w:pPr>
    <w:rPr>
      <w:rFonts w:ascii="Times New Roman" w:hAnsi="Times New Roman"/>
      <w:b/>
      <w:sz w:val="28"/>
    </w:rPr>
  </w:style>
  <w:style w:type="character" w:customStyle="1" w:styleId="Underline">
    <w:name w:val="Underline"/>
    <w:basedOn w:val="DefaultParagraphFont"/>
    <w:qFormat/>
    <w:rsid w:val="00AA1E2B"/>
    <w:rPr>
      <w:u w:val="single"/>
    </w:rPr>
  </w:style>
  <w:style w:type="character" w:customStyle="1" w:styleId="BoldandItalics">
    <w:name w:val="Bold and Italics"/>
    <w:qFormat/>
    <w:rsid w:val="00AA1E2B"/>
    <w:rPr>
      <w:b/>
      <w:i/>
      <w:u w:val="none"/>
    </w:rPr>
  </w:style>
  <w:style w:type="paragraph" w:styleId="BalloonText">
    <w:name w:val="Balloon Text"/>
    <w:basedOn w:val="Normal"/>
    <w:link w:val="BalloonTextChar"/>
    <w:rsid w:val="00AA1E2B"/>
    <w:rPr>
      <w:rFonts w:ascii="Tahoma" w:hAnsi="Tahoma" w:cs="Tahoma"/>
      <w:sz w:val="16"/>
      <w:szCs w:val="16"/>
    </w:rPr>
  </w:style>
  <w:style w:type="character" w:customStyle="1" w:styleId="BalloonTextChar">
    <w:name w:val="Balloon Text Char"/>
    <w:basedOn w:val="DefaultParagraphFont"/>
    <w:link w:val="BalloonText"/>
    <w:rsid w:val="00AA1E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1E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1E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1144</Words>
  <Characters>7171</Characters>
  <Application>Microsoft Office Word</Application>
  <DocSecurity>0</DocSecurity>
  <Lines>256</Lines>
  <Paragraphs>132</Paragraphs>
  <ScaleCrop>false</ScaleCrop>
  <Company>Author-it Software Corporation Ltd.</Company>
  <LinksUpToDate>false</LinksUpToDate>
  <CharactersWithSpaces>8256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HLTDT507C Construct immediate dentures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2012-05-27T00:20:00Z</dcterms:created>
  <dcterms:modified xsi:type="dcterms:W3CDTF">2012-05-27T00:20:00Z</dcterms:modified>
</cp:coreProperties>
</file>