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690" w:rsidP="00DE4690">
      <w:pPr>
        <w:pStyle w:val="Title"/>
      </w:pPr>
      <w:r>
        <w:fldChar w:fldCharType="begin"/>
      </w:r>
      <w:r>
        <w:instrText xml:space="preserve"> TITLE   \* MERGEFORMAT </w:instrText>
      </w:r>
      <w:r>
        <w:fldChar w:fldCharType="separate"/>
      </w:r>
      <w:r>
        <w:t>HLTDT301C Construct models</w:t>
      </w:r>
      <w:r>
        <w:fldChar w:fldCharType="end"/>
      </w:r>
    </w:p>
    <w:p w:rsidR="00DE4690" w:rsidP="00DE4690">
      <w:pPr>
        <w:pStyle w:val="Version"/>
        <w:sectPr w:rsidSect="00397E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EDB" w:rsidP="00397EDB">
      <w:pPr>
        <w:pStyle w:val="SuperHeading"/>
      </w:pPr>
      <w:r w:rsidRPr="00397EDB">
        <w:t>HLTDT301C Construct models</w:t>
      </w:r>
    </w:p>
    <w:p w:rsidR="00000000" w:rsidRPr="00397EDB" w:rsidP="00397EDB">
      <w:pPr>
        <w:pStyle w:val="Heading1"/>
      </w:pPr>
      <w:bookmarkStart w:id="1" w:name="O_271129"/>
      <w:bookmarkEnd w:id="1"/>
      <w:r w:rsidRPr="00397EDB">
        <w:t>Modification History</w:t>
      </w:r>
    </w:p>
    <w:p w:rsidR="00000000" w:rsidRPr="00397EDB" w:rsidP="00397EDB">
      <w:pPr>
        <w:pStyle w:val="BodyText"/>
      </w:pPr>
      <w:r w:rsidRPr="00397EDB">
        <w:t>Not Applicable</w:t>
      </w:r>
    </w:p>
    <w:p w:rsidR="00000000" w:rsidRPr="00397EDB" w:rsidP="00397EDB">
      <w:pPr>
        <w:pStyle w:val="AllowPageBreak"/>
      </w:pPr>
    </w:p>
    <w:p w:rsidR="00000000" w:rsidRPr="00397EDB" w:rsidP="00397EDB">
      <w:pPr>
        <w:pStyle w:val="Heading1"/>
      </w:pPr>
      <w:bookmarkStart w:id="2" w:name="O_205704"/>
      <w:bookmarkEnd w:id="2"/>
      <w:r w:rsidRPr="00397EDB">
        <w:t>Unit Descriptor</w:t>
      </w:r>
    </w:p>
    <w:tbl>
      <w:tblPr>
        <w:tblW w:w="0" w:type="auto"/>
        <w:tblLayout w:type="fixed"/>
        <w:tblCellMar>
          <w:left w:w="62" w:type="dxa"/>
          <w:right w:w="62" w:type="dxa"/>
        </w:tblCellMar>
        <w:tblLook w:val="0000"/>
      </w:tblPr>
      <w:tblGrid>
        <w:gridCol w:w="3338"/>
        <w:gridCol w:w="5218"/>
      </w:tblGrid>
      <w:tr w:rsidTr="00DE4690">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397EDB" w:rsidP="00397EDB">
            <w:pPr>
              <w:pStyle w:val="BodyText"/>
            </w:pPr>
            <w:r w:rsidRPr="00397EDB">
              <w:t>This unit of competency describes the skills and knowledge required to construct models from impressions of the client's upper or</w:t>
            </w:r>
            <w:r w:rsidRPr="00397EDB">
              <w:t xml:space="preserve"> lower jaws</w:t>
            </w:r>
          </w:p>
          <w:p w:rsidR="00000000" w:rsidRPr="00397EDB" w:rsidP="00397EDB">
            <w:pPr>
              <w:pStyle w:val="BodyText"/>
            </w:pPr>
            <w:r w:rsidRPr="00397EDB">
              <w:t>All procedures are carried out in accordance with occupational health and safety policies and procedures, current infection control guidelines, Australian and New Zealand Standards, state/territory legislative requirements and organisation poli</w:t>
            </w:r>
            <w:r w:rsidRPr="00397EDB">
              <w:t>cy</w:t>
            </w:r>
          </w:p>
        </w:tc>
      </w:tr>
    </w:tbl>
    <w:p w:rsidR="00DE4690" w:rsidP="00397EDB">
      <w:pPr>
        <w:pStyle w:val="BodyText"/>
      </w:pPr>
    </w:p>
    <w:p w:rsidR="00DE4690" w:rsidP="00397EDB">
      <w:pPr>
        <w:pStyle w:val="BodyText"/>
      </w:pPr>
    </w:p>
    <w:p w:rsidR="00000000" w:rsidRPr="00397EDB" w:rsidP="00397EDB">
      <w:pPr>
        <w:pStyle w:val="Heading1"/>
      </w:pPr>
      <w:bookmarkStart w:id="3" w:name="O_205707"/>
      <w:bookmarkEnd w:id="3"/>
      <w:r w:rsidRPr="00397EDB">
        <w:t>Application of the Unit</w:t>
      </w:r>
    </w:p>
    <w:tbl>
      <w:tblPr>
        <w:tblW w:w="0" w:type="auto"/>
        <w:tblLayout w:type="fixed"/>
        <w:tblCellMar>
          <w:left w:w="62" w:type="dxa"/>
          <w:right w:w="62" w:type="dxa"/>
        </w:tblCellMar>
        <w:tblLook w:val="0000"/>
      </w:tblPr>
      <w:tblGrid>
        <w:gridCol w:w="3349"/>
        <w:gridCol w:w="5207"/>
      </w:tblGrid>
      <w:tr w:rsidTr="00DE469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SpecialBold"/>
              </w:rPr>
              <w:t>Application</w:t>
            </w:r>
            <w:r w:rsidRPr="00397EDB">
              <w:t xml:space="preserve"> </w:t>
            </w:r>
          </w:p>
        </w:tc>
        <w:tc>
          <w:tcPr>
            <w:tcW w:w="5207" w:type="dxa"/>
            <w:tcBorders>
              <w:top w:val="nil"/>
              <w:left w:val="nil"/>
              <w:bottom w:val="nil"/>
              <w:right w:val="nil"/>
            </w:tcBorders>
            <w:tcMar>
              <w:top w:w="0" w:type="dxa"/>
              <w:left w:w="62" w:type="dxa"/>
              <w:bottom w:w="0" w:type="dxa"/>
              <w:right w:w="62" w:type="dxa"/>
            </w:tcMar>
          </w:tcPr>
          <w:p w:rsidR="00000000" w:rsidRPr="00397EDB" w:rsidP="00397EDB">
            <w:pPr>
              <w:pStyle w:val="BodyText"/>
            </w:pPr>
            <w:r w:rsidRPr="00397EDB">
              <w:t>This unit applies to work in dental technology</w:t>
            </w:r>
          </w:p>
        </w:tc>
      </w:tr>
    </w:tbl>
    <w:p w:rsidR="00DE4690" w:rsidP="00397EDB">
      <w:pPr>
        <w:pStyle w:val="BodyText"/>
      </w:pPr>
    </w:p>
    <w:p w:rsidR="00DE4690" w:rsidP="00397EDB">
      <w:pPr>
        <w:pStyle w:val="BodyText"/>
      </w:pPr>
    </w:p>
    <w:p w:rsidR="00000000" w:rsidRPr="00397EDB" w:rsidP="00397EDB">
      <w:pPr>
        <w:pStyle w:val="Heading1"/>
      </w:pPr>
      <w:bookmarkStart w:id="4" w:name="O_279389"/>
      <w:bookmarkEnd w:id="4"/>
      <w:r w:rsidRPr="00397EDB">
        <w:t>Licensing/Regulatory Information</w:t>
      </w:r>
    </w:p>
    <w:p w:rsidR="00000000" w:rsidRPr="00397EDB" w:rsidP="00397EDB">
      <w:pPr>
        <w:pStyle w:val="BodyText"/>
      </w:pPr>
      <w:r w:rsidRPr="00397EDB">
        <w:t>Not Applicable</w:t>
      </w:r>
    </w:p>
    <w:p w:rsidR="00000000" w:rsidRPr="00397EDB" w:rsidP="00397EDB">
      <w:pPr>
        <w:pStyle w:val="AllowPageBreak"/>
      </w:pPr>
    </w:p>
    <w:p w:rsidR="00000000" w:rsidRPr="00397EDB" w:rsidP="00397EDB">
      <w:pPr>
        <w:pStyle w:val="Heading1"/>
      </w:pPr>
      <w:bookmarkStart w:id="5" w:name="O_205706"/>
      <w:bookmarkEnd w:id="5"/>
      <w:r w:rsidRPr="00397EDB">
        <w:t>Pre-Requisites</w:t>
      </w:r>
    </w:p>
    <w:tbl>
      <w:tblPr>
        <w:tblW w:w="0" w:type="auto"/>
        <w:tblLayout w:type="fixed"/>
        <w:tblCellMar>
          <w:left w:w="62" w:type="dxa"/>
          <w:right w:w="62" w:type="dxa"/>
        </w:tblCellMar>
        <w:tblLook w:val="0000"/>
      </w:tblPr>
      <w:tblGrid>
        <w:gridCol w:w="3213"/>
        <w:gridCol w:w="5343"/>
      </w:tblGrid>
      <w:tr w:rsidTr="00DE4690">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397EDB" w:rsidP="00397EDB">
            <w:pPr>
              <w:pStyle w:val="BodyText"/>
            </w:pPr>
            <w:r w:rsidRPr="00397EDB">
              <w:t>This unit must be assessed after successful achievement of pre-requisites:</w:t>
            </w:r>
          </w:p>
          <w:p w:rsidR="00000000" w:rsidRPr="00397EDB" w:rsidP="00397EDB">
            <w:pPr>
              <w:pStyle w:val="ListBullet"/>
            </w:pPr>
            <w:r w:rsidRPr="00397EDB">
              <w:t>HLTIN301C Comply with infection control policies and procedures</w:t>
            </w:r>
          </w:p>
          <w:p w:rsidR="00000000" w:rsidRPr="00397EDB" w:rsidP="00397EDB">
            <w:pPr>
              <w:pStyle w:val="ListBullet"/>
            </w:pPr>
            <w:r w:rsidRPr="00397EDB">
              <w:t>HLTOHS200B Participate in OHS processes</w:t>
            </w:r>
          </w:p>
        </w:tc>
      </w:tr>
    </w:tbl>
    <w:p w:rsidR="00DE4690" w:rsidP="00397EDB">
      <w:pPr>
        <w:pStyle w:val="BodyText"/>
      </w:pPr>
    </w:p>
    <w:p w:rsidR="00DE4690" w:rsidP="00397EDB">
      <w:pPr>
        <w:pStyle w:val="BodyText"/>
      </w:pPr>
    </w:p>
    <w:p w:rsidR="00000000" w:rsidRPr="00397EDB" w:rsidP="00397EDB">
      <w:pPr>
        <w:pStyle w:val="Heading1"/>
      </w:pPr>
      <w:bookmarkStart w:id="6" w:name="O_205705"/>
      <w:bookmarkEnd w:id="6"/>
      <w:r w:rsidRPr="00397EDB">
        <w:t>Employability Skills Information</w:t>
      </w:r>
    </w:p>
    <w:tbl>
      <w:tblPr>
        <w:tblW w:w="0" w:type="auto"/>
        <w:tblLayout w:type="fixed"/>
        <w:tblCellMar>
          <w:left w:w="62" w:type="dxa"/>
          <w:right w:w="62" w:type="dxa"/>
        </w:tblCellMar>
        <w:tblLook w:val="0000"/>
      </w:tblPr>
      <w:tblGrid>
        <w:gridCol w:w="3320"/>
        <w:gridCol w:w="5236"/>
      </w:tblGrid>
      <w:tr w:rsidTr="00DE469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97EDB" w:rsidP="00397EDB">
            <w:pPr>
              <w:pStyle w:val="BodyText"/>
            </w:pPr>
            <w:r w:rsidRPr="00397EDB">
              <w:t>Th</w:t>
            </w:r>
            <w:r w:rsidRPr="00397EDB">
              <w:t>is unit contains Employability Skills</w:t>
            </w:r>
          </w:p>
        </w:tc>
      </w:tr>
    </w:tbl>
    <w:p w:rsidR="00DE4690" w:rsidP="00397EDB">
      <w:pPr>
        <w:pStyle w:val="BodyText"/>
      </w:pPr>
    </w:p>
    <w:p w:rsidR="00DE4690" w:rsidP="00397EDB">
      <w:pPr>
        <w:pStyle w:val="BodyText"/>
      </w:pPr>
    </w:p>
    <w:p w:rsidR="00000000" w:rsidRPr="00397EDB" w:rsidP="00397EDB">
      <w:pPr>
        <w:pStyle w:val="Heading1"/>
      </w:pPr>
      <w:bookmarkStart w:id="7" w:name="O_289175"/>
      <w:bookmarkEnd w:id="7"/>
      <w:r w:rsidRPr="00397EDB">
        <w:t>Elements and Performance Criteria Pre-Content</w:t>
      </w:r>
    </w:p>
    <w:tbl>
      <w:tblPr>
        <w:tblW w:w="0" w:type="auto"/>
        <w:tblLayout w:type="fixed"/>
        <w:tblCellMar>
          <w:left w:w="62" w:type="dxa"/>
          <w:right w:w="62" w:type="dxa"/>
        </w:tblCellMar>
        <w:tblLook w:val="0000"/>
      </w:tblPr>
      <w:tblGrid>
        <w:gridCol w:w="3369"/>
        <w:gridCol w:w="5702"/>
      </w:tblGrid>
      <w:tr w:rsidTr="00DE46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97EDB" w:rsidP="00397EDB">
            <w:pPr>
              <w:pStyle w:val="BodyText"/>
            </w:pPr>
            <w:r w:rsidRPr="00397EDB">
              <w:t>The Performance Criteria specify the level of performance required to dem</w:t>
            </w:r>
            <w:r w:rsidRPr="00397EDB">
              <w:t xml:space="preserve">onstrate achievement of the Element. Terms in italics are elaborated in the Range Statement. </w:t>
            </w:r>
          </w:p>
        </w:tc>
      </w:tr>
    </w:tbl>
    <w:p w:rsidR="00000000" w:rsidRPr="00397EDB" w:rsidP="00397EDB">
      <w:pPr>
        <w:pStyle w:val="BodyText"/>
      </w:pPr>
    </w:p>
    <w:p w:rsidR="00000000" w:rsidRPr="00397EDB" w:rsidP="00397EDB">
      <w:pPr>
        <w:pStyle w:val="AllowPageBreak"/>
      </w:pPr>
    </w:p>
    <w:p w:rsidR="00000000" w:rsidRPr="00397EDB" w:rsidP="00397EDB">
      <w:pPr>
        <w:pStyle w:val="Heading1"/>
      </w:pPr>
      <w:bookmarkStart w:id="8" w:name="O_235842"/>
      <w:bookmarkEnd w:id="8"/>
      <w:r w:rsidRPr="00397EDB">
        <w:t>Elements and Performance Criteria</w:t>
      </w:r>
    </w:p>
    <w:tbl>
      <w:tblPr>
        <w:tblW w:w="0" w:type="auto"/>
        <w:tblLayout w:type="fixed"/>
        <w:tblCellMar>
          <w:left w:w="62" w:type="dxa"/>
          <w:right w:w="62" w:type="dxa"/>
        </w:tblCellMar>
        <w:tblLook w:val="0000"/>
      </w:tblPr>
      <w:tblGrid>
        <w:gridCol w:w="3369"/>
        <w:gridCol w:w="5702"/>
      </w:tblGrid>
      <w:tr w:rsidTr="00DE469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97EDB" w:rsidP="00397EDB">
            <w:pPr>
              <w:pStyle w:val="BodyText"/>
            </w:pPr>
            <w:r w:rsidRPr="00397ED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SpecialBold"/>
              </w:rPr>
              <w:t>PERFORMANCE CRITERIA</w:t>
            </w:r>
          </w:p>
        </w:tc>
      </w:tr>
      <w:tr w:rsidTr="00DE46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97EDB">
            <w:pPr>
              <w:pStyle w:val="List"/>
              <w:rPr>
                <w:lang w:val="en-NZ"/>
              </w:rPr>
            </w:pPr>
            <w:r w:rsidRPr="00397EDB">
              <w:t>1.</w:t>
            </w:r>
            <w:r w:rsidRPr="00397EDB">
              <w:tab/>
              <w:t>Verify integrity of impressions</w:t>
            </w:r>
          </w:p>
        </w:tc>
        <w:tc>
          <w:tcPr>
            <w:tcW w:w="5702" w:type="dxa"/>
            <w:tcBorders>
              <w:top w:val="nil"/>
              <w:left w:val="nil"/>
              <w:bottom w:val="nil"/>
              <w:right w:val="nil"/>
            </w:tcBorders>
            <w:tcMar>
              <w:top w:w="0" w:type="dxa"/>
              <w:left w:w="62" w:type="dxa"/>
              <w:bottom w:w="0" w:type="dxa"/>
              <w:right w:w="62" w:type="dxa"/>
            </w:tcMar>
          </w:tcPr>
          <w:p w:rsidR="00000000" w:rsidRPr="00397EDB" w:rsidP="00397EDB">
            <w:pPr>
              <w:pStyle w:val="BodyText"/>
            </w:pPr>
            <w:r w:rsidRPr="00397EDB">
              <w:t>1.1</w:t>
            </w:r>
            <w:r w:rsidRPr="00397EDB">
              <w:tab/>
              <w:t xml:space="preserve">Apply </w:t>
            </w:r>
            <w:r w:rsidRPr="00397EDB">
              <w:rPr>
                <w:rStyle w:val="Emphasis"/>
              </w:rPr>
              <w:t>standard precautions when receiving</w:t>
            </w:r>
            <w:r w:rsidRPr="00397EDB">
              <w:t xml:space="preserve">, </w:t>
            </w:r>
            <w:r w:rsidRPr="00397EDB">
              <w:rPr>
                <w:rStyle w:val="Emphasis"/>
              </w:rPr>
              <w:t>handling and working on dental materials</w:t>
            </w:r>
          </w:p>
          <w:p w:rsidR="00000000" w:rsidRPr="00397EDB" w:rsidP="00397EDB">
            <w:pPr>
              <w:pStyle w:val="BodyText"/>
            </w:pPr>
            <w:r w:rsidRPr="00397EDB">
              <w:t>1.2</w:t>
            </w:r>
            <w:r w:rsidRPr="00397EDB">
              <w:tab/>
            </w:r>
            <w:r w:rsidRPr="00397EDB">
              <w:rPr>
                <w:rStyle w:val="Emphasis"/>
              </w:rPr>
              <w:t>Decontaminate impressions</w:t>
            </w:r>
            <w:r w:rsidRPr="00397EDB">
              <w:t xml:space="preserve"> according to infection control guidelines</w:t>
            </w:r>
          </w:p>
          <w:p w:rsidR="00000000" w:rsidRPr="00397EDB" w:rsidP="00397EDB">
            <w:pPr>
              <w:pStyle w:val="BodyText"/>
            </w:pPr>
            <w:r w:rsidRPr="00397EDB">
              <w:t>1.3</w:t>
            </w:r>
            <w:r w:rsidRPr="00397EDB">
              <w:tab/>
              <w:t xml:space="preserve">Examine impressions for </w:t>
            </w:r>
            <w:r w:rsidRPr="00397EDB">
              <w:rPr>
                <w:rStyle w:val="Emphasis"/>
              </w:rPr>
              <w:t>defects</w:t>
            </w:r>
          </w:p>
          <w:p w:rsidR="00000000" w:rsidRPr="00397EDB" w:rsidP="00397EDB">
            <w:pPr>
              <w:pStyle w:val="BodyText"/>
            </w:pPr>
            <w:r w:rsidRPr="00397EDB">
              <w:t>1.4</w:t>
            </w:r>
            <w:r w:rsidRPr="00397EDB">
              <w:tab/>
              <w:t>Check impressions to ensure they meet the specifications of the wo</w:t>
            </w:r>
            <w:r w:rsidRPr="00397EDB">
              <w:t>rk order</w:t>
            </w:r>
          </w:p>
          <w:p w:rsidR="00000000" w:rsidRPr="00397EDB" w:rsidP="00397EDB">
            <w:pPr>
              <w:pStyle w:val="BodyText"/>
            </w:pPr>
            <w:r w:rsidRPr="00397EDB">
              <w:t>1.5</w:t>
            </w:r>
            <w:r w:rsidRPr="00397EDB">
              <w:tab/>
              <w:t>Handle impressions with care to avoid damage or distortion</w:t>
            </w:r>
          </w:p>
          <w:p w:rsidR="00000000" w:rsidRPr="00397EDB" w:rsidP="00397EDB">
            <w:pPr>
              <w:pStyle w:val="BodyText"/>
            </w:pPr>
            <w:r w:rsidRPr="00397EDB">
              <w:t>1.6</w:t>
            </w:r>
            <w:r w:rsidRPr="00397EDB">
              <w:tab/>
              <w:t>Ensure accompanying models are intact with no defects or adjustments</w:t>
            </w:r>
          </w:p>
          <w:p w:rsidR="00000000" w:rsidP="00397EDB">
            <w:pPr>
              <w:pStyle w:val="BodyText"/>
              <w:rPr>
                <w:lang w:val="en-NZ"/>
              </w:rPr>
            </w:pPr>
            <w:r w:rsidRPr="00397EDB">
              <w:t>1.7</w:t>
            </w:r>
            <w:r w:rsidRPr="00397EDB">
              <w:tab/>
              <w:t>Prepare a range of impressions for pouring</w:t>
            </w:r>
          </w:p>
        </w:tc>
      </w:tr>
      <w:tr w:rsidTr="00DE46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97EDB">
            <w:pPr>
              <w:pStyle w:val="List"/>
              <w:rPr>
                <w:lang w:val="en-NZ"/>
              </w:rPr>
            </w:pPr>
            <w:r w:rsidRPr="00397EDB">
              <w:t>2.</w:t>
            </w:r>
            <w:r w:rsidRPr="00397EDB">
              <w:tab/>
              <w:t>Select and prepare model materials</w:t>
            </w:r>
          </w:p>
        </w:tc>
        <w:tc>
          <w:tcPr>
            <w:tcW w:w="5702" w:type="dxa"/>
            <w:tcBorders>
              <w:top w:val="nil"/>
              <w:left w:val="nil"/>
              <w:bottom w:val="nil"/>
              <w:right w:val="nil"/>
            </w:tcBorders>
            <w:tcMar>
              <w:top w:w="0" w:type="dxa"/>
              <w:left w:w="62" w:type="dxa"/>
              <w:bottom w:w="0" w:type="dxa"/>
              <w:right w:w="62" w:type="dxa"/>
            </w:tcMar>
          </w:tcPr>
          <w:p w:rsidR="00000000" w:rsidRPr="00397EDB" w:rsidP="00397EDB">
            <w:pPr>
              <w:pStyle w:val="BodyText"/>
            </w:pPr>
            <w:r w:rsidRPr="00397EDB">
              <w:t>2.1</w:t>
            </w:r>
            <w:r w:rsidRPr="00397EDB">
              <w:tab/>
              <w:t>Select appropriate</w:t>
            </w:r>
            <w:r w:rsidRPr="00397EDB">
              <w:t xml:space="preserve"> </w:t>
            </w:r>
            <w:r w:rsidRPr="00397EDB">
              <w:rPr>
                <w:rStyle w:val="Emphasis"/>
              </w:rPr>
              <w:t>model materials</w:t>
            </w:r>
          </w:p>
          <w:p w:rsidR="00000000" w:rsidRPr="00397EDB" w:rsidP="00397EDB">
            <w:pPr>
              <w:pStyle w:val="BodyText"/>
            </w:pPr>
            <w:r w:rsidRPr="00397EDB">
              <w:t>2.2</w:t>
            </w:r>
            <w:r w:rsidRPr="00397EDB">
              <w:tab/>
              <w:t>Ensure all equipment used for mixing materials is clean</w:t>
            </w:r>
          </w:p>
          <w:p w:rsidR="00000000" w:rsidRPr="00397EDB" w:rsidP="00397EDB">
            <w:pPr>
              <w:pStyle w:val="BodyText"/>
            </w:pPr>
            <w:r w:rsidRPr="00397EDB">
              <w:t>2.3</w:t>
            </w:r>
            <w:r w:rsidRPr="00397EDB">
              <w:tab/>
            </w:r>
            <w:r w:rsidRPr="00397EDB">
              <w:rPr>
                <w:rStyle w:val="Emphasis"/>
              </w:rPr>
              <w:t>Prepare model materials</w:t>
            </w:r>
            <w:r w:rsidRPr="00397EDB">
              <w:t xml:space="preserve"> in accordance with desired outcomes</w:t>
            </w:r>
          </w:p>
          <w:p w:rsidR="00000000" w:rsidP="00397EDB">
            <w:pPr>
              <w:pStyle w:val="BodyText"/>
              <w:rPr>
                <w:lang w:val="en-NZ"/>
              </w:rPr>
            </w:pPr>
            <w:r w:rsidRPr="00397EDB">
              <w:t>2.4</w:t>
            </w:r>
            <w:r w:rsidRPr="00397EDB">
              <w:tab/>
              <w:t xml:space="preserve">Maintain and </w:t>
            </w:r>
            <w:r w:rsidRPr="00397EDB">
              <w:rPr>
                <w:rStyle w:val="Emphasis"/>
              </w:rPr>
              <w:t>store model</w:t>
            </w:r>
            <w:r w:rsidRPr="00397EDB">
              <w:t xml:space="preserve"> </w:t>
            </w:r>
            <w:r w:rsidRPr="00397EDB">
              <w:rPr>
                <w:rStyle w:val="Emphasis"/>
              </w:rPr>
              <w:t>materials</w:t>
            </w:r>
            <w:r w:rsidRPr="00397EDB">
              <w:t xml:space="preserve"> in accordance with manufacturer's instructions</w:t>
            </w:r>
          </w:p>
        </w:tc>
      </w:tr>
      <w:tr w:rsidTr="00DE46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97EDB">
            <w:pPr>
              <w:pStyle w:val="List"/>
              <w:rPr>
                <w:lang w:val="en-NZ"/>
              </w:rPr>
            </w:pPr>
            <w:r w:rsidRPr="00397EDB">
              <w:t>3.</w:t>
            </w:r>
            <w:r w:rsidRPr="00397EDB">
              <w:tab/>
              <w:t>Pour impressions</w:t>
            </w:r>
          </w:p>
        </w:tc>
        <w:tc>
          <w:tcPr>
            <w:tcW w:w="5702" w:type="dxa"/>
            <w:tcBorders>
              <w:top w:val="nil"/>
              <w:left w:val="nil"/>
              <w:bottom w:val="nil"/>
              <w:right w:val="nil"/>
            </w:tcBorders>
            <w:tcMar>
              <w:top w:w="0" w:type="dxa"/>
              <w:left w:w="62" w:type="dxa"/>
              <w:bottom w:w="0" w:type="dxa"/>
              <w:right w:w="62" w:type="dxa"/>
            </w:tcMar>
          </w:tcPr>
          <w:p w:rsidR="00000000" w:rsidRPr="00397EDB" w:rsidP="00397EDB">
            <w:pPr>
              <w:pStyle w:val="List"/>
            </w:pPr>
            <w:r w:rsidRPr="00397EDB">
              <w:t>3.1</w:t>
            </w:r>
            <w:r w:rsidRPr="00397EDB">
              <w:tab/>
            </w:r>
            <w:r w:rsidRPr="00397EDB">
              <w:rPr>
                <w:rStyle w:val="Emphasis"/>
              </w:rPr>
              <w:t>Pour model materials</w:t>
            </w:r>
            <w:r w:rsidRPr="00397EDB">
              <w:t xml:space="preserve"> into impressions in accordance with accepted techniques</w:t>
            </w:r>
          </w:p>
          <w:p w:rsidR="00000000" w:rsidP="00397EDB">
            <w:pPr>
              <w:pStyle w:val="BodyText"/>
              <w:rPr>
                <w:lang w:val="en-NZ"/>
              </w:rPr>
            </w:pPr>
            <w:r w:rsidRPr="00397EDB">
              <w:t>3.2</w:t>
            </w:r>
            <w:r w:rsidRPr="00397EDB">
              <w:tab/>
              <w:t>Allow required setting time</w:t>
            </w:r>
          </w:p>
        </w:tc>
      </w:tr>
      <w:tr w:rsidTr="00DE46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97EDB">
            <w:pPr>
              <w:pStyle w:val="List"/>
              <w:rPr>
                <w:lang w:val="en-NZ"/>
              </w:rPr>
            </w:pPr>
            <w:r w:rsidRPr="00397EDB">
              <w:t>4.</w:t>
            </w:r>
            <w:r w:rsidRPr="00397EDB">
              <w:tab/>
              <w:t>Finish model</w:t>
            </w:r>
          </w:p>
        </w:tc>
        <w:tc>
          <w:tcPr>
            <w:tcW w:w="5702" w:type="dxa"/>
            <w:tcBorders>
              <w:top w:val="nil"/>
              <w:left w:val="nil"/>
              <w:bottom w:val="nil"/>
              <w:right w:val="nil"/>
            </w:tcBorders>
            <w:tcMar>
              <w:top w:w="0" w:type="dxa"/>
              <w:left w:w="62" w:type="dxa"/>
              <w:bottom w:w="0" w:type="dxa"/>
              <w:right w:w="62" w:type="dxa"/>
            </w:tcMar>
          </w:tcPr>
          <w:p w:rsidR="00000000" w:rsidRPr="00397EDB" w:rsidP="00397EDB">
            <w:pPr>
              <w:pStyle w:val="BodyText"/>
            </w:pPr>
            <w:r w:rsidRPr="00397EDB">
              <w:t>4.1</w:t>
            </w:r>
            <w:r w:rsidRPr="00397EDB">
              <w:tab/>
              <w:t>Separate an intact model from the impression</w:t>
            </w:r>
          </w:p>
          <w:p w:rsidR="00000000" w:rsidRPr="00397EDB" w:rsidP="00397EDB">
            <w:pPr>
              <w:pStyle w:val="BodyText"/>
            </w:pPr>
            <w:r w:rsidRPr="00397EDB">
              <w:t>4.2</w:t>
            </w:r>
            <w:r w:rsidRPr="00397EDB">
              <w:tab/>
              <w:t>Inspect the model for defects</w:t>
            </w:r>
          </w:p>
          <w:p w:rsidR="00000000" w:rsidRPr="00397EDB" w:rsidP="00397EDB">
            <w:pPr>
              <w:pStyle w:val="BodyText"/>
            </w:pPr>
            <w:r w:rsidRPr="00397EDB">
              <w:t>4.3</w:t>
            </w:r>
            <w:r w:rsidRPr="00397EDB">
              <w:tab/>
            </w:r>
            <w:r w:rsidRPr="00397EDB">
              <w:rPr>
                <w:rStyle w:val="Emphasis"/>
              </w:rPr>
              <w:t>Trim the model</w:t>
            </w:r>
            <w:r w:rsidRPr="00397EDB">
              <w:t xml:space="preserve"> in accordance with requir</w:t>
            </w:r>
            <w:r w:rsidRPr="00397EDB">
              <w:t>ements</w:t>
            </w:r>
          </w:p>
          <w:p w:rsidR="00000000" w:rsidP="00397EDB">
            <w:pPr>
              <w:pStyle w:val="BodyText"/>
              <w:rPr>
                <w:lang w:val="en-NZ"/>
              </w:rPr>
            </w:pPr>
            <w:r w:rsidRPr="00397EDB">
              <w:t>4.4</w:t>
            </w:r>
            <w:r w:rsidRPr="00397EDB">
              <w:tab/>
              <w:t>Duplicate the master cast to create a working model where required by prescription</w:t>
            </w:r>
          </w:p>
        </w:tc>
      </w:tr>
      <w:tr w:rsidTr="00DE469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97EDB" w:rsidP="00397EDB">
            <w:pPr>
              <w:pStyle w:val="BodyText"/>
            </w:pPr>
          </w:p>
        </w:tc>
      </w:tr>
    </w:tbl>
    <w:p w:rsidR="00DE4690" w:rsidP="00397EDB">
      <w:pPr>
        <w:pStyle w:val="BodyText"/>
      </w:pPr>
    </w:p>
    <w:p w:rsidR="00DE4690" w:rsidP="00397EDB">
      <w:pPr>
        <w:pStyle w:val="BodyText"/>
      </w:pPr>
    </w:p>
    <w:p w:rsidR="00000000" w:rsidRPr="00397EDB" w:rsidP="00397EDB">
      <w:pPr>
        <w:pStyle w:val="Heading1"/>
      </w:pPr>
      <w:bookmarkStart w:id="9" w:name="O_259792"/>
      <w:bookmarkEnd w:id="9"/>
      <w:r w:rsidRPr="00397EDB">
        <w:t>Required Skills and Knowledge</w:t>
      </w:r>
    </w:p>
    <w:tbl>
      <w:tblPr>
        <w:tblW w:w="0" w:type="auto"/>
        <w:tblLayout w:type="fixed"/>
        <w:tblCellMar>
          <w:left w:w="62" w:type="dxa"/>
          <w:right w:w="62" w:type="dxa"/>
        </w:tblCellMar>
        <w:tblLook w:val="0000"/>
      </w:tblPr>
      <w:tblGrid>
        <w:gridCol w:w="9072"/>
      </w:tblGrid>
      <w:tr w:rsidTr="00DE469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SpecialBold"/>
              </w:rPr>
              <w:t>REQUIRED SKILLS AND KNOWLEDGE</w:t>
            </w:r>
          </w:p>
        </w:tc>
      </w:tr>
      <w:tr w:rsidTr="00DE46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t>This describes the essential skills and knowledge and their level required for this unit.</w:t>
            </w:r>
          </w:p>
        </w:tc>
      </w:tr>
      <w:tr w:rsidTr="00DE46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7EDB" w:rsidP="00397EDB">
            <w:pPr>
              <w:pStyle w:val="BodyText"/>
            </w:pPr>
            <w:r w:rsidRPr="00397EDB">
              <w:rPr>
                <w:rStyle w:val="Emphasis"/>
              </w:rPr>
              <w:t>Essential knowledge</w:t>
            </w:r>
            <w:r w:rsidRPr="00397EDB">
              <w:t>:</w:t>
            </w:r>
          </w:p>
          <w:p w:rsidR="00000000" w:rsidRPr="00397EDB" w:rsidP="00397EDB">
            <w:pPr>
              <w:pStyle w:val="BodyText"/>
            </w:pPr>
            <w:r w:rsidRPr="00397EDB">
              <w:t>The candidate must be able to demonstrate essential knowledge required to effectively do the task outlined in elements and performance criteri</w:t>
            </w:r>
            <w:r w:rsidRPr="00397EDB">
              <w:t>a of this unit, manage the task and manage contingencies in the context of the identified work role</w:t>
            </w:r>
          </w:p>
          <w:p w:rsidR="00000000" w:rsidRPr="00397EDB" w:rsidP="00397EDB">
            <w:pPr>
              <w:pStyle w:val="BodyText"/>
            </w:pPr>
            <w:r w:rsidRPr="00397EDB">
              <w:t>This includes knowledge of:</w:t>
            </w:r>
          </w:p>
          <w:p w:rsidR="00000000" w:rsidRPr="00397EDB" w:rsidP="00397EDB">
            <w:pPr>
              <w:pStyle w:val="ListBullet"/>
            </w:pPr>
            <w:r w:rsidRPr="00397EDB">
              <w:t>Applied oral anatomy:</w:t>
            </w:r>
          </w:p>
          <w:p w:rsidR="00000000" w:rsidRPr="00397EDB" w:rsidP="00397EDB">
            <w:pPr>
              <w:pStyle w:val="ListBullet2"/>
            </w:pPr>
            <w:r w:rsidRPr="00397EDB">
              <w:t>dentition - arrangement of the teeth, naming and coding of teeth</w:t>
            </w:r>
          </w:p>
          <w:p w:rsidR="00000000" w:rsidRPr="00397EDB" w:rsidP="00397EDB">
            <w:pPr>
              <w:pStyle w:val="ListBullet2"/>
            </w:pPr>
            <w:r w:rsidRPr="00397EDB">
              <w:t>structures of the oral cavity - hard and soft palate, lateral and posterior borders of the oral cavity, tongue and floor of the mouth</w:t>
            </w:r>
          </w:p>
          <w:p w:rsidR="00000000" w:rsidRPr="00397EDB" w:rsidP="00397EDB">
            <w:pPr>
              <w:pStyle w:val="ListBullet2"/>
            </w:pPr>
            <w:r w:rsidRPr="00397EDB">
              <w:t>teeth - form and function</w:t>
            </w:r>
          </w:p>
          <w:p w:rsidR="00000000" w:rsidRPr="00397EDB" w:rsidP="00397EDB">
            <w:pPr>
              <w:pStyle w:val="ListBullet"/>
            </w:pPr>
            <w:r w:rsidRPr="00397EDB">
              <w:t>Infection control guidelines for the decontamination of impressions</w:t>
            </w:r>
          </w:p>
          <w:p w:rsidR="00000000" w:rsidRPr="00397EDB" w:rsidP="00397EDB">
            <w:pPr>
              <w:pStyle w:val="ListBullet"/>
            </w:pPr>
            <w:r w:rsidRPr="00397EDB">
              <w:t>Properties of elastic impre</w:t>
            </w:r>
            <w:r w:rsidRPr="00397EDB">
              <w:t>ssion materials including:</w:t>
            </w:r>
          </w:p>
          <w:p w:rsidR="00000000" w:rsidRPr="00397EDB" w:rsidP="00397EDB">
            <w:pPr>
              <w:pStyle w:val="ListBullet2"/>
            </w:pPr>
            <w:r w:rsidRPr="00397EDB">
              <w:t>alginate impression material</w:t>
            </w:r>
          </w:p>
          <w:p w:rsidR="00000000" w:rsidRPr="00397EDB" w:rsidP="00397EDB">
            <w:pPr>
              <w:pStyle w:val="ListBullet2"/>
            </w:pPr>
            <w:r w:rsidRPr="00397EDB">
              <w:t>polyether impression material</w:t>
            </w:r>
          </w:p>
          <w:p w:rsidR="00000000" w:rsidRPr="00397EDB" w:rsidP="00397EDB">
            <w:pPr>
              <w:pStyle w:val="ListBullet2"/>
            </w:pPr>
            <w:r w:rsidRPr="00397EDB">
              <w:t>polysulphide impression material</w:t>
            </w:r>
          </w:p>
          <w:p w:rsidR="00000000" w:rsidRPr="00397EDB" w:rsidP="00397EDB">
            <w:pPr>
              <w:pStyle w:val="ListBullet2"/>
            </w:pPr>
            <w:r w:rsidRPr="00397EDB">
              <w:t>polyvinyl siloxane impression material</w:t>
            </w:r>
          </w:p>
          <w:p w:rsidR="00000000" w:rsidRPr="00397EDB" w:rsidP="00397EDB">
            <w:pPr>
              <w:pStyle w:val="ListBullet"/>
            </w:pPr>
            <w:r w:rsidRPr="00397EDB">
              <w:t>Properties of rigid impression materials including:</w:t>
            </w:r>
          </w:p>
          <w:p w:rsidR="00000000" w:rsidRPr="00397EDB" w:rsidP="00397EDB">
            <w:pPr>
              <w:pStyle w:val="ListBullet2"/>
            </w:pPr>
            <w:r w:rsidRPr="00397EDB">
              <w:t>impression compound</w:t>
            </w:r>
          </w:p>
          <w:p w:rsidR="00000000" w:rsidRPr="00397EDB" w:rsidP="00397EDB">
            <w:pPr>
              <w:pStyle w:val="ListBullet2"/>
            </w:pPr>
            <w:r w:rsidRPr="00397EDB">
              <w:t>zinc oxide-eugenol impr</w:t>
            </w:r>
            <w:r w:rsidRPr="00397EDB">
              <w:t>ession pastes</w:t>
            </w:r>
          </w:p>
          <w:p w:rsidR="00000000" w:rsidRPr="00397EDB" w:rsidP="00397EDB">
            <w:pPr>
              <w:pStyle w:val="ListBullet"/>
            </w:pPr>
            <w:r w:rsidRPr="00397EDB">
              <w:t>The desirable properties of model materials including:</w:t>
            </w:r>
          </w:p>
          <w:p w:rsidR="00000000" w:rsidRPr="00397EDB" w:rsidP="00397EDB">
            <w:pPr>
              <w:pStyle w:val="ListBullet2"/>
            </w:pPr>
            <w:r w:rsidRPr="00397EDB">
              <w:t>accurate reproduction of all details of the impression</w:t>
            </w:r>
          </w:p>
          <w:p w:rsidR="00000000" w:rsidRPr="00397EDB" w:rsidP="00397EDB">
            <w:pPr>
              <w:pStyle w:val="ListBullet2"/>
            </w:pPr>
            <w:r w:rsidRPr="00397EDB">
              <w:t>colour contrast with other materials used on them</w:t>
            </w:r>
          </w:p>
          <w:p w:rsidR="00000000" w:rsidRPr="00397EDB" w:rsidP="00397EDB">
            <w:pPr>
              <w:pStyle w:val="ListBullet2"/>
            </w:pPr>
            <w:r w:rsidRPr="00397EDB">
              <w:t>ease of manipulation</w:t>
            </w:r>
          </w:p>
          <w:p w:rsidR="00000000" w:rsidRPr="00397EDB" w:rsidP="00397EDB">
            <w:pPr>
              <w:pStyle w:val="ListBullet2"/>
            </w:pPr>
            <w:r w:rsidRPr="00397EDB">
              <w:t>sufficient strength and hardness</w:t>
            </w:r>
          </w:p>
          <w:p w:rsidR="00000000" w:rsidRPr="00397EDB" w:rsidP="00397EDB">
            <w:pPr>
              <w:pStyle w:val="ListBullet2"/>
            </w:pPr>
            <w:r w:rsidRPr="00397EDB">
              <w:t>suitability for use with all types of impression materials</w:t>
            </w:r>
          </w:p>
          <w:p w:rsidR="00000000" w:rsidRPr="00397EDB" w:rsidP="00397EDB">
            <w:pPr>
              <w:pStyle w:val="ListBullet"/>
            </w:pPr>
            <w:r w:rsidRPr="00397EDB">
              <w:t>The significance of study models for:</w:t>
            </w:r>
          </w:p>
          <w:p w:rsidR="00000000" w:rsidRPr="00397EDB" w:rsidP="00397EDB">
            <w:pPr>
              <w:pStyle w:val="ListBullet2"/>
            </w:pPr>
            <w:r w:rsidRPr="00397EDB">
              <w:t>dentate and partially dentate mouths</w:t>
            </w:r>
          </w:p>
          <w:p w:rsidR="00000000" w:rsidP="00397EDB">
            <w:pPr>
              <w:pStyle w:val="ListBullet2"/>
              <w:rPr>
                <w:lang w:val="en-NZ"/>
              </w:rPr>
            </w:pPr>
            <w:r w:rsidRPr="00397EDB">
              <w:t>edentulous mouths</w:t>
            </w:r>
          </w:p>
        </w:tc>
      </w:tr>
      <w:tr w:rsidTr="00DE46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7EDB" w:rsidP="00397EDB">
            <w:pPr>
              <w:pStyle w:val="BodyText"/>
            </w:pPr>
            <w:r w:rsidRPr="00397EDB">
              <w:rPr>
                <w:rStyle w:val="Emphasis"/>
              </w:rPr>
              <w:t>Essential skills</w:t>
            </w:r>
            <w:r w:rsidRPr="00397EDB">
              <w:t>:</w:t>
            </w:r>
          </w:p>
          <w:p w:rsidR="00000000" w:rsidRPr="00397EDB" w:rsidP="00397EDB">
            <w:pPr>
              <w:pStyle w:val="BodyText"/>
            </w:pPr>
            <w:r w:rsidRPr="00397EDB">
              <w:t xml:space="preserve">It is critical that the candidate demonstrate the ability to </w:t>
            </w:r>
          </w:p>
          <w:p w:rsidR="00000000" w:rsidRPr="00397EDB" w:rsidP="00397EDB">
            <w:pPr>
              <w:pStyle w:val="ListBullet"/>
            </w:pPr>
            <w:r w:rsidRPr="00397EDB">
              <w:t>Consistently prepare models from a range of impressions</w:t>
            </w:r>
          </w:p>
          <w:p w:rsidR="00000000" w:rsidRPr="00397EDB" w:rsidP="00397EDB">
            <w:pPr>
              <w:pStyle w:val="ListBullet"/>
            </w:pPr>
            <w:r w:rsidRPr="00397EDB">
              <w:t>Consistently prepare model materials</w:t>
            </w:r>
          </w:p>
          <w:p w:rsidR="00000000" w:rsidRPr="00397EDB" w:rsidP="00397EDB">
            <w:pPr>
              <w:pStyle w:val="ListBullet"/>
            </w:pPr>
            <w:r w:rsidRPr="00397EDB">
              <w:t xml:space="preserve">Consistently produce models suitable for the construction of dental prostheses or appliances </w:t>
            </w:r>
          </w:p>
          <w:p w:rsidR="00000000" w:rsidRPr="00397EDB" w:rsidP="00397EDB">
            <w:pPr>
              <w:pStyle w:val="ListBullet"/>
            </w:pPr>
            <w:r w:rsidRPr="00397EDB">
              <w:t>Consistently comply with current infection control guidelines, Austra</w:t>
            </w:r>
            <w:r w:rsidRPr="00397EDB">
              <w:t>lian Standards and legislative requirements as they relate to the dental technician's specific job role</w:t>
            </w:r>
          </w:p>
          <w:p w:rsidR="00000000" w:rsidRPr="00397EDB" w:rsidP="00397EDB">
            <w:pPr>
              <w:pStyle w:val="ListBullet"/>
            </w:pPr>
            <w:r w:rsidRPr="00397EDB">
              <w:t>Consistently comply with occupational health and safety policies and procedures as they relate to the job role</w:t>
            </w:r>
          </w:p>
          <w:p w:rsidR="00000000" w:rsidRPr="00397EDB" w:rsidP="00397EDB">
            <w:pPr>
              <w:pStyle w:val="BodyText"/>
            </w:pPr>
          </w:p>
          <w:p w:rsidR="00000000" w:rsidRPr="00397EDB" w:rsidP="00397EDB">
            <w:pPr>
              <w:pStyle w:val="BodyText"/>
            </w:pPr>
            <w:r w:rsidRPr="00397EDB">
              <w:t xml:space="preserve">In addition, the candidate must be able </w:t>
            </w:r>
            <w:r w:rsidRPr="00397EDB">
              <w:t>to effectively do the task outlined in elements and performance criteria of this unit, manage the task and manage contingencies in the context of the identified work role</w:t>
            </w:r>
          </w:p>
          <w:p w:rsidR="00000000" w:rsidRPr="00397EDB" w:rsidP="00397EDB">
            <w:pPr>
              <w:pStyle w:val="BodyText"/>
            </w:pPr>
            <w:r w:rsidRPr="00397EDB">
              <w:t>This includes the ability to:</w:t>
            </w:r>
          </w:p>
          <w:p w:rsidR="00000000" w:rsidRPr="00397EDB" w:rsidP="00397EDB">
            <w:pPr>
              <w:pStyle w:val="ListBullet"/>
            </w:pPr>
            <w:r w:rsidRPr="00397EDB">
              <w:t>Consistently follow sequenced written instructions and</w:t>
            </w:r>
            <w:r w:rsidRPr="00397EDB">
              <w:t xml:space="preserve"> manufacturer specifications for the preparation of materials</w:t>
            </w:r>
          </w:p>
          <w:p w:rsidR="00000000" w:rsidRPr="00397EDB" w:rsidP="00397EDB">
            <w:pPr>
              <w:pStyle w:val="ListBullet"/>
            </w:pPr>
            <w:r w:rsidRPr="00397EDB">
              <w:t>Critically evaluate all work produced so as to consistently meet both the technical requirements of the laboratory and client requirements</w:t>
            </w:r>
          </w:p>
          <w:p w:rsidR="00000000" w:rsidRPr="00397EDB" w:rsidP="00397EDB">
            <w:pPr>
              <w:pStyle w:val="ListBullet"/>
            </w:pPr>
            <w:r w:rsidRPr="00397EDB">
              <w:t>Select materials and procedures to prepare a range of i</w:t>
            </w:r>
            <w:r w:rsidRPr="00397EDB">
              <w:t>mpressions for pouring</w:t>
            </w:r>
          </w:p>
          <w:p w:rsidR="00000000" w:rsidRPr="00397EDB" w:rsidP="00397EDB">
            <w:pPr>
              <w:pStyle w:val="ListBullet"/>
            </w:pPr>
            <w:r w:rsidRPr="00397EDB">
              <w:t>Take into account opportunities to address waste minimisation, environmental responsibility and sustainable practice issues, including efficient use of power and other resources</w:t>
            </w:r>
          </w:p>
          <w:p w:rsidR="00000000" w:rsidRPr="00397EDB" w:rsidP="00397EDB">
            <w:pPr>
              <w:pStyle w:val="ListBullet"/>
            </w:pPr>
            <w:r w:rsidRPr="00397EDB">
              <w:t>Use safe work practices to minimise the risk of transmission of infection including:</w:t>
            </w:r>
          </w:p>
          <w:p w:rsidR="00000000" w:rsidRPr="00397EDB" w:rsidP="00397EDB">
            <w:pPr>
              <w:pStyle w:val="ListBullet2"/>
            </w:pPr>
            <w:r w:rsidRPr="00397EDB">
              <w:t>consistently following the procedure for washing and drying hands</w:t>
            </w:r>
          </w:p>
          <w:p w:rsidR="00000000" w:rsidRPr="00397EDB" w:rsidP="00397EDB">
            <w:pPr>
              <w:pStyle w:val="ListBullet2"/>
            </w:pPr>
            <w:r w:rsidRPr="00397EDB">
              <w:t>consistently limiting contamination</w:t>
            </w:r>
          </w:p>
          <w:p w:rsidR="00000000" w:rsidRPr="00397EDB" w:rsidP="00397EDB">
            <w:pPr>
              <w:pStyle w:val="ListBullet2"/>
            </w:pPr>
            <w:r w:rsidRPr="00397EDB">
              <w:t xml:space="preserve">consistently maintaining clean receiving and work areas </w:t>
            </w:r>
          </w:p>
          <w:p w:rsidR="00000000" w:rsidRPr="00397EDB" w:rsidP="00397EDB">
            <w:pPr>
              <w:pStyle w:val="ListBullet2"/>
            </w:pPr>
            <w:r w:rsidRPr="00397EDB">
              <w:t>consistentl</w:t>
            </w:r>
            <w:r w:rsidRPr="00397EDB">
              <w:t>y putting into practice clean techniques</w:t>
            </w:r>
          </w:p>
          <w:p w:rsidR="00000000" w:rsidRPr="00397EDB" w:rsidP="00397EDB">
            <w:pPr>
              <w:pStyle w:val="ListBullet2"/>
            </w:pPr>
            <w:r w:rsidRPr="00397EDB">
              <w:t>consistently using personal protective equipment</w:t>
            </w:r>
          </w:p>
          <w:p w:rsidR="00000000" w:rsidRPr="00397EDB" w:rsidP="00397EDB">
            <w:pPr>
              <w:pStyle w:val="ListBullet"/>
            </w:pPr>
            <w:r w:rsidRPr="00397EDB">
              <w:t>Use literacy skills to read and follow directions, policies and procedures including:</w:t>
            </w:r>
          </w:p>
          <w:p w:rsidR="00000000" w:rsidRPr="00397EDB" w:rsidP="00397EDB">
            <w:pPr>
              <w:pStyle w:val="ListBullet2"/>
            </w:pPr>
            <w:r w:rsidRPr="00397EDB">
              <w:t>infection control policies and procedures</w:t>
            </w:r>
          </w:p>
          <w:p w:rsidR="00000000" w:rsidRPr="00397EDB" w:rsidP="00397EDB">
            <w:pPr>
              <w:pStyle w:val="ListBullet2"/>
            </w:pPr>
            <w:r w:rsidRPr="00397EDB">
              <w:t>laboratory policies and procedures</w:t>
            </w:r>
          </w:p>
          <w:p w:rsidR="00000000" w:rsidRPr="00397EDB" w:rsidP="00397EDB">
            <w:pPr>
              <w:pStyle w:val="ListBullet2"/>
            </w:pPr>
            <w:r w:rsidRPr="00397EDB">
              <w:t>m</w:t>
            </w:r>
            <w:r w:rsidRPr="00397EDB">
              <w:t>aterial safety data sheets</w:t>
            </w:r>
          </w:p>
          <w:p w:rsidR="00000000" w:rsidRPr="00397EDB" w:rsidP="00397EDB">
            <w:pPr>
              <w:pStyle w:val="ListBullet2"/>
            </w:pPr>
            <w:r w:rsidRPr="00397EDB">
              <w:t>occupational health and safety policies and procedures</w:t>
            </w:r>
          </w:p>
        </w:tc>
      </w:tr>
    </w:tbl>
    <w:p w:rsidR="00DE4690" w:rsidP="00397EDB">
      <w:pPr>
        <w:pStyle w:val="BodyText"/>
      </w:pPr>
    </w:p>
    <w:p w:rsidR="00DE4690" w:rsidP="00397EDB">
      <w:pPr>
        <w:pStyle w:val="BodyText"/>
      </w:pPr>
    </w:p>
    <w:p w:rsidR="00000000" w:rsidRPr="00397EDB" w:rsidP="00397EDB">
      <w:pPr>
        <w:pStyle w:val="Heading1"/>
      </w:pPr>
      <w:bookmarkStart w:id="10" w:name="O_243826"/>
      <w:bookmarkEnd w:id="10"/>
      <w:r w:rsidRPr="00397EDB">
        <w:t>Evidence Guide</w:t>
      </w:r>
    </w:p>
    <w:tbl>
      <w:tblPr>
        <w:tblW w:w="0" w:type="auto"/>
        <w:tblLayout w:type="fixed"/>
        <w:tblCellMar>
          <w:left w:w="62" w:type="dxa"/>
          <w:right w:w="62" w:type="dxa"/>
        </w:tblCellMar>
        <w:tblLook w:val="0000"/>
      </w:tblPr>
      <w:tblGrid>
        <w:gridCol w:w="3402"/>
        <w:gridCol w:w="5670"/>
      </w:tblGrid>
      <w:tr w:rsidTr="00DE469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SpecialBold"/>
              </w:rPr>
              <w:t>EVIDENCE GUIDE</w:t>
            </w:r>
          </w:p>
        </w:tc>
      </w:tr>
      <w:tr w:rsidTr="00DE46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t>The evidence guide provides advice on assessment and must be read in conjunction with the Performance Criteria, Required Skills and Knowledge, the Range Statement and the Assessment Guidelines for this Training Package.</w:t>
            </w:r>
          </w:p>
        </w:tc>
      </w:tr>
      <w:tr w:rsidTr="00DE46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Emphasis"/>
              </w:rPr>
              <w:t>Critical aspects for assessment</w:t>
            </w:r>
            <w:r w:rsidRPr="00397EDB">
              <w:rPr>
                <w:rStyle w:val="Emphasis"/>
              </w:rPr>
              <w:t xml:space="preserve"> and evidence required to demonstrate this competency unit</w:t>
            </w:r>
            <w:r w:rsidRPr="00397EDB">
              <w:t xml:space="preserve">: </w:t>
            </w:r>
            <w:r w:rsidRPr="00397EDB">
              <w:br/>
            </w: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ListBullet"/>
            </w:pPr>
            <w:r w:rsidRPr="00397EDB">
              <w:t>The individual being assessed must provide evidence of specified essential knowledge as well as skills</w:t>
            </w:r>
          </w:p>
          <w:p w:rsidR="00000000" w:rsidP="00397EDB">
            <w:pPr>
              <w:pStyle w:val="ListBullet"/>
              <w:rPr>
                <w:lang w:val="en-NZ"/>
              </w:rPr>
            </w:pPr>
            <w:r w:rsidRPr="00397EDB">
              <w:t>Consistency of performance should be demonstrated over the required range of workplace sit</w:t>
            </w:r>
            <w:r w:rsidRPr="00397EDB">
              <w:t>uations</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Emphasis"/>
              </w:rPr>
              <w:t>Context of and specific resources for assessment</w:t>
            </w:r>
            <w:r w:rsidRPr="00397EDB">
              <w:t xml:space="preserve">: </w:t>
            </w:r>
            <w:r w:rsidRPr="00397EDB">
              <w:br/>
            </w: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ListBullet"/>
            </w:pPr>
            <w:r w:rsidRPr="00397EDB">
              <w:t>Assessment should replicate workplace conditions as far as possible</w:t>
            </w:r>
          </w:p>
          <w:p w:rsidR="00000000" w:rsidRPr="00397EDB" w:rsidP="00397EDB">
            <w:pPr>
              <w:pStyle w:val="ListBullet"/>
            </w:pPr>
            <w:r w:rsidRPr="00397EDB">
              <w:t>Simulations may be used to represent workplace conditions as closely as possible</w:t>
            </w:r>
          </w:p>
          <w:p w:rsidR="00000000" w:rsidP="00397EDB">
            <w:pPr>
              <w:pStyle w:val="ListBullet"/>
              <w:rPr>
                <w:lang w:val="en-NZ"/>
              </w:rPr>
            </w:pPr>
            <w:r w:rsidRPr="00397EDB">
              <w:t>Where, for reasons of safety, access to equipment and resources and space, assessment takes place away from the workplace, simulations should be used to represent workplace conditions as closely as possible</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Emphasis"/>
              </w:rPr>
              <w:t>Method of assessment</w:t>
            </w:r>
            <w:r w:rsidRPr="00397EDB">
              <w:t xml:space="preserve"> </w:t>
            </w: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ListBullet"/>
            </w:pPr>
            <w:r w:rsidRPr="00397EDB">
              <w:t>Evidence of essential knowledge and understanding may be provided by:</w:t>
            </w:r>
          </w:p>
          <w:p w:rsidR="00000000" w:rsidRPr="00397EDB" w:rsidP="00397EDB">
            <w:pPr>
              <w:pStyle w:val="ListBullet2"/>
            </w:pPr>
            <w:r w:rsidRPr="00397EDB">
              <w:t>traditional or online (computer-based) assessment</w:t>
            </w:r>
          </w:p>
          <w:p w:rsidR="00000000" w:rsidRPr="00397EDB" w:rsidP="00397EDB">
            <w:pPr>
              <w:pStyle w:val="ListBullet2"/>
            </w:pPr>
            <w:r w:rsidRPr="00397EDB">
              <w:t>written assignments/projects</w:t>
            </w:r>
          </w:p>
          <w:p w:rsidR="00000000" w:rsidRPr="00397EDB" w:rsidP="00397EDB">
            <w:pPr>
              <w:pStyle w:val="ListBullet"/>
            </w:pPr>
            <w:r w:rsidRPr="00397EDB">
              <w:t>Case study and scenario as a basis for discussion of issues and strategies to contribute to best practice</w:t>
            </w:r>
          </w:p>
          <w:p w:rsidR="00000000" w:rsidRPr="00397EDB" w:rsidP="00397EDB">
            <w:pPr>
              <w:pStyle w:val="ListBullet"/>
            </w:pPr>
            <w:r w:rsidRPr="00397EDB">
              <w:t>Questioning</w:t>
            </w:r>
          </w:p>
          <w:p w:rsidR="00000000" w:rsidRPr="00397EDB" w:rsidP="00397EDB">
            <w:pPr>
              <w:pStyle w:val="ListBullet"/>
            </w:pPr>
            <w:r w:rsidRPr="00397EDB">
              <w:t>Staff and/or client feedback</w:t>
            </w:r>
          </w:p>
          <w:p w:rsidR="00000000" w:rsidRPr="00397EDB" w:rsidP="00397EDB">
            <w:pPr>
              <w:pStyle w:val="ListBullet"/>
            </w:pPr>
            <w:r w:rsidRPr="00397EDB">
              <w:t>Supporting statement of supervisor</w:t>
            </w:r>
          </w:p>
          <w:p w:rsidR="00000000" w:rsidRPr="00397EDB" w:rsidP="00397EDB">
            <w:pPr>
              <w:pStyle w:val="ListBullet"/>
            </w:pPr>
            <w:r w:rsidRPr="00397EDB">
              <w:t>Authenticated evidence of relevant work experience and/or formal/informal learning</w:t>
            </w:r>
          </w:p>
          <w:p w:rsidR="00000000" w:rsidP="00397EDB">
            <w:pPr>
              <w:pStyle w:val="ListBullet"/>
              <w:rPr>
                <w:lang w:val="en-NZ"/>
              </w:rPr>
            </w:pPr>
            <w:r w:rsidRPr="00397EDB">
              <w:t>Role play/simulation</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Emphasis"/>
              </w:rPr>
              <w:t>Access and equity considerations</w:t>
            </w:r>
            <w:r w:rsidRPr="00397EDB">
              <w:t>:</w:t>
            </w: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ListBullet"/>
            </w:pPr>
            <w:r w:rsidRPr="00397EDB">
              <w:t>All workers in the health industry should be aware of access and equity issues in relation to their own area of work</w:t>
            </w:r>
          </w:p>
          <w:p w:rsidR="00000000" w:rsidRPr="00397EDB" w:rsidP="00397EDB">
            <w:pPr>
              <w:pStyle w:val="ListBullet"/>
            </w:pPr>
            <w:r w:rsidRPr="00397EDB">
              <w:t xml:space="preserve">All workers should develop their ability to work in a culturally diverse environment </w:t>
            </w:r>
          </w:p>
          <w:p w:rsidR="00000000" w:rsidRPr="00397EDB" w:rsidP="00397EDB">
            <w:pPr>
              <w:pStyle w:val="ListBullet"/>
            </w:pPr>
            <w:r w:rsidRPr="00397EDB">
              <w:t>In recognition of particular health issues facing Abo</w:t>
            </w:r>
            <w:r w:rsidRPr="00397EDB">
              <w:t>riginal and Torres Strait Islander communities, workers should be aware of cultural, historical and current issues impacting on health of Aboriginal and Torres Strait Islander people</w:t>
            </w:r>
          </w:p>
          <w:p w:rsidR="00000000" w:rsidP="00397EDB">
            <w:pPr>
              <w:pStyle w:val="ListBullet"/>
              <w:rPr>
                <w:lang w:val="en-NZ"/>
              </w:rPr>
            </w:pPr>
            <w:r w:rsidRPr="00397EDB">
              <w:t xml:space="preserve">Assessors and trainers must take into account relevant access and equity </w:t>
            </w:r>
            <w:r w:rsidRPr="00397EDB">
              <w:t>issues, in particular relating to factors impacting on health of Aboriginal and/or Torres Strait Islander clients and communities</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BodyText"/>
            </w:pPr>
          </w:p>
        </w:tc>
      </w:tr>
    </w:tbl>
    <w:p w:rsidR="00DE4690" w:rsidP="00397EDB">
      <w:pPr>
        <w:pStyle w:val="BodyText"/>
      </w:pPr>
    </w:p>
    <w:p w:rsidR="00DE4690" w:rsidP="00397EDB">
      <w:pPr>
        <w:pStyle w:val="BodyText"/>
      </w:pPr>
    </w:p>
    <w:p w:rsidR="00000000" w:rsidRPr="00397EDB" w:rsidP="00397EDB">
      <w:pPr>
        <w:pStyle w:val="Heading1"/>
      </w:pPr>
      <w:bookmarkStart w:id="11" w:name="O_251809"/>
      <w:bookmarkEnd w:id="11"/>
      <w:r w:rsidRPr="00397EDB">
        <w:t>Range Statement</w:t>
      </w:r>
    </w:p>
    <w:tbl>
      <w:tblPr>
        <w:tblW w:w="0" w:type="auto"/>
        <w:tblLayout w:type="fixed"/>
        <w:tblCellMar>
          <w:left w:w="62" w:type="dxa"/>
          <w:right w:w="62" w:type="dxa"/>
        </w:tblCellMar>
        <w:tblLook w:val="0000"/>
      </w:tblPr>
      <w:tblGrid>
        <w:gridCol w:w="3402"/>
        <w:gridCol w:w="5670"/>
      </w:tblGrid>
      <w:tr w:rsidTr="00DE469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SpecialBold"/>
              </w:rPr>
              <w:t>RANGE STATEMENT</w:t>
            </w:r>
          </w:p>
        </w:tc>
      </w:tr>
      <w:tr w:rsidTr="00DE46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t>The Range Statement relates to the unit of competency as a whole. It allows for different work environments and situations that may affect performance.</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Emphasis"/>
              </w:rPr>
              <w:t>Standard precautions when receiving</w:t>
            </w:r>
            <w:r w:rsidRPr="00397EDB">
              <w:t xml:space="preserve">, </w:t>
            </w:r>
            <w:r w:rsidRPr="00397EDB">
              <w:rPr>
                <w:rStyle w:val="Emphasis"/>
              </w:rPr>
              <w:t>handling and working on dental materials may include but is not limited to</w:t>
            </w:r>
            <w:r w:rsidRPr="00397EDB">
              <w:t>:</w:t>
            </w: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ListBullet"/>
            </w:pPr>
            <w:r w:rsidRPr="00397EDB">
              <w:t>A dedicated clean area to receive incoming cases</w:t>
            </w:r>
          </w:p>
          <w:p w:rsidR="00000000" w:rsidRPr="00397EDB" w:rsidP="00397EDB">
            <w:pPr>
              <w:pStyle w:val="ListBullet"/>
            </w:pPr>
            <w:r w:rsidRPr="00397EDB">
              <w:t>Appropriate personal protection:</w:t>
            </w:r>
          </w:p>
          <w:p w:rsidR="00000000" w:rsidRPr="00397EDB" w:rsidP="00397EDB">
            <w:pPr>
              <w:pStyle w:val="ListBullet2"/>
            </w:pPr>
            <w:r w:rsidRPr="00397EDB">
              <w:t>disposable gloves</w:t>
            </w:r>
          </w:p>
          <w:p w:rsidR="00000000" w:rsidRPr="00397EDB" w:rsidP="00397EDB">
            <w:pPr>
              <w:pStyle w:val="ListBullet2"/>
            </w:pPr>
            <w:r w:rsidRPr="00397EDB">
              <w:t>apron</w:t>
            </w:r>
          </w:p>
          <w:p w:rsidR="00000000" w:rsidRPr="00397EDB" w:rsidP="00397EDB">
            <w:pPr>
              <w:pStyle w:val="ListBullet2"/>
            </w:pPr>
            <w:r w:rsidRPr="00397EDB">
              <w:t>eye protection</w:t>
            </w:r>
          </w:p>
          <w:p w:rsidR="00000000" w:rsidRPr="00397EDB" w:rsidP="00397EDB">
            <w:pPr>
              <w:pStyle w:val="ListBullet2"/>
            </w:pPr>
            <w:r w:rsidRPr="00397EDB">
              <w:t>mask where there is a risk of airborne transmission of infection</w:t>
            </w:r>
          </w:p>
          <w:p w:rsidR="00000000" w:rsidRPr="00397EDB" w:rsidP="00397EDB">
            <w:pPr>
              <w:pStyle w:val="ListBullet"/>
            </w:pPr>
            <w:r w:rsidRPr="00397EDB">
              <w:t>Cleaning reusable containers with detergent followed by disinfection</w:t>
            </w:r>
          </w:p>
          <w:p w:rsidR="00000000" w:rsidRPr="00397EDB" w:rsidP="00397EDB">
            <w:pPr>
              <w:pStyle w:val="ListBullet"/>
            </w:pPr>
            <w:r w:rsidRPr="00397EDB">
              <w:t>Decontamination of impressions</w:t>
            </w:r>
          </w:p>
          <w:p w:rsidR="00000000" w:rsidRPr="00397EDB" w:rsidP="00397EDB">
            <w:pPr>
              <w:pStyle w:val="ListBullet"/>
            </w:pPr>
            <w:r w:rsidRPr="00397EDB">
              <w:t>Disposal of all packaging materials in accordance with the waste regulations of State/Terr</w:t>
            </w:r>
            <w:r w:rsidRPr="00397EDB">
              <w:t>itory health and environmental authorities</w:t>
            </w:r>
          </w:p>
          <w:p w:rsidR="00000000" w:rsidRPr="00397EDB" w:rsidP="00397EDB">
            <w:pPr>
              <w:pStyle w:val="ListBullet"/>
            </w:pPr>
            <w:r w:rsidRPr="00397EDB">
              <w:t>Excluding all food and drink from the work area</w:t>
            </w:r>
          </w:p>
          <w:p w:rsidR="00000000" w:rsidP="00397EDB">
            <w:pPr>
              <w:pStyle w:val="ListBullet"/>
              <w:rPr>
                <w:lang w:val="en-NZ"/>
              </w:rPr>
            </w:pPr>
            <w:r w:rsidRPr="00397EDB">
              <w:t>Washing hands before leaving the work area</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Emphasis"/>
              </w:rPr>
              <w:t>Decontamination of impression materials must include</w:t>
            </w:r>
            <w:r w:rsidRPr="00397EDB">
              <w:t>:</w:t>
            </w: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ListBullet"/>
            </w:pPr>
            <w:r w:rsidRPr="00397EDB">
              <w:t>Cleaning in a mild detergent solution until all traces of blood and body fluids are removed, followed by rinsing</w:t>
            </w:r>
          </w:p>
          <w:p w:rsidR="00000000" w:rsidP="00397EDB">
            <w:pPr>
              <w:pStyle w:val="ListBullet"/>
              <w:rPr>
                <w:lang w:val="en-NZ"/>
              </w:rPr>
            </w:pPr>
            <w:r w:rsidRPr="00397EDB">
              <w:t>Rinsing impression in clean running water</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Emphasis"/>
              </w:rPr>
              <w:t>Defects in impressions may include but are not limited to</w:t>
            </w:r>
            <w:r w:rsidRPr="00397EDB">
              <w:t>:</w:t>
            </w: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ListBullet"/>
            </w:pPr>
            <w:r w:rsidRPr="00397EDB">
              <w:t>Blood and saliva contamination</w:t>
            </w:r>
          </w:p>
          <w:p w:rsidR="00000000" w:rsidRPr="00397EDB" w:rsidP="00397EDB">
            <w:pPr>
              <w:pStyle w:val="ListBullet"/>
            </w:pPr>
            <w:r w:rsidRPr="00397EDB">
              <w:t>Bubble</w:t>
            </w:r>
            <w:r w:rsidRPr="00397EDB">
              <w:t>s</w:t>
            </w:r>
          </w:p>
          <w:p w:rsidR="00000000" w:rsidRPr="00397EDB" w:rsidP="00397EDB">
            <w:pPr>
              <w:pStyle w:val="ListBullet"/>
            </w:pPr>
            <w:r w:rsidRPr="00397EDB">
              <w:t>Impression short in one or more regions</w:t>
            </w:r>
          </w:p>
          <w:p w:rsidR="00000000" w:rsidRPr="00397EDB" w:rsidP="00397EDB">
            <w:pPr>
              <w:pStyle w:val="ListBullet"/>
            </w:pPr>
            <w:r w:rsidRPr="00397EDB">
              <w:t>Poor adhesion of impression to tray</w:t>
            </w:r>
          </w:p>
          <w:p w:rsidR="00000000" w:rsidP="00397EDB">
            <w:pPr>
              <w:pStyle w:val="ListBullet"/>
              <w:rPr>
                <w:lang w:val="en-NZ"/>
              </w:rPr>
            </w:pPr>
            <w:r w:rsidRPr="00397EDB">
              <w:t>Tray flange showing through impression</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Emphasis"/>
              </w:rPr>
              <w:t>The range of impressions may include</w:t>
            </w:r>
            <w:r w:rsidRPr="00397EDB">
              <w:t>:</w:t>
            </w: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ListBullet"/>
            </w:pPr>
            <w:r w:rsidRPr="00397EDB">
              <w:t>Dentate impressions</w:t>
            </w:r>
          </w:p>
          <w:p w:rsidR="00000000" w:rsidP="00397EDB">
            <w:pPr>
              <w:pStyle w:val="ListBullet"/>
              <w:rPr>
                <w:lang w:val="en-NZ"/>
              </w:rPr>
            </w:pPr>
            <w:r w:rsidRPr="00397EDB">
              <w:t>Edentulous impressions</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Emphasis"/>
              </w:rPr>
              <w:t>Model materials may include but are not limited to</w:t>
            </w:r>
            <w:r w:rsidRPr="00397EDB">
              <w:t>:</w:t>
            </w: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ListBullet"/>
            </w:pPr>
            <w:r w:rsidRPr="00397EDB">
              <w:t>Epoxy resin</w:t>
            </w:r>
          </w:p>
          <w:p w:rsidR="00000000" w:rsidRPr="00397EDB" w:rsidP="00397EDB">
            <w:pPr>
              <w:pStyle w:val="ListBullet"/>
            </w:pPr>
            <w:r w:rsidRPr="00397EDB">
              <w:t>Plaster</w:t>
            </w:r>
          </w:p>
          <w:p w:rsidR="00000000" w:rsidRPr="00397EDB" w:rsidP="00397EDB">
            <w:pPr>
              <w:pStyle w:val="ListBullet"/>
            </w:pPr>
            <w:r w:rsidRPr="00397EDB">
              <w:t>Quick set stone</w:t>
            </w:r>
          </w:p>
          <w:p w:rsidR="00000000" w:rsidP="00397EDB">
            <w:pPr>
              <w:pStyle w:val="ListBullet"/>
              <w:rPr>
                <w:lang w:val="en-NZ"/>
              </w:rPr>
            </w:pPr>
            <w:r w:rsidRPr="00397EDB">
              <w:t>Regular stone</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Emphasis"/>
              </w:rPr>
              <w:t>The preparation of model materials</w:t>
            </w:r>
            <w:r w:rsidRPr="00397EDB">
              <w:t xml:space="preserve"> </w:t>
            </w:r>
            <w:r w:rsidRPr="00397EDB">
              <w:rPr>
                <w:rStyle w:val="Emphasis"/>
              </w:rPr>
              <w:t>may include but is not limited to</w:t>
            </w:r>
            <w:r w:rsidRPr="00397EDB">
              <w:t>:</w:t>
            </w: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ListBullet"/>
            </w:pPr>
            <w:r w:rsidRPr="00397EDB">
              <w:t>Equipment used for mixing is clean</w:t>
            </w:r>
          </w:p>
          <w:p w:rsidR="00000000" w:rsidP="00397EDB">
            <w:pPr>
              <w:pStyle w:val="ListBullet"/>
              <w:rPr>
                <w:lang w:val="en-NZ"/>
              </w:rPr>
            </w:pPr>
            <w:r w:rsidRPr="00397EDB">
              <w:t>The water-stone ratio as recommended by the manufacturer</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Emphasis"/>
              </w:rPr>
              <w:t>The requirements for storage of model material may include but is not limited to</w:t>
            </w:r>
            <w:r w:rsidRPr="00397EDB">
              <w:t>:</w:t>
            </w: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ListBullet"/>
            </w:pPr>
            <w:r w:rsidRPr="00397EDB">
              <w:t>Date of expiry as stated by manufacturer</w:t>
            </w:r>
          </w:p>
          <w:p w:rsidR="00000000" w:rsidRPr="00397EDB" w:rsidP="00397EDB">
            <w:pPr>
              <w:pStyle w:val="ListBullet"/>
            </w:pPr>
            <w:r w:rsidRPr="00397EDB">
              <w:t>Rotation of stock</w:t>
            </w:r>
          </w:p>
          <w:p w:rsidR="00000000" w:rsidRPr="00397EDB" w:rsidP="00397EDB">
            <w:pPr>
              <w:pStyle w:val="ListBullet"/>
            </w:pPr>
            <w:r w:rsidRPr="00397EDB">
              <w:t>Specific storage requirements including:</w:t>
            </w:r>
          </w:p>
          <w:p w:rsidR="00000000" w:rsidRPr="00397EDB" w:rsidP="00397EDB">
            <w:pPr>
              <w:pStyle w:val="ListBullet2"/>
            </w:pPr>
            <w:r w:rsidRPr="00397EDB">
              <w:t>protection from light</w:t>
            </w:r>
          </w:p>
          <w:p w:rsidR="00000000" w:rsidP="00397EDB">
            <w:pPr>
              <w:pStyle w:val="ListBullet2"/>
              <w:rPr>
                <w:lang w:val="en-NZ"/>
              </w:rPr>
            </w:pPr>
            <w:r w:rsidRPr="00397EDB">
              <w:t>storage temperature as recommended by the manufacturer</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Emphasis"/>
              </w:rPr>
              <w:t>The poring of materials may include</w:t>
            </w:r>
            <w:r w:rsidRPr="00397EDB">
              <w:t>:</w:t>
            </w: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ListBullet"/>
            </w:pPr>
            <w:r w:rsidRPr="00397EDB">
              <w:t>Techniques to exclude air from the mix:</w:t>
            </w:r>
          </w:p>
          <w:p w:rsidR="00000000" w:rsidRPr="00397EDB" w:rsidP="00397EDB">
            <w:pPr>
              <w:pStyle w:val="ListBullet2"/>
            </w:pPr>
            <w:r w:rsidRPr="00397EDB">
              <w:t>mechanical spatulation</w:t>
            </w:r>
          </w:p>
          <w:p w:rsidR="00000000" w:rsidRPr="00397EDB" w:rsidP="00397EDB">
            <w:pPr>
              <w:pStyle w:val="ListBullet2"/>
            </w:pPr>
            <w:r w:rsidRPr="00397EDB">
              <w:t>vibration</w:t>
            </w:r>
          </w:p>
          <w:p w:rsidR="00000000" w:rsidRPr="00397EDB" w:rsidP="00397EDB">
            <w:pPr>
              <w:pStyle w:val="ListBullet2"/>
            </w:pPr>
            <w:r w:rsidRPr="00397EDB">
              <w:t>vacuum</w:t>
            </w:r>
          </w:p>
          <w:p w:rsidR="00000000" w:rsidP="00397EDB">
            <w:pPr>
              <w:pStyle w:val="ListBullet"/>
              <w:rPr>
                <w:lang w:val="en-NZ"/>
              </w:rPr>
            </w:pPr>
            <w:r w:rsidRPr="00397EDB">
              <w:t>Techniques to ensure elastic impression materials are not distorted</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97EDB">
            <w:pPr>
              <w:pStyle w:val="BodyText"/>
              <w:rPr>
                <w:lang w:val="en-NZ"/>
              </w:rPr>
            </w:pPr>
            <w:r w:rsidRPr="00397EDB">
              <w:rPr>
                <w:rStyle w:val="Emphasis"/>
              </w:rPr>
              <w:t>Trimming the model may include but is not limited to</w:t>
            </w:r>
            <w:r w:rsidRPr="00397EDB">
              <w:t>:</w:t>
            </w: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ListBullet"/>
            </w:pPr>
            <w:r w:rsidRPr="00397EDB">
              <w:t>Trimming regular models so that:</w:t>
            </w:r>
          </w:p>
          <w:p w:rsidR="00000000" w:rsidRPr="00397EDB" w:rsidP="00397EDB">
            <w:pPr>
              <w:pStyle w:val="ListBullet2"/>
            </w:pPr>
            <w:r w:rsidRPr="00397EDB">
              <w:t>the base is parallel to the occlusal plane</w:t>
            </w:r>
          </w:p>
          <w:p w:rsidR="00000000" w:rsidRPr="00397EDB" w:rsidP="00397EDB">
            <w:pPr>
              <w:pStyle w:val="ListBullet2"/>
            </w:pPr>
            <w:r w:rsidRPr="00397EDB">
              <w:t>the sides are free from unrelated material</w:t>
            </w:r>
          </w:p>
          <w:p w:rsidR="00000000" w:rsidRPr="00397EDB" w:rsidP="00397EDB">
            <w:pPr>
              <w:pStyle w:val="ListBullet2"/>
            </w:pPr>
            <w:r w:rsidRPr="00397EDB">
              <w:t>posterior borders are equal on maxillary and mandibular models so that models can stand when placed in a vertical position on bench</w:t>
            </w:r>
          </w:p>
          <w:p w:rsidR="00000000" w:rsidRPr="00397EDB" w:rsidP="00397EDB">
            <w:pPr>
              <w:pStyle w:val="ListBullet2"/>
            </w:pPr>
            <w:r w:rsidRPr="00397EDB">
              <w:t>essential anatomical detail is retained</w:t>
            </w:r>
          </w:p>
          <w:p w:rsidR="00000000" w:rsidRPr="00397EDB" w:rsidP="00397EDB">
            <w:pPr>
              <w:pStyle w:val="ListBullet"/>
            </w:pPr>
            <w:r w:rsidRPr="00397EDB">
              <w:t>Trimming orthodontic models so that:</w:t>
            </w:r>
          </w:p>
          <w:p w:rsidR="00000000" w:rsidP="00397EDB">
            <w:pPr>
              <w:pStyle w:val="ListBullet2"/>
              <w:rPr>
                <w:lang w:val="en-NZ"/>
              </w:rPr>
            </w:pPr>
            <w:r w:rsidRPr="00397EDB">
              <w:t>pre-set angles are maintained</w:t>
            </w:r>
          </w:p>
        </w:tc>
      </w:tr>
      <w:tr w:rsidTr="00DE469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97EDB" w:rsidP="00397EDB">
            <w:pPr>
              <w:pStyle w:val="BodyText"/>
            </w:pPr>
          </w:p>
        </w:tc>
      </w:tr>
    </w:tbl>
    <w:p w:rsidR="00DE4690" w:rsidP="00397EDB">
      <w:pPr>
        <w:pStyle w:val="BodyText"/>
      </w:pPr>
    </w:p>
    <w:p w:rsidR="00DE4690" w:rsidP="00397EDB">
      <w:pPr>
        <w:pStyle w:val="BodyText"/>
      </w:pPr>
    </w:p>
    <w:p w:rsidR="00000000" w:rsidRPr="00397EDB" w:rsidP="00397EDB">
      <w:pPr>
        <w:pStyle w:val="Heading1"/>
      </w:pPr>
      <w:bookmarkStart w:id="12" w:name="O_295035"/>
      <w:bookmarkEnd w:id="12"/>
      <w:r w:rsidRPr="00397EDB">
        <w:t>Unit Sector(s)</w:t>
      </w:r>
    </w:p>
    <w:p w:rsidR="00000000" w:rsidRPr="00397EDB" w:rsidP="00397EDB">
      <w:pPr>
        <w:pStyle w:val="BodyText"/>
      </w:pPr>
      <w:r w:rsidRPr="00397EDB">
        <w:t>Not Applicable</w:t>
      </w:r>
    </w:p>
    <w:p w:rsidR="00000000" w:rsidRPr="00397EDB" w:rsidP="00397EDB"/>
    <w:sectPr w:rsidSect="00397E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690" w:rsidP="00DE4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90" w:rsidP="00397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4690" w:rsidP="00397E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E4690" w:rsidP="00397E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4690" w:rsidP="00DE46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90" w:rsidP="00397EDB">
    <w:pPr>
      <w:pStyle w:val="Header"/>
      <w:framePr w:wrap="around"/>
    </w:pPr>
    <w:r>
      <w:fldChar w:fldCharType="begin"/>
    </w:r>
    <w:r>
      <w:instrText xml:space="preserve"> TITLE   \* MERGEFORMAT </w:instrText>
    </w:r>
    <w:r>
      <w:fldChar w:fldCharType="separate"/>
    </w:r>
    <w:r>
      <w:t>HLTDT301C Construct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4690" w:rsidP="00397E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94D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20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0D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E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7EDB"/>
    <w:pPr>
      <w:spacing w:before="360" w:after="60"/>
      <w:outlineLvl w:val="0"/>
    </w:pPr>
    <w:rPr>
      <w:sz w:val="32"/>
    </w:rPr>
  </w:style>
  <w:style w:type="paragraph" w:styleId="Heading2">
    <w:name w:val="heading 2"/>
    <w:basedOn w:val="HeadingBase"/>
    <w:next w:val="BodyText"/>
    <w:link w:val="Heading2Char"/>
    <w:qFormat/>
    <w:rsid w:val="00397EDB"/>
    <w:pPr>
      <w:keepLines/>
      <w:spacing w:before="240" w:after="120"/>
      <w:outlineLvl w:val="1"/>
    </w:pPr>
    <w:rPr>
      <w:sz w:val="28"/>
      <w:szCs w:val="40"/>
    </w:rPr>
  </w:style>
  <w:style w:type="paragraph" w:styleId="Heading3">
    <w:name w:val="heading 3"/>
    <w:basedOn w:val="HeadingBase"/>
    <w:next w:val="BodyText"/>
    <w:link w:val="Heading3Char"/>
    <w:qFormat/>
    <w:rsid w:val="00397EDB"/>
    <w:pPr>
      <w:spacing w:before="180" w:after="120"/>
      <w:outlineLvl w:val="2"/>
    </w:pPr>
    <w:rPr>
      <w:spacing w:val="-10"/>
      <w:kern w:val="32"/>
    </w:rPr>
  </w:style>
  <w:style w:type="paragraph" w:styleId="Heading4">
    <w:name w:val="heading 4"/>
    <w:basedOn w:val="HeadingBase"/>
    <w:next w:val="BodyText"/>
    <w:link w:val="Heading4Char"/>
    <w:qFormat/>
    <w:rsid w:val="00397EDB"/>
    <w:pPr>
      <w:spacing w:before="160" w:after="120"/>
      <w:outlineLvl w:val="3"/>
    </w:pPr>
    <w:rPr>
      <w:sz w:val="22"/>
    </w:rPr>
  </w:style>
  <w:style w:type="paragraph" w:styleId="Heading5">
    <w:name w:val="heading 5"/>
    <w:basedOn w:val="HeadingBase"/>
    <w:next w:val="Normal"/>
    <w:link w:val="Heading5Char"/>
    <w:qFormat/>
    <w:rsid w:val="00397EDB"/>
    <w:pPr>
      <w:spacing w:before="80"/>
      <w:outlineLvl w:val="4"/>
    </w:pPr>
    <w:rPr>
      <w:color w:val="918585"/>
      <w:sz w:val="20"/>
    </w:rPr>
  </w:style>
  <w:style w:type="paragraph" w:styleId="Heading6">
    <w:name w:val="heading 6"/>
    <w:basedOn w:val="HeadingBase"/>
    <w:next w:val="Normal"/>
    <w:link w:val="Heading6Char"/>
    <w:qFormat/>
    <w:rsid w:val="00397EDB"/>
    <w:pPr>
      <w:spacing w:before="60"/>
      <w:outlineLvl w:val="5"/>
    </w:pPr>
    <w:rPr>
      <w:color w:val="918585"/>
      <w:sz w:val="20"/>
    </w:rPr>
  </w:style>
  <w:style w:type="paragraph" w:styleId="Heading7">
    <w:name w:val="heading 7"/>
    <w:basedOn w:val="Normal"/>
    <w:next w:val="Normal"/>
    <w:link w:val="Heading7Char"/>
    <w:qFormat/>
    <w:rsid w:val="00397EDB"/>
    <w:pPr>
      <w:ind w:left="720"/>
      <w:outlineLvl w:val="6"/>
    </w:pPr>
    <w:rPr>
      <w:i/>
    </w:rPr>
  </w:style>
  <w:style w:type="paragraph" w:styleId="Heading8">
    <w:name w:val="heading 8"/>
    <w:basedOn w:val="Normal"/>
    <w:next w:val="Normal"/>
    <w:link w:val="Heading8Char"/>
    <w:qFormat/>
    <w:rsid w:val="00397EDB"/>
    <w:pPr>
      <w:ind w:left="720"/>
      <w:outlineLvl w:val="7"/>
    </w:pPr>
    <w:rPr>
      <w:i/>
    </w:rPr>
  </w:style>
  <w:style w:type="paragraph" w:styleId="Heading9">
    <w:name w:val="heading 9"/>
    <w:basedOn w:val="Normal"/>
    <w:next w:val="Normal"/>
    <w:link w:val="Heading9Char"/>
    <w:qFormat/>
    <w:rsid w:val="00397EDB"/>
    <w:pPr>
      <w:ind w:left="720"/>
      <w:outlineLvl w:val="8"/>
    </w:pPr>
    <w:rPr>
      <w:i/>
    </w:rPr>
  </w:style>
  <w:style w:type="character" w:default="1" w:styleId="DefaultParagraphFont">
    <w:name w:val="Default Paragraph Font"/>
    <w:uiPriority w:val="1"/>
    <w:unhideWhenUsed/>
    <w:rsid w:val="00397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EDB"/>
  </w:style>
  <w:style w:type="character" w:customStyle="1" w:styleId="Heading1Char">
    <w:name w:val="Heading 1 Char"/>
    <w:basedOn w:val="DefaultParagraphFont"/>
    <w:link w:val="Heading1"/>
    <w:rsid w:val="00397EDB"/>
    <w:rPr>
      <w:rFonts w:ascii="Times New Roman" w:eastAsia="Times New Roman" w:hAnsi="Times New Roman" w:cs="Times New Roman"/>
      <w:b/>
      <w:sz w:val="32"/>
      <w:szCs w:val="20"/>
      <w:lang w:eastAsia="en-US"/>
    </w:rPr>
  </w:style>
  <w:style w:type="paragraph" w:styleId="BodyText">
    <w:name w:val="Body Text"/>
    <w:basedOn w:val="Normal"/>
    <w:link w:val="BodyTextChar"/>
    <w:rsid w:val="00397E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7EDB"/>
    <w:rPr>
      <w:rFonts w:ascii="Times New Roman" w:eastAsia="Times New Roman" w:hAnsi="Times New Roman" w:cs="Times New Roman"/>
      <w:sz w:val="24"/>
      <w:lang w:val="en-US" w:eastAsia="en-US"/>
    </w:rPr>
  </w:style>
  <w:style w:type="paragraph" w:styleId="Footer">
    <w:name w:val="footer"/>
    <w:basedOn w:val="Normal"/>
    <w:link w:val="FooterChar"/>
    <w:rsid w:val="00397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EDB"/>
    <w:rPr>
      <w:rFonts w:ascii="Times New Roman" w:eastAsia="Times New Roman" w:hAnsi="Times New Roman" w:cs="Times New Roman"/>
      <w:sz w:val="16"/>
      <w:lang w:val="en-US" w:eastAsia="en-US"/>
    </w:rPr>
  </w:style>
  <w:style w:type="paragraph" w:styleId="List">
    <w:name w:val="List"/>
    <w:basedOn w:val="BodyText"/>
    <w:next w:val="BodyText"/>
    <w:rsid w:val="00397EDB"/>
    <w:pPr>
      <w:tabs>
        <w:tab w:val="left" w:pos="340"/>
      </w:tabs>
      <w:spacing w:before="60" w:after="60"/>
      <w:ind w:left="340" w:hanging="340"/>
    </w:pPr>
  </w:style>
  <w:style w:type="paragraph" w:styleId="ListBullet">
    <w:name w:val="List Bullet"/>
    <w:basedOn w:val="List"/>
    <w:rsid w:val="00397EDB"/>
    <w:pPr>
      <w:numPr>
        <w:numId w:val="13"/>
      </w:numPr>
      <w:tabs>
        <w:tab w:val="clear" w:pos="340"/>
      </w:tabs>
      <w:spacing w:before="40" w:after="40"/>
    </w:pPr>
  </w:style>
  <w:style w:type="character" w:customStyle="1" w:styleId="SpecialBold">
    <w:name w:val="Special Bold"/>
    <w:basedOn w:val="DefaultParagraphFont"/>
    <w:rsid w:val="00397EDB"/>
    <w:rPr>
      <w:b/>
      <w:spacing w:val="0"/>
    </w:rPr>
  </w:style>
  <w:style w:type="paragraph" w:styleId="ListBullet2">
    <w:name w:val="List Bullet 2"/>
    <w:basedOn w:val="List2"/>
    <w:rsid w:val="00397EDB"/>
    <w:pPr>
      <w:numPr>
        <w:numId w:val="14"/>
      </w:numPr>
      <w:tabs>
        <w:tab w:val="clear" w:pos="680"/>
      </w:tabs>
    </w:pPr>
  </w:style>
  <w:style w:type="paragraph" w:styleId="Header">
    <w:name w:val="header"/>
    <w:basedOn w:val="Normal"/>
    <w:link w:val="HeaderChar"/>
    <w:rsid w:val="00397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ED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97EDB"/>
    <w:rPr>
      <w:i/>
    </w:rPr>
  </w:style>
  <w:style w:type="paragraph" w:customStyle="1" w:styleId="SuperHeading">
    <w:name w:val="SuperHeading"/>
    <w:basedOn w:val="Normal"/>
    <w:rsid w:val="00397EDB"/>
    <w:pPr>
      <w:spacing w:before="240" w:after="120"/>
      <w:outlineLvl w:val="0"/>
    </w:pPr>
    <w:rPr>
      <w:rFonts w:ascii="Times New Roman" w:hAnsi="Times New Roman"/>
      <w:b/>
      <w:sz w:val="28"/>
    </w:rPr>
  </w:style>
  <w:style w:type="paragraph" w:customStyle="1" w:styleId="AllowPageBreak">
    <w:name w:val="AllowPageBreak"/>
    <w:rsid w:val="00397E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E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7E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7EDB"/>
    <w:rPr>
      <w:rFonts w:ascii="Courier New" w:eastAsia="Times New Roman" w:hAnsi="Courier New" w:cs="Times New Roman"/>
      <w:i/>
      <w:szCs w:val="20"/>
      <w:lang w:val="en-US" w:eastAsia="en-US"/>
    </w:rPr>
  </w:style>
  <w:style w:type="paragraph" w:customStyle="1" w:styleId="HeadingBase">
    <w:name w:val="Heading Base"/>
    <w:rsid w:val="00397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EDB"/>
    <w:pPr>
      <w:tabs>
        <w:tab w:val="right" w:leader="dot" w:pos="9072"/>
      </w:tabs>
      <w:ind w:left="567"/>
    </w:pPr>
    <w:rPr>
      <w:szCs w:val="22"/>
    </w:rPr>
  </w:style>
  <w:style w:type="paragraph" w:customStyle="1" w:styleId="TOCBase">
    <w:name w:val="TOC Base"/>
    <w:rsid w:val="00397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EDB"/>
    <w:pPr>
      <w:tabs>
        <w:tab w:val="right" w:leader="dot" w:pos="9072"/>
      </w:tabs>
      <w:spacing w:before="40" w:after="40"/>
      <w:ind w:left="284"/>
    </w:pPr>
    <w:rPr>
      <w:rFonts w:ascii="Times New Roman" w:hAnsi="Times New Roman"/>
    </w:rPr>
  </w:style>
  <w:style w:type="paragraph" w:styleId="TOC1">
    <w:name w:val="toc 1"/>
    <w:basedOn w:val="TOCBase"/>
    <w:next w:val="Normal"/>
    <w:rsid w:val="00397E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7EDB"/>
    <w:pPr>
      <w:spacing w:before="5040"/>
      <w:jc w:val="center"/>
    </w:pPr>
    <w:rPr>
      <w:sz w:val="48"/>
      <w:szCs w:val="72"/>
      <w:lang w:val="en-US"/>
    </w:rPr>
  </w:style>
  <w:style w:type="character" w:customStyle="1" w:styleId="TitleChar">
    <w:name w:val="Title Char"/>
    <w:basedOn w:val="DefaultParagraphFont"/>
    <w:link w:val="Title"/>
    <w:rsid w:val="00397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EDB"/>
    <w:pPr>
      <w:tabs>
        <w:tab w:val="left" w:pos="3600"/>
        <w:tab w:val="left" w:pos="3958"/>
      </w:tabs>
    </w:pPr>
  </w:style>
  <w:style w:type="paragraph" w:customStyle="1" w:styleId="Note">
    <w:name w:val="Note"/>
    <w:basedOn w:val="BodyText"/>
    <w:rsid w:val="00397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EDB"/>
    <w:pPr>
      <w:framePr w:wrap="auto" w:hAnchor="text" w:y="6049"/>
    </w:pPr>
    <w:rPr>
      <w:color w:val="000000"/>
      <w:sz w:val="40"/>
    </w:rPr>
  </w:style>
  <w:style w:type="paragraph" w:customStyle="1" w:styleId="TOCTitle">
    <w:name w:val="TOCTitle"/>
    <w:basedOn w:val="Heading1"/>
    <w:rsid w:val="00397EDB"/>
    <w:pPr>
      <w:spacing w:after="240"/>
      <w:jc w:val="center"/>
      <w:outlineLvl w:val="9"/>
    </w:pPr>
    <w:rPr>
      <w:caps/>
    </w:rPr>
  </w:style>
  <w:style w:type="paragraph" w:customStyle="1" w:styleId="Version">
    <w:name w:val="Version"/>
    <w:rsid w:val="00397E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EDB"/>
    <w:pPr>
      <w:keepNext w:val="0"/>
      <w:tabs>
        <w:tab w:val="right" w:pos="4176"/>
      </w:tabs>
      <w:ind w:left="198" w:hanging="198"/>
    </w:pPr>
    <w:rPr>
      <w:rFonts w:ascii="Garamond" w:hAnsi="Garamond"/>
    </w:rPr>
  </w:style>
  <w:style w:type="paragraph" w:styleId="IndexHeading">
    <w:name w:val="index heading"/>
    <w:basedOn w:val="Normal"/>
    <w:next w:val="Index1"/>
    <w:semiHidden/>
    <w:rsid w:val="00397EDB"/>
    <w:pPr>
      <w:spacing w:before="120" w:after="120"/>
    </w:pPr>
    <w:rPr>
      <w:rFonts w:ascii="Arial" w:hAnsi="Arial"/>
      <w:b/>
      <w:color w:val="918585"/>
      <w:sz w:val="24"/>
    </w:rPr>
  </w:style>
  <w:style w:type="paragraph" w:customStyle="1" w:styleId="Chapter">
    <w:name w:val="Chapter"/>
    <w:basedOn w:val="Normal"/>
    <w:rsid w:val="00397EDB"/>
    <w:pPr>
      <w:spacing w:before="240"/>
    </w:pPr>
    <w:rPr>
      <w:rFonts w:ascii="Times New Roman" w:hAnsi="Times New Roman"/>
      <w:smallCaps/>
      <w:spacing w:val="80"/>
      <w:sz w:val="28"/>
    </w:rPr>
  </w:style>
  <w:style w:type="paragraph" w:customStyle="1" w:styleId="InChapter">
    <w:name w:val="InChapter"/>
    <w:basedOn w:val="Heading3"/>
    <w:rsid w:val="00397EDB"/>
    <w:pPr>
      <w:spacing w:after="240"/>
      <w:outlineLvl w:val="9"/>
    </w:pPr>
    <w:rPr>
      <w:noProof/>
    </w:rPr>
  </w:style>
  <w:style w:type="paragraph" w:styleId="Index2">
    <w:name w:val="index 2"/>
    <w:basedOn w:val="Normal"/>
    <w:next w:val="Normal"/>
    <w:semiHidden/>
    <w:rsid w:val="00397EDB"/>
    <w:pPr>
      <w:tabs>
        <w:tab w:val="right" w:pos="4176"/>
      </w:tabs>
      <w:ind w:left="568" w:hanging="284"/>
    </w:pPr>
    <w:rPr>
      <w:rFonts w:ascii="Garamond" w:hAnsi="Garamond"/>
    </w:rPr>
  </w:style>
  <w:style w:type="paragraph" w:customStyle="1" w:styleId="Byline">
    <w:name w:val="Byline"/>
    <w:rsid w:val="00397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EDB"/>
    <w:pPr>
      <w:tabs>
        <w:tab w:val="clear" w:pos="3600"/>
        <w:tab w:val="clear" w:pos="3958"/>
      </w:tabs>
      <w:jc w:val="right"/>
    </w:pPr>
  </w:style>
  <w:style w:type="paragraph" w:styleId="Caption">
    <w:name w:val="caption"/>
    <w:basedOn w:val="BodyText"/>
    <w:next w:val="Normal"/>
    <w:qFormat/>
    <w:rsid w:val="00397EDB"/>
    <w:pPr>
      <w:framePr w:w="2268" w:hSpace="181" w:vSpace="181" w:wrap="around" w:vAnchor="text" w:hAnchor="page" w:x="1135" w:y="285" w:anchorLock="1"/>
    </w:pPr>
    <w:rPr>
      <w:i/>
    </w:rPr>
  </w:style>
  <w:style w:type="paragraph" w:customStyle="1" w:styleId="MiniTOCTitle">
    <w:name w:val="MiniTOCTitle"/>
    <w:basedOn w:val="Heading4"/>
    <w:rsid w:val="00397EDB"/>
    <w:pPr>
      <w:spacing w:before="240"/>
      <w:outlineLvl w:val="9"/>
    </w:pPr>
    <w:rPr>
      <w:noProof/>
      <w:sz w:val="24"/>
    </w:rPr>
  </w:style>
  <w:style w:type="paragraph" w:customStyle="1" w:styleId="MiniTOCItem">
    <w:name w:val="MiniTOCItem"/>
    <w:basedOn w:val="ListBullet"/>
    <w:rsid w:val="00397EDB"/>
    <w:pPr>
      <w:numPr>
        <w:numId w:val="0"/>
      </w:numPr>
      <w:tabs>
        <w:tab w:val="right" w:leader="dot" w:pos="6521"/>
      </w:tabs>
      <w:spacing w:before="0" w:after="0"/>
    </w:pPr>
  </w:style>
  <w:style w:type="paragraph" w:customStyle="1" w:styleId="TOFTitle">
    <w:name w:val="TOFTitle"/>
    <w:basedOn w:val="TOCTitle"/>
    <w:rsid w:val="00397EDB"/>
  </w:style>
  <w:style w:type="paragraph" w:styleId="TableofFigures">
    <w:name w:val="table of figures"/>
    <w:basedOn w:val="Normal"/>
    <w:next w:val="Normal"/>
    <w:semiHidden/>
    <w:rsid w:val="00397EDB"/>
    <w:pPr>
      <w:tabs>
        <w:tab w:val="right" w:leader="dot" w:pos="9072"/>
      </w:tabs>
      <w:ind w:left="970" w:hanging="403"/>
    </w:pPr>
    <w:rPr>
      <w:rFonts w:ascii="Times New Roman" w:hAnsi="Times New Roman"/>
      <w:b/>
    </w:rPr>
  </w:style>
  <w:style w:type="paragraph" w:styleId="ListNumber">
    <w:name w:val="List Number"/>
    <w:basedOn w:val="List"/>
    <w:rsid w:val="00397EDB"/>
    <w:pPr>
      <w:numPr>
        <w:numId w:val="11"/>
      </w:numPr>
    </w:pPr>
  </w:style>
  <w:style w:type="character" w:customStyle="1" w:styleId="WingdingSymbols">
    <w:name w:val="Wingding Symbols"/>
    <w:rsid w:val="00397EDB"/>
    <w:rPr>
      <w:rFonts w:ascii="Wingdings" w:hAnsi="Wingdings"/>
    </w:rPr>
  </w:style>
  <w:style w:type="paragraph" w:customStyle="1" w:styleId="TableHeading">
    <w:name w:val="Table Heading"/>
    <w:basedOn w:val="HeadingBase"/>
    <w:rsid w:val="00397EDB"/>
    <w:pPr>
      <w:keepLines/>
      <w:pBdr>
        <w:bottom w:val="single" w:sz="6" w:space="1" w:color="918585"/>
      </w:pBdr>
      <w:spacing w:before="240"/>
    </w:pPr>
  </w:style>
  <w:style w:type="character" w:customStyle="1" w:styleId="HotSpot">
    <w:name w:val="HotSpot"/>
    <w:rsid w:val="00397EDB"/>
    <w:rPr>
      <w:color w:val="0033CC"/>
      <w:u w:val="none"/>
    </w:rPr>
  </w:style>
  <w:style w:type="paragraph" w:customStyle="1" w:styleId="BodyTextRight">
    <w:name w:val="Body Text Right"/>
    <w:basedOn w:val="BodyText"/>
    <w:rsid w:val="00397EDB"/>
    <w:pPr>
      <w:spacing w:before="0" w:after="0"/>
      <w:jc w:val="right"/>
    </w:pPr>
  </w:style>
  <w:style w:type="paragraph" w:styleId="Index3">
    <w:name w:val="index 3"/>
    <w:basedOn w:val="ListNumber2"/>
    <w:next w:val="Normal"/>
    <w:semiHidden/>
    <w:rsid w:val="00397EDB"/>
    <w:pPr>
      <w:numPr>
        <w:numId w:val="0"/>
      </w:numPr>
      <w:tabs>
        <w:tab w:val="right" w:leader="dot" w:pos="4176"/>
      </w:tabs>
    </w:pPr>
  </w:style>
  <w:style w:type="paragraph" w:styleId="ListNumber2">
    <w:name w:val="List Number 2"/>
    <w:basedOn w:val="List2"/>
    <w:rsid w:val="00397EDB"/>
    <w:pPr>
      <w:numPr>
        <w:numId w:val="10"/>
      </w:numPr>
      <w:tabs>
        <w:tab w:val="clear" w:pos="1060"/>
      </w:tabs>
    </w:pPr>
  </w:style>
  <w:style w:type="paragraph" w:customStyle="1" w:styleId="MarginNote">
    <w:name w:val="Margin Note"/>
    <w:basedOn w:val="BodyText"/>
    <w:rsid w:val="00397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E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7EDB"/>
    <w:rPr>
      <w:sz w:val="32"/>
    </w:rPr>
  </w:style>
  <w:style w:type="paragraph" w:customStyle="1" w:styleId="HeadingProcedure">
    <w:name w:val="Heading Procedure"/>
    <w:basedOn w:val="HeadingBase"/>
    <w:next w:val="Normal"/>
    <w:rsid w:val="00397EDB"/>
    <w:pPr>
      <w:tabs>
        <w:tab w:val="left" w:pos="0"/>
      </w:tabs>
      <w:spacing w:before="120" w:after="60"/>
    </w:pPr>
    <w:rPr>
      <w:i/>
      <w:color w:val="918585"/>
      <w:sz w:val="22"/>
    </w:rPr>
  </w:style>
  <w:style w:type="paragraph" w:customStyle="1" w:styleId="TableBodyText">
    <w:name w:val="Table Body Text"/>
    <w:basedOn w:val="BodyText"/>
    <w:rsid w:val="00397EDB"/>
    <w:pPr>
      <w:spacing w:before="60" w:after="60"/>
    </w:pPr>
  </w:style>
  <w:style w:type="paragraph" w:styleId="ListContinue">
    <w:name w:val="List Continue"/>
    <w:basedOn w:val="List"/>
    <w:rsid w:val="00397EDB"/>
    <w:pPr>
      <w:ind w:firstLine="0"/>
    </w:pPr>
  </w:style>
  <w:style w:type="paragraph" w:customStyle="1" w:styleId="ListNote">
    <w:name w:val="List Note"/>
    <w:basedOn w:val="List"/>
    <w:rsid w:val="00397EDB"/>
    <w:pPr>
      <w:pBdr>
        <w:top w:val="single" w:sz="6" w:space="2" w:color="918585"/>
        <w:bottom w:val="single" w:sz="6" w:space="2" w:color="918585"/>
      </w:pBdr>
      <w:tabs>
        <w:tab w:val="left" w:pos="1021"/>
      </w:tabs>
      <w:ind w:firstLine="0"/>
    </w:pPr>
  </w:style>
  <w:style w:type="paragraph" w:customStyle="1" w:styleId="Warning">
    <w:name w:val="Warning"/>
    <w:basedOn w:val="BodyText"/>
    <w:rsid w:val="00397EDB"/>
    <w:pPr>
      <w:shd w:val="clear" w:color="auto" w:fill="D9D9D9"/>
      <w:tabs>
        <w:tab w:val="left" w:pos="992"/>
      </w:tabs>
      <w:ind w:left="119" w:right="119"/>
    </w:pPr>
    <w:rPr>
      <w:sz w:val="20"/>
    </w:rPr>
  </w:style>
  <w:style w:type="paragraph" w:customStyle="1" w:styleId="MarginIcons">
    <w:name w:val="Margin Icons"/>
    <w:basedOn w:val="BodyText"/>
    <w:rsid w:val="00397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EDB"/>
    <w:rPr>
      <w:rFonts w:ascii="Courier New" w:hAnsi="Courier New"/>
    </w:rPr>
  </w:style>
  <w:style w:type="paragraph" w:customStyle="1" w:styleId="NoteBullet">
    <w:name w:val="Note Bullet"/>
    <w:basedOn w:val="Note"/>
    <w:rsid w:val="00397EDB"/>
    <w:pPr>
      <w:tabs>
        <w:tab w:val="clear" w:pos="680"/>
      </w:tabs>
      <w:spacing w:before="60" w:after="60"/>
    </w:pPr>
  </w:style>
  <w:style w:type="paragraph" w:customStyle="1" w:styleId="SubHeading2">
    <w:name w:val="SubHeading2"/>
    <w:basedOn w:val="HeadingBase"/>
    <w:rsid w:val="00397EDB"/>
    <w:pPr>
      <w:spacing w:before="240" w:after="60"/>
    </w:pPr>
    <w:rPr>
      <w:sz w:val="20"/>
    </w:rPr>
  </w:style>
  <w:style w:type="paragraph" w:customStyle="1" w:styleId="SubHeading1">
    <w:name w:val="SubHeading1"/>
    <w:basedOn w:val="HeadingBase"/>
    <w:rsid w:val="00397EDB"/>
    <w:pPr>
      <w:spacing w:before="240" w:after="60"/>
    </w:pPr>
    <w:rPr>
      <w:color w:val="918585"/>
      <w:sz w:val="22"/>
    </w:rPr>
  </w:style>
  <w:style w:type="paragraph" w:customStyle="1" w:styleId="SideHeading">
    <w:name w:val="Side Heading"/>
    <w:basedOn w:val="HeadingBase"/>
    <w:rsid w:val="00397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EDB"/>
    <w:pPr>
      <w:numPr>
        <w:numId w:val="12"/>
      </w:numPr>
    </w:pPr>
  </w:style>
  <w:style w:type="paragraph" w:styleId="PlainText">
    <w:name w:val="Plain Text"/>
    <w:basedOn w:val="Normal"/>
    <w:link w:val="PlainTextChar"/>
    <w:rsid w:val="00397EDB"/>
    <w:rPr>
      <w:sz w:val="20"/>
    </w:rPr>
  </w:style>
  <w:style w:type="character" w:customStyle="1" w:styleId="PlainTextChar">
    <w:name w:val="Plain Text Char"/>
    <w:basedOn w:val="DefaultParagraphFont"/>
    <w:link w:val="PlainText"/>
    <w:rsid w:val="00397E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7EDB"/>
    <w:rPr>
      <w:b/>
      <w:smallCaps/>
    </w:rPr>
  </w:style>
  <w:style w:type="paragraph" w:customStyle="1" w:styleId="TableListNumber">
    <w:name w:val="Table List Number"/>
    <w:basedOn w:val="ListNumber"/>
    <w:rsid w:val="00397EDB"/>
    <w:pPr>
      <w:numPr>
        <w:numId w:val="0"/>
      </w:numPr>
    </w:pPr>
  </w:style>
  <w:style w:type="paragraph" w:styleId="TOC4">
    <w:name w:val="toc 4"/>
    <w:basedOn w:val="TOCBase"/>
    <w:next w:val="Normal"/>
    <w:semiHidden/>
    <w:rsid w:val="00397EDB"/>
    <w:pPr>
      <w:tabs>
        <w:tab w:val="right" w:leader="dot" w:pos="9071"/>
      </w:tabs>
      <w:ind w:left="1701"/>
    </w:pPr>
  </w:style>
  <w:style w:type="paragraph" w:customStyle="1" w:styleId="ListAlpha">
    <w:name w:val="List Alpha"/>
    <w:basedOn w:val="List"/>
    <w:rsid w:val="00397EDB"/>
    <w:pPr>
      <w:numPr>
        <w:numId w:val="9"/>
      </w:numPr>
    </w:pPr>
  </w:style>
  <w:style w:type="paragraph" w:customStyle="1" w:styleId="ListAlpha2">
    <w:name w:val="List Alpha 2"/>
    <w:basedOn w:val="List2"/>
    <w:rsid w:val="00397EDB"/>
    <w:pPr>
      <w:numPr>
        <w:numId w:val="8"/>
      </w:numPr>
    </w:pPr>
  </w:style>
  <w:style w:type="paragraph" w:styleId="List2">
    <w:name w:val="List 2"/>
    <w:basedOn w:val="BodyText"/>
    <w:rsid w:val="00397EDB"/>
    <w:pPr>
      <w:tabs>
        <w:tab w:val="left" w:pos="680"/>
      </w:tabs>
      <w:spacing w:before="60" w:after="60"/>
      <w:ind w:left="680" w:hanging="340"/>
    </w:pPr>
  </w:style>
  <w:style w:type="paragraph" w:styleId="List3">
    <w:name w:val="List 3"/>
    <w:basedOn w:val="BodyText"/>
    <w:rsid w:val="00397EDB"/>
    <w:pPr>
      <w:tabs>
        <w:tab w:val="left" w:pos="1021"/>
      </w:tabs>
      <w:spacing w:before="60" w:after="60"/>
      <w:ind w:left="1020" w:hanging="340"/>
    </w:pPr>
  </w:style>
  <w:style w:type="paragraph" w:styleId="List4">
    <w:name w:val="List 4"/>
    <w:basedOn w:val="BodyText"/>
    <w:rsid w:val="00397EDB"/>
    <w:pPr>
      <w:tabs>
        <w:tab w:val="left" w:pos="1361"/>
      </w:tabs>
      <w:spacing w:before="60" w:after="60"/>
      <w:ind w:left="1361" w:hanging="340"/>
    </w:pPr>
  </w:style>
  <w:style w:type="paragraph" w:styleId="List5">
    <w:name w:val="List 5"/>
    <w:basedOn w:val="BodyText"/>
    <w:rsid w:val="00397EDB"/>
    <w:pPr>
      <w:tabs>
        <w:tab w:val="left" w:pos="1701"/>
      </w:tabs>
      <w:spacing w:before="60" w:after="60"/>
      <w:ind w:left="1701" w:hanging="340"/>
    </w:pPr>
  </w:style>
  <w:style w:type="paragraph" w:styleId="ListBullet3">
    <w:name w:val="List Bullet 3"/>
    <w:basedOn w:val="List3"/>
    <w:rsid w:val="00397EDB"/>
    <w:pPr>
      <w:numPr>
        <w:numId w:val="15"/>
      </w:numPr>
      <w:tabs>
        <w:tab w:val="clear" w:pos="1021"/>
      </w:tabs>
      <w:ind w:left="1037" w:hanging="357"/>
    </w:pPr>
  </w:style>
  <w:style w:type="paragraph" w:styleId="ListBullet4">
    <w:name w:val="List Bullet 4"/>
    <w:basedOn w:val="List4"/>
    <w:rsid w:val="00397EDB"/>
    <w:pPr>
      <w:numPr>
        <w:numId w:val="3"/>
      </w:numPr>
    </w:pPr>
  </w:style>
  <w:style w:type="paragraph" w:styleId="ListBullet5">
    <w:name w:val="List Bullet 5"/>
    <w:basedOn w:val="List5"/>
    <w:rsid w:val="00397EDB"/>
    <w:pPr>
      <w:numPr>
        <w:numId w:val="4"/>
      </w:numPr>
    </w:pPr>
  </w:style>
  <w:style w:type="paragraph" w:styleId="ListContinue2">
    <w:name w:val="List Continue 2"/>
    <w:basedOn w:val="List2"/>
    <w:rsid w:val="00397EDB"/>
    <w:pPr>
      <w:ind w:firstLine="0"/>
    </w:pPr>
  </w:style>
  <w:style w:type="paragraph" w:styleId="ListContinue3">
    <w:name w:val="List Continue 3"/>
    <w:basedOn w:val="List3"/>
    <w:rsid w:val="00397EDB"/>
    <w:pPr>
      <w:ind w:left="1021" w:firstLine="0"/>
    </w:pPr>
  </w:style>
  <w:style w:type="paragraph" w:styleId="ListContinue4">
    <w:name w:val="List Continue 4"/>
    <w:basedOn w:val="List4"/>
    <w:rsid w:val="00397EDB"/>
    <w:pPr>
      <w:ind w:firstLine="0"/>
    </w:pPr>
  </w:style>
  <w:style w:type="paragraph" w:styleId="ListContinue5">
    <w:name w:val="List Continue 5"/>
    <w:basedOn w:val="List5"/>
    <w:rsid w:val="00397EDB"/>
    <w:pPr>
      <w:ind w:firstLine="0"/>
    </w:pPr>
  </w:style>
  <w:style w:type="paragraph" w:styleId="ListNumber3">
    <w:name w:val="List Number 3"/>
    <w:basedOn w:val="List3"/>
    <w:rsid w:val="00397EDB"/>
    <w:pPr>
      <w:numPr>
        <w:numId w:val="5"/>
      </w:numPr>
    </w:pPr>
  </w:style>
  <w:style w:type="paragraph" w:styleId="ListNumber4">
    <w:name w:val="List Number 4"/>
    <w:basedOn w:val="List4"/>
    <w:rsid w:val="00397EDB"/>
    <w:pPr>
      <w:numPr>
        <w:numId w:val="6"/>
      </w:numPr>
    </w:pPr>
  </w:style>
  <w:style w:type="paragraph" w:styleId="ListNumber5">
    <w:name w:val="List Number 5"/>
    <w:basedOn w:val="List5"/>
    <w:rsid w:val="00397EDB"/>
    <w:pPr>
      <w:numPr>
        <w:numId w:val="7"/>
      </w:numPr>
    </w:pPr>
  </w:style>
  <w:style w:type="paragraph" w:styleId="BlockText">
    <w:name w:val="Block Text"/>
    <w:basedOn w:val="Normal"/>
    <w:rsid w:val="00397EDB"/>
    <w:pPr>
      <w:spacing w:after="120"/>
      <w:ind w:left="1440" w:right="1440"/>
    </w:pPr>
  </w:style>
  <w:style w:type="character" w:customStyle="1" w:styleId="Subscript">
    <w:name w:val="Subscript"/>
    <w:basedOn w:val="DefaultParagraphFont"/>
    <w:rsid w:val="00397EDB"/>
    <w:rPr>
      <w:sz w:val="16"/>
      <w:vertAlign w:val="subscript"/>
    </w:rPr>
  </w:style>
  <w:style w:type="character" w:customStyle="1" w:styleId="Superscript">
    <w:name w:val="Superscript"/>
    <w:basedOn w:val="DefaultParagraphFont"/>
    <w:rsid w:val="00397EDB"/>
    <w:rPr>
      <w:sz w:val="16"/>
      <w:vertAlign w:val="superscript"/>
    </w:rPr>
  </w:style>
  <w:style w:type="character" w:customStyle="1" w:styleId="Symbols">
    <w:name w:val="Symbols"/>
    <w:basedOn w:val="DefaultParagraphFont"/>
    <w:rsid w:val="00397EDB"/>
    <w:rPr>
      <w:rFonts w:ascii="Symbol" w:hAnsi="Symbol"/>
    </w:rPr>
  </w:style>
  <w:style w:type="character" w:customStyle="1" w:styleId="MenuOptions">
    <w:name w:val="Menu Options"/>
    <w:basedOn w:val="DefaultParagraphFont"/>
    <w:rsid w:val="00397EDB"/>
    <w:rPr>
      <w:rFonts w:ascii="Arial Narrow" w:hAnsi="Arial Narrow"/>
      <w:smallCaps/>
    </w:rPr>
  </w:style>
  <w:style w:type="character" w:customStyle="1" w:styleId="Buttons">
    <w:name w:val="Buttons"/>
    <w:basedOn w:val="DefaultParagraphFont"/>
    <w:rsid w:val="00397EDB"/>
    <w:rPr>
      <w:b/>
    </w:rPr>
  </w:style>
  <w:style w:type="character" w:customStyle="1" w:styleId="Underlined">
    <w:name w:val="Underlined"/>
    <w:basedOn w:val="DefaultParagraphFont"/>
    <w:rsid w:val="00397EDB"/>
    <w:rPr>
      <w:u w:val="single"/>
    </w:rPr>
  </w:style>
  <w:style w:type="paragraph" w:customStyle="1" w:styleId="TableBodyTextRight">
    <w:name w:val="Table Body Text Right"/>
    <w:basedOn w:val="TableBodyText"/>
    <w:rsid w:val="00397EDB"/>
    <w:pPr>
      <w:widowControl w:val="0"/>
      <w:autoSpaceDE w:val="0"/>
      <w:autoSpaceDN w:val="0"/>
      <w:adjustRightInd w:val="0"/>
      <w:jc w:val="right"/>
    </w:pPr>
    <w:rPr>
      <w:rFonts w:cs="Arial"/>
      <w:szCs w:val="18"/>
    </w:rPr>
  </w:style>
  <w:style w:type="paragraph" w:customStyle="1" w:styleId="CopyrightText">
    <w:name w:val="Copyright Text"/>
    <w:basedOn w:val="BodyText"/>
    <w:rsid w:val="00397EDB"/>
    <w:rPr>
      <w:sz w:val="18"/>
    </w:rPr>
  </w:style>
  <w:style w:type="paragraph" w:customStyle="1" w:styleId="BodySmallRight">
    <w:name w:val="Body Small Right"/>
    <w:basedOn w:val="BodyTextRight"/>
    <w:rsid w:val="00397EDB"/>
    <w:rPr>
      <w:sz w:val="18"/>
      <w:szCs w:val="18"/>
    </w:rPr>
  </w:style>
  <w:style w:type="paragraph" w:customStyle="1" w:styleId="MarginEdition">
    <w:name w:val="Margin Edition"/>
    <w:basedOn w:val="MarginNote"/>
    <w:rsid w:val="00397EDB"/>
    <w:pPr>
      <w:spacing w:before="0" w:after="0"/>
    </w:pPr>
    <w:rPr>
      <w:rFonts w:ascii="Times New Roman" w:hAnsi="Times New Roman"/>
      <w:color w:val="999999"/>
    </w:rPr>
  </w:style>
  <w:style w:type="paragraph" w:customStyle="1" w:styleId="Spacer">
    <w:name w:val="Spacer"/>
    <w:basedOn w:val="Normal"/>
    <w:rsid w:val="00397EDB"/>
    <w:rPr>
      <w:sz w:val="2"/>
      <w:szCs w:val="2"/>
    </w:rPr>
  </w:style>
  <w:style w:type="character" w:customStyle="1" w:styleId="Small">
    <w:name w:val="Small"/>
    <w:basedOn w:val="DefaultParagraphFont"/>
    <w:rsid w:val="00397EDB"/>
    <w:rPr>
      <w:sz w:val="16"/>
    </w:rPr>
  </w:style>
  <w:style w:type="paragraph" w:customStyle="1" w:styleId="WideTable">
    <w:name w:val="Wide Table"/>
    <w:basedOn w:val="Normal"/>
    <w:rsid w:val="00397EDB"/>
    <w:pPr>
      <w:ind w:left="-1418"/>
    </w:pPr>
    <w:rPr>
      <w:sz w:val="2"/>
      <w:szCs w:val="2"/>
    </w:rPr>
  </w:style>
  <w:style w:type="character" w:styleId="PageNumber">
    <w:name w:val="page number"/>
    <w:basedOn w:val="DefaultParagraphFont"/>
    <w:rsid w:val="00397EDB"/>
  </w:style>
  <w:style w:type="paragraph" w:styleId="Quote">
    <w:name w:val="Quote"/>
    <w:basedOn w:val="Heading1"/>
    <w:link w:val="QuoteChar"/>
    <w:qFormat/>
    <w:rsid w:val="00397EDB"/>
    <w:rPr>
      <w:b w:val="0"/>
      <w:sz w:val="72"/>
      <w:szCs w:val="72"/>
      <w:lang w:val="en-NZ"/>
    </w:rPr>
  </w:style>
  <w:style w:type="character" w:customStyle="1" w:styleId="QuoteChar">
    <w:name w:val="Quote Char"/>
    <w:basedOn w:val="DefaultParagraphFont"/>
    <w:link w:val="Quote"/>
    <w:rsid w:val="00397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EDB"/>
    <w:pPr>
      <w:pageBreakBefore/>
    </w:pPr>
  </w:style>
  <w:style w:type="paragraph" w:customStyle="1" w:styleId="Border">
    <w:name w:val="Border"/>
    <w:basedOn w:val="Normal"/>
    <w:qFormat/>
    <w:rsid w:val="00397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EDB"/>
    <w:rPr>
      <w:b/>
      <w:bCs/>
      <w:i/>
      <w:iCs/>
      <w:color w:val="auto"/>
    </w:rPr>
  </w:style>
  <w:style w:type="paragraph" w:styleId="IntenseQuote">
    <w:name w:val="Intense Quote"/>
    <w:basedOn w:val="Normal"/>
    <w:next w:val="Normal"/>
    <w:link w:val="IntenseQuoteChar"/>
    <w:uiPriority w:val="30"/>
    <w:qFormat/>
    <w:rsid w:val="00397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E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7EDB"/>
    <w:rPr>
      <w:smallCaps/>
      <w:color w:val="auto"/>
      <w:u w:val="single"/>
    </w:rPr>
  </w:style>
  <w:style w:type="character" w:styleId="IntenseReference">
    <w:name w:val="Intense Reference"/>
    <w:basedOn w:val="DefaultParagraphFont"/>
    <w:uiPriority w:val="32"/>
    <w:qFormat/>
    <w:rsid w:val="00397EDB"/>
    <w:rPr>
      <w:b/>
      <w:bCs/>
      <w:smallCaps/>
      <w:color w:val="auto"/>
      <w:spacing w:val="5"/>
      <w:u w:val="single"/>
    </w:rPr>
  </w:style>
  <w:style w:type="paragraph" w:customStyle="1" w:styleId="2ColumnHeading">
    <w:name w:val="2Column Heading"/>
    <w:basedOn w:val="BodyText"/>
    <w:qFormat/>
    <w:rsid w:val="00397EDB"/>
    <w:pPr>
      <w:spacing w:after="60"/>
      <w:ind w:left="-2268"/>
    </w:pPr>
    <w:rPr>
      <w:b/>
    </w:rPr>
  </w:style>
  <w:style w:type="paragraph" w:customStyle="1" w:styleId="Heading1TOC">
    <w:name w:val="Heading1 TOC"/>
    <w:basedOn w:val="Normal"/>
    <w:qFormat/>
    <w:rsid w:val="00397EDB"/>
    <w:pPr>
      <w:spacing w:before="240" w:after="120"/>
    </w:pPr>
    <w:rPr>
      <w:rFonts w:ascii="Times New Roman" w:hAnsi="Times New Roman"/>
      <w:b/>
      <w:sz w:val="32"/>
    </w:rPr>
  </w:style>
  <w:style w:type="paragraph" w:customStyle="1" w:styleId="Heading2TOC">
    <w:name w:val="Heading2 TOC"/>
    <w:basedOn w:val="Normal"/>
    <w:qFormat/>
    <w:rsid w:val="00397EDB"/>
    <w:pPr>
      <w:spacing w:before="240" w:after="60"/>
    </w:pPr>
    <w:rPr>
      <w:rFonts w:ascii="Times New Roman" w:hAnsi="Times New Roman"/>
      <w:b/>
      <w:sz w:val="28"/>
    </w:rPr>
  </w:style>
  <w:style w:type="character" w:customStyle="1" w:styleId="Underline">
    <w:name w:val="Underline"/>
    <w:basedOn w:val="DefaultParagraphFont"/>
    <w:qFormat/>
    <w:rsid w:val="00397EDB"/>
    <w:rPr>
      <w:u w:val="single"/>
    </w:rPr>
  </w:style>
  <w:style w:type="character" w:customStyle="1" w:styleId="BoldandItalics">
    <w:name w:val="Bold and Italics"/>
    <w:qFormat/>
    <w:rsid w:val="00397EDB"/>
    <w:rPr>
      <w:b/>
      <w:i/>
      <w:u w:val="none"/>
    </w:rPr>
  </w:style>
  <w:style w:type="paragraph" w:styleId="BalloonText">
    <w:name w:val="Balloon Text"/>
    <w:basedOn w:val="Normal"/>
    <w:link w:val="BalloonTextChar"/>
    <w:rsid w:val="00397EDB"/>
    <w:rPr>
      <w:rFonts w:ascii="Tahoma" w:hAnsi="Tahoma" w:cs="Tahoma"/>
      <w:sz w:val="16"/>
      <w:szCs w:val="16"/>
    </w:rPr>
  </w:style>
  <w:style w:type="character" w:customStyle="1" w:styleId="BalloonTextChar">
    <w:name w:val="Balloon Text Char"/>
    <w:basedOn w:val="DefaultParagraphFont"/>
    <w:link w:val="BalloonText"/>
    <w:rsid w:val="00397E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7E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7E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1455</Words>
  <Characters>8940</Characters>
  <Application>Microsoft Office Word</Application>
  <DocSecurity>0</DocSecurity>
  <Lines>340</Lines>
  <Paragraphs>183</Paragraphs>
  <ScaleCrop>false</ScaleCrop>
  <Company>Author-it Software Corporation Ltd.</Company>
  <LinksUpToDate>false</LinksUpToDate>
  <CharactersWithSpaces>10327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HLTDT301C Construct models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2012-05-27T00:19:00Z</dcterms:created>
  <dcterms:modified xsi:type="dcterms:W3CDTF">2012-05-27T00:19:00Z</dcterms:modified>
</cp:coreProperties>
</file>