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68A" w:rsidP="003B568A">
      <w:pPr>
        <w:pStyle w:val="Title"/>
      </w:pPr>
      <w:r>
        <w:fldChar w:fldCharType="begin"/>
      </w:r>
      <w:r>
        <w:instrText xml:space="preserve"> TITLE   \* MERGEFORMAT </w:instrText>
      </w:r>
      <w:r>
        <w:fldChar w:fldCharType="separate"/>
      </w:r>
      <w:r>
        <w:t>HLTDEFHC404B Conduct a clinical measurement</w:t>
      </w:r>
      <w:r>
        <w:fldChar w:fldCharType="end"/>
      </w:r>
    </w:p>
    <w:p w:rsidR="003B568A" w:rsidP="003B568A">
      <w:pPr>
        <w:pStyle w:val="Version"/>
        <w:sectPr w:rsidSect="00675E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5ED4" w:rsidP="00675ED4">
      <w:pPr>
        <w:pStyle w:val="SuperHeading"/>
      </w:pPr>
      <w:r w:rsidRPr="00675ED4">
        <w:t>HLTDEFHC404B Conduct a clinical measurement</w:t>
      </w:r>
    </w:p>
    <w:p w:rsidR="00000000" w:rsidRPr="00675ED4" w:rsidP="00675ED4">
      <w:pPr>
        <w:pStyle w:val="Heading1"/>
      </w:pPr>
      <w:bookmarkStart w:id="1" w:name="O_271113"/>
      <w:bookmarkEnd w:id="1"/>
      <w:r w:rsidRPr="00675ED4">
        <w:t>Modification History</w:t>
      </w:r>
    </w:p>
    <w:p w:rsidR="00000000" w:rsidRPr="00675ED4" w:rsidP="00675ED4">
      <w:pPr>
        <w:pStyle w:val="BodyText"/>
      </w:pPr>
      <w:r w:rsidRPr="00675ED4">
        <w:t>Not Applicable</w:t>
      </w:r>
    </w:p>
    <w:p w:rsidR="00000000" w:rsidRPr="00675ED4" w:rsidP="00675ED4">
      <w:pPr>
        <w:pStyle w:val="AllowPageBreak"/>
      </w:pPr>
    </w:p>
    <w:p w:rsidR="00000000" w:rsidRPr="00675ED4" w:rsidP="00675ED4">
      <w:pPr>
        <w:pStyle w:val="Heading1"/>
      </w:pPr>
      <w:bookmarkStart w:id="2" w:name="O_205647"/>
      <w:bookmarkEnd w:id="2"/>
      <w:r w:rsidRPr="00675ED4">
        <w:t>Unit Descriptor</w:t>
      </w:r>
    </w:p>
    <w:tbl>
      <w:tblPr>
        <w:tblW w:w="0" w:type="auto"/>
        <w:tblLayout w:type="fixed"/>
        <w:tblCellMar>
          <w:left w:w="62" w:type="dxa"/>
          <w:right w:w="62" w:type="dxa"/>
        </w:tblCellMar>
        <w:tblLook w:val="0000"/>
      </w:tblPr>
      <w:tblGrid>
        <w:gridCol w:w="3338"/>
        <w:gridCol w:w="5218"/>
      </w:tblGrid>
      <w:tr w:rsidTr="003B568A">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This unit covers the competency required to conduct a clinical measurement for a client as part of a treatment p</w:t>
            </w:r>
            <w:r w:rsidRPr="00675ED4">
              <w:t>lan or as part of a health promotion program</w:t>
            </w:r>
          </w:p>
        </w:tc>
      </w:tr>
    </w:tbl>
    <w:p w:rsidR="003B568A" w:rsidP="00675ED4">
      <w:pPr>
        <w:pStyle w:val="BodyText"/>
      </w:pPr>
    </w:p>
    <w:p w:rsidR="003B568A" w:rsidP="00675ED4">
      <w:pPr>
        <w:pStyle w:val="BodyText"/>
      </w:pPr>
    </w:p>
    <w:p w:rsidR="00000000" w:rsidRPr="00675ED4" w:rsidP="00675ED4">
      <w:pPr>
        <w:pStyle w:val="Heading1"/>
      </w:pPr>
      <w:bookmarkStart w:id="3" w:name="O_205649"/>
      <w:bookmarkEnd w:id="3"/>
      <w:r w:rsidRPr="00675ED4">
        <w:t>Application of the Unit</w:t>
      </w:r>
    </w:p>
    <w:tbl>
      <w:tblPr>
        <w:tblW w:w="0" w:type="auto"/>
        <w:tblLayout w:type="fixed"/>
        <w:tblCellMar>
          <w:left w:w="62" w:type="dxa"/>
          <w:right w:w="62" w:type="dxa"/>
        </w:tblCellMar>
        <w:tblLook w:val="0000"/>
      </w:tblPr>
      <w:tblGrid>
        <w:gridCol w:w="3349"/>
        <w:gridCol w:w="5207"/>
      </w:tblGrid>
      <w:tr w:rsidTr="003B568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This unit of competency is applicable to Australian Defence Force (ADF) Health Care Providers</w:t>
            </w:r>
          </w:p>
        </w:tc>
      </w:tr>
    </w:tbl>
    <w:p w:rsidR="003B568A" w:rsidP="00675ED4">
      <w:pPr>
        <w:pStyle w:val="BodyText"/>
      </w:pPr>
    </w:p>
    <w:p w:rsidR="003B568A" w:rsidP="00675ED4">
      <w:pPr>
        <w:pStyle w:val="BodyText"/>
      </w:pPr>
    </w:p>
    <w:p w:rsidR="00000000" w:rsidRPr="00675ED4" w:rsidP="00675ED4">
      <w:pPr>
        <w:pStyle w:val="Heading1"/>
      </w:pPr>
      <w:bookmarkStart w:id="4" w:name="O_279373"/>
      <w:bookmarkEnd w:id="4"/>
      <w:r w:rsidRPr="00675ED4">
        <w:t>Licensing/Regulatory Information</w:t>
      </w:r>
    </w:p>
    <w:p w:rsidR="00000000" w:rsidRPr="00675ED4" w:rsidP="00675ED4">
      <w:pPr>
        <w:pStyle w:val="BodyText"/>
      </w:pPr>
      <w:r w:rsidRPr="00675ED4">
        <w:t>Not Applicable</w:t>
      </w:r>
    </w:p>
    <w:p w:rsidR="00000000" w:rsidRPr="00675ED4" w:rsidP="00675ED4">
      <w:pPr>
        <w:pStyle w:val="AllowPageBreak"/>
      </w:pPr>
    </w:p>
    <w:p w:rsidR="00000000" w:rsidRPr="00675ED4" w:rsidP="00675ED4">
      <w:pPr>
        <w:pStyle w:val="Heading1"/>
      </w:pPr>
      <w:bookmarkStart w:id="5" w:name="O_284111"/>
      <w:bookmarkEnd w:id="5"/>
      <w:r w:rsidRPr="00675ED4">
        <w:t>Pre-Requisites</w:t>
      </w:r>
    </w:p>
    <w:p w:rsidR="00000000" w:rsidRPr="00675ED4" w:rsidP="00675ED4">
      <w:pPr>
        <w:pStyle w:val="BodyText"/>
      </w:pPr>
      <w:r w:rsidRPr="00675ED4">
        <w:t>Not Applicable</w:t>
      </w:r>
    </w:p>
    <w:p w:rsidR="00000000" w:rsidRPr="00675ED4" w:rsidP="00675ED4">
      <w:pPr>
        <w:pStyle w:val="AllowPageBreak"/>
      </w:pPr>
    </w:p>
    <w:p w:rsidR="00000000" w:rsidRPr="00675ED4" w:rsidP="00675ED4">
      <w:pPr>
        <w:pStyle w:val="Heading1"/>
      </w:pPr>
      <w:bookmarkStart w:id="6" w:name="O_205648"/>
      <w:bookmarkEnd w:id="6"/>
      <w:r w:rsidRPr="00675ED4">
        <w:t>Employability Skills Information</w:t>
      </w:r>
    </w:p>
    <w:tbl>
      <w:tblPr>
        <w:tblW w:w="0" w:type="auto"/>
        <w:tblLayout w:type="fixed"/>
        <w:tblCellMar>
          <w:left w:w="62" w:type="dxa"/>
          <w:right w:w="62" w:type="dxa"/>
        </w:tblCellMar>
        <w:tblLook w:val="0000"/>
      </w:tblPr>
      <w:tblGrid>
        <w:gridCol w:w="3320"/>
        <w:gridCol w:w="5236"/>
      </w:tblGrid>
      <w:tr w:rsidTr="003B568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This unit contains Employability Skills</w:t>
            </w:r>
          </w:p>
        </w:tc>
      </w:tr>
    </w:tbl>
    <w:p w:rsidR="003B568A" w:rsidP="00675ED4">
      <w:pPr>
        <w:pStyle w:val="BodyText"/>
      </w:pPr>
    </w:p>
    <w:p w:rsidR="003B568A" w:rsidP="00675ED4">
      <w:pPr>
        <w:pStyle w:val="BodyText"/>
      </w:pPr>
    </w:p>
    <w:p w:rsidR="00000000" w:rsidRPr="00675ED4" w:rsidP="00675ED4">
      <w:pPr>
        <w:pStyle w:val="Heading1"/>
      </w:pPr>
      <w:bookmarkStart w:id="7" w:name="O_289159"/>
      <w:bookmarkEnd w:id="7"/>
      <w:r w:rsidRPr="00675ED4">
        <w:t>Elements and Performance Criteria Pre-Content</w:t>
      </w:r>
    </w:p>
    <w:tbl>
      <w:tblPr>
        <w:tblW w:w="0" w:type="auto"/>
        <w:tblLayout w:type="fixed"/>
        <w:tblCellMar>
          <w:left w:w="62" w:type="dxa"/>
          <w:right w:w="62" w:type="dxa"/>
        </w:tblCellMar>
        <w:tblLook w:val="0000"/>
      </w:tblPr>
      <w:tblGrid>
        <w:gridCol w:w="3369"/>
        <w:gridCol w:w="5702"/>
      </w:tblGrid>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 xml:space="preserve">The Performance Criteria specify the level of performance required to demonstrate achievement of the Element. Terms in italics are elaborated in the Range Statement. </w:t>
            </w:r>
          </w:p>
        </w:tc>
      </w:tr>
    </w:tbl>
    <w:p w:rsidR="00000000" w:rsidRPr="00675ED4" w:rsidP="00675ED4">
      <w:pPr>
        <w:pStyle w:val="BodyText"/>
      </w:pPr>
    </w:p>
    <w:p w:rsidR="00000000" w:rsidRPr="00675ED4" w:rsidP="00675ED4">
      <w:pPr>
        <w:pStyle w:val="AllowPageBreak"/>
      </w:pPr>
    </w:p>
    <w:p w:rsidR="00000000" w:rsidRPr="00675ED4" w:rsidP="00675ED4">
      <w:pPr>
        <w:pStyle w:val="Heading1"/>
      </w:pPr>
      <w:bookmarkStart w:id="8" w:name="O_235826"/>
      <w:bookmarkEnd w:id="8"/>
      <w:r w:rsidRPr="00675ED4">
        <w:t>Elements and Performance Criteria</w:t>
      </w:r>
    </w:p>
    <w:tbl>
      <w:tblPr>
        <w:tblW w:w="0" w:type="auto"/>
        <w:tblLayout w:type="fixed"/>
        <w:tblCellMar>
          <w:left w:w="62" w:type="dxa"/>
          <w:right w:w="62" w:type="dxa"/>
        </w:tblCellMar>
        <w:tblLook w:val="0000"/>
      </w:tblPr>
      <w:tblGrid>
        <w:gridCol w:w="3369"/>
        <w:gridCol w:w="5702"/>
      </w:tblGrid>
      <w:tr w:rsidTr="003B568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SpecialBold"/>
              </w:rPr>
              <w:t>PERFORMANCE CRITERIA</w:t>
            </w: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5ED4">
            <w:pPr>
              <w:pStyle w:val="List"/>
              <w:rPr>
                <w:lang w:val="en-NZ"/>
              </w:rPr>
            </w:pPr>
            <w:r w:rsidRPr="00675ED4">
              <w:t>1.</w:t>
            </w:r>
            <w:r w:rsidRPr="00675ED4">
              <w:tab/>
              <w:t xml:space="preserve">Prepare for </w:t>
            </w:r>
            <w:r w:rsidRPr="00675ED4">
              <w:rPr>
                <w:rStyle w:val="Emphasis"/>
              </w:rPr>
              <w:t>clinical measurement</w:t>
            </w:r>
          </w:p>
        </w:tc>
        <w:tc>
          <w:tcPr>
            <w:tcW w:w="5702"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1.1</w:t>
            </w:r>
            <w:r w:rsidRPr="00675ED4">
              <w:tab/>
              <w:t xml:space="preserve">Assess </w:t>
            </w:r>
            <w:r w:rsidRPr="00675ED4">
              <w:rPr>
                <w:rStyle w:val="Emphasis"/>
              </w:rPr>
              <w:t>environment</w:t>
            </w:r>
            <w:r w:rsidRPr="00675ED4">
              <w:t xml:space="preserve"> for suitability to conduct a clinical measurement</w:t>
            </w:r>
          </w:p>
          <w:p w:rsidR="00000000" w:rsidRPr="00675ED4" w:rsidP="00675ED4">
            <w:pPr>
              <w:pStyle w:val="BodyText"/>
            </w:pPr>
            <w:r w:rsidRPr="00675ED4">
              <w:t>1.2</w:t>
            </w:r>
            <w:r w:rsidRPr="00675ED4">
              <w:tab/>
              <w:t xml:space="preserve">Select </w:t>
            </w:r>
            <w:r w:rsidRPr="00675ED4">
              <w:rPr>
                <w:rStyle w:val="Emphasis"/>
              </w:rPr>
              <w:t>equipment</w:t>
            </w:r>
            <w:r w:rsidRPr="00675ED4">
              <w:t xml:space="preserve">, </w:t>
            </w:r>
            <w:r w:rsidRPr="00675ED4">
              <w:rPr>
                <w:rStyle w:val="Emphasis"/>
              </w:rPr>
              <w:t>consumables</w:t>
            </w:r>
            <w:r w:rsidRPr="00675ED4">
              <w:t xml:space="preserve"> and documentation, check for serviceability and a</w:t>
            </w:r>
            <w:r w:rsidRPr="00675ED4">
              <w:t>rrange for use</w:t>
            </w:r>
          </w:p>
          <w:p w:rsidR="00000000" w:rsidRPr="00675ED4" w:rsidP="00675ED4">
            <w:pPr>
              <w:pStyle w:val="BodyText"/>
            </w:pPr>
            <w:r w:rsidRPr="00675ED4">
              <w:t>1.3</w:t>
            </w:r>
            <w:r w:rsidRPr="00675ED4">
              <w:tab/>
              <w:t xml:space="preserve">Explain </w:t>
            </w:r>
            <w:r w:rsidRPr="00675ED4">
              <w:rPr>
                <w:rStyle w:val="Emphasis"/>
              </w:rPr>
              <w:t>clinical measurement</w:t>
            </w:r>
            <w:r w:rsidRPr="00675ED4">
              <w:t xml:space="preserve"> clearly and simply to the client to clarify its purpose and structure</w:t>
            </w:r>
          </w:p>
          <w:p w:rsidR="00000000" w:rsidRPr="00675ED4" w:rsidP="00675ED4">
            <w:pPr>
              <w:pStyle w:val="BodyText"/>
            </w:pPr>
            <w:r w:rsidRPr="00675ED4">
              <w:t>1.4</w:t>
            </w:r>
            <w:r w:rsidRPr="00675ED4">
              <w:tab/>
              <w:t>Give client the opportunity to ask questions and discuss concerns</w:t>
            </w:r>
          </w:p>
          <w:p w:rsidR="00000000" w:rsidRPr="00675ED4" w:rsidP="00675ED4">
            <w:pPr>
              <w:pStyle w:val="BodyText"/>
            </w:pPr>
            <w:r w:rsidRPr="00675ED4">
              <w:t>1.5</w:t>
            </w:r>
            <w:r w:rsidRPr="00675ED4">
              <w:tab/>
              <w:t xml:space="preserve">Gain informed consent from client in accordance with </w:t>
            </w:r>
            <w:r w:rsidRPr="00675ED4">
              <w:rPr>
                <w:rStyle w:val="Emphasis"/>
              </w:rPr>
              <w:t>clinical gu</w:t>
            </w:r>
            <w:r w:rsidRPr="00675ED4">
              <w:rPr>
                <w:rStyle w:val="Emphasis"/>
              </w:rPr>
              <w:t>idelines</w:t>
            </w:r>
            <w:r w:rsidRPr="00675ED4">
              <w:t xml:space="preserve">, </w:t>
            </w:r>
            <w:r w:rsidRPr="00675ED4">
              <w:rPr>
                <w:rStyle w:val="Emphasis"/>
              </w:rPr>
              <w:t>organisation policies and procedures</w:t>
            </w:r>
          </w:p>
          <w:p w:rsidR="00000000" w:rsidRPr="00675ED4" w:rsidP="00675ED4">
            <w:pPr>
              <w:pStyle w:val="BodyText"/>
            </w:pPr>
            <w:r w:rsidRPr="00675ED4">
              <w:t>1.6</w:t>
            </w:r>
            <w:r w:rsidRPr="00675ED4">
              <w:tab/>
              <w:t xml:space="preserve">Assure and maintain </w:t>
            </w:r>
            <w:r w:rsidRPr="00675ED4">
              <w:rPr>
                <w:rStyle w:val="Emphasis"/>
              </w:rPr>
              <w:t>confidentiality of client information</w:t>
            </w:r>
          </w:p>
          <w:p w:rsidR="00000000" w:rsidP="00675ED4">
            <w:pPr>
              <w:pStyle w:val="BodyText"/>
              <w:rPr>
                <w:lang w:val="en-NZ"/>
              </w:rPr>
            </w:pPr>
            <w:r w:rsidRPr="00675ED4">
              <w:t>1.7</w:t>
            </w:r>
            <w:r w:rsidRPr="00675ED4">
              <w:tab/>
              <w:t>Use personal protective equipment if required</w:t>
            </w: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5ED4">
            <w:pPr>
              <w:pStyle w:val="List"/>
              <w:rPr>
                <w:lang w:val="en-NZ"/>
              </w:rPr>
            </w:pPr>
            <w:r w:rsidRPr="00675ED4">
              <w:t>2.</w:t>
            </w:r>
            <w:r w:rsidRPr="00675ED4">
              <w:tab/>
              <w:t xml:space="preserve">Obtain </w:t>
            </w:r>
            <w:r w:rsidRPr="00675ED4">
              <w:rPr>
                <w:rStyle w:val="Emphasis"/>
              </w:rPr>
              <w:t>clinical measurements</w:t>
            </w:r>
          </w:p>
        </w:tc>
        <w:tc>
          <w:tcPr>
            <w:tcW w:w="5702"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2.1</w:t>
            </w:r>
            <w:r w:rsidRPr="00675ED4">
              <w:tab/>
              <w:t xml:space="preserve">Follow </w:t>
            </w:r>
            <w:r w:rsidRPr="00675ED4">
              <w:rPr>
                <w:rStyle w:val="Emphasis"/>
              </w:rPr>
              <w:t>personal hygiene and infection control procedures</w:t>
            </w:r>
          </w:p>
          <w:p w:rsidR="00000000" w:rsidRPr="00675ED4" w:rsidP="00675ED4">
            <w:pPr>
              <w:pStyle w:val="BodyText"/>
            </w:pPr>
            <w:r w:rsidRPr="00675ED4">
              <w:t>2.2</w:t>
            </w:r>
            <w:r w:rsidRPr="00675ED4">
              <w:tab/>
              <w:t xml:space="preserve">Conduct </w:t>
            </w:r>
            <w:r w:rsidRPr="00675ED4">
              <w:rPr>
                <w:rStyle w:val="Emphasis"/>
              </w:rPr>
              <w:t>clinical measurements</w:t>
            </w:r>
            <w:r w:rsidRPr="00675ED4">
              <w:t xml:space="preserve"> to produce valid, reliable and accurate results, in accordance with </w:t>
            </w:r>
            <w:r w:rsidRPr="00675ED4">
              <w:rPr>
                <w:rStyle w:val="Emphasis"/>
              </w:rPr>
              <w:t>clinical guidelines</w:t>
            </w:r>
            <w:r w:rsidRPr="00675ED4">
              <w:t xml:space="preserve">, </w:t>
            </w:r>
            <w:r w:rsidRPr="00675ED4">
              <w:rPr>
                <w:rStyle w:val="Emphasis"/>
              </w:rPr>
              <w:t>organisation policies and procedures</w:t>
            </w:r>
          </w:p>
          <w:p w:rsidR="00000000" w:rsidRPr="00675ED4" w:rsidP="00675ED4">
            <w:pPr>
              <w:pStyle w:val="BodyText"/>
            </w:pPr>
            <w:r w:rsidRPr="00675ED4">
              <w:t>2.3</w:t>
            </w:r>
            <w:r w:rsidRPr="00675ED4">
              <w:tab/>
              <w:t>If measurement results are unreliable, conduct a re-measurement</w:t>
            </w:r>
          </w:p>
          <w:p w:rsidR="00000000" w:rsidP="00675ED4">
            <w:pPr>
              <w:pStyle w:val="BodyText"/>
              <w:rPr>
                <w:lang w:val="en-NZ"/>
              </w:rPr>
            </w:pPr>
            <w:r w:rsidRPr="00675ED4">
              <w:t>2.4</w:t>
            </w:r>
            <w:r w:rsidRPr="00675ED4">
              <w:tab/>
              <w:t>Record results in accord</w:t>
            </w:r>
            <w:r w:rsidRPr="00675ED4">
              <w:t xml:space="preserve">ance with </w:t>
            </w:r>
            <w:r w:rsidRPr="00675ED4">
              <w:rPr>
                <w:rStyle w:val="Emphasis"/>
              </w:rPr>
              <w:t>clinical guidelines</w:t>
            </w:r>
            <w:r w:rsidRPr="00675ED4">
              <w:t xml:space="preserve">, </w:t>
            </w:r>
            <w:r w:rsidRPr="00675ED4">
              <w:rPr>
                <w:rStyle w:val="Emphasis"/>
              </w:rPr>
              <w:t>organisation policies and procedures</w:t>
            </w: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5ED4">
            <w:pPr>
              <w:pStyle w:val="List"/>
              <w:rPr>
                <w:lang w:val="en-NZ"/>
              </w:rPr>
            </w:pPr>
            <w:r w:rsidRPr="00675ED4">
              <w:t>3.</w:t>
            </w:r>
            <w:r w:rsidRPr="00675ED4">
              <w:tab/>
              <w:t>Review and report measurement results</w:t>
            </w:r>
          </w:p>
        </w:tc>
        <w:tc>
          <w:tcPr>
            <w:tcW w:w="5702"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3.1</w:t>
            </w:r>
            <w:r w:rsidRPr="00675ED4">
              <w:tab/>
              <w:t>Provide measurement results to requesting authority</w:t>
            </w:r>
          </w:p>
          <w:p w:rsidR="00000000" w:rsidRPr="00675ED4" w:rsidP="00675ED4">
            <w:pPr>
              <w:pStyle w:val="BodyText"/>
            </w:pPr>
            <w:r w:rsidRPr="00675ED4">
              <w:t>3.2</w:t>
            </w:r>
            <w:r w:rsidRPr="00675ED4">
              <w:tab/>
              <w:t xml:space="preserve">Examine results to determine outcome of </w:t>
            </w:r>
            <w:r w:rsidRPr="00675ED4">
              <w:rPr>
                <w:rStyle w:val="Emphasis"/>
              </w:rPr>
              <w:t>clinical measurement</w:t>
            </w:r>
            <w:r w:rsidRPr="00675ED4">
              <w:t xml:space="preserve"> if appropriate</w:t>
            </w:r>
          </w:p>
          <w:p w:rsidR="00000000" w:rsidP="00675ED4">
            <w:pPr>
              <w:pStyle w:val="BodyText"/>
              <w:rPr>
                <w:lang w:val="en-NZ"/>
              </w:rPr>
            </w:pPr>
            <w:r w:rsidRPr="00675ED4">
              <w:t>3.3</w:t>
            </w:r>
            <w:r w:rsidRPr="00675ED4">
              <w:tab/>
              <w:t>Com</w:t>
            </w:r>
            <w:r w:rsidRPr="00675ED4">
              <w:t>municate outcome of measurements clearly and simply to client if appropriate to do so</w:t>
            </w: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75ED4">
            <w:pPr>
              <w:pStyle w:val="List"/>
              <w:rPr>
                <w:lang w:val="en-NZ"/>
              </w:rPr>
            </w:pPr>
            <w:r w:rsidRPr="00675ED4">
              <w:t>4.</w:t>
            </w:r>
            <w:r w:rsidRPr="00675ED4">
              <w:tab/>
              <w:t xml:space="preserve">Clean and store </w:t>
            </w:r>
            <w:r w:rsidRPr="00675ED4">
              <w:rPr>
                <w:rStyle w:val="Emphasis"/>
              </w:rPr>
              <w:t>equipment</w:t>
            </w:r>
          </w:p>
        </w:tc>
        <w:tc>
          <w:tcPr>
            <w:tcW w:w="5702"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t>4.1</w:t>
            </w:r>
            <w:r w:rsidRPr="00675ED4">
              <w:tab/>
              <w:t xml:space="preserve">Clean and/or dispose of </w:t>
            </w:r>
            <w:r w:rsidRPr="00675ED4">
              <w:rPr>
                <w:rStyle w:val="Emphasis"/>
              </w:rPr>
              <w:t>equipment</w:t>
            </w:r>
            <w:r w:rsidRPr="00675ED4">
              <w:t xml:space="preserve"> and attachments in accordance with manufacturers' requirements and infection control procedures</w:t>
            </w:r>
          </w:p>
          <w:p w:rsidR="00000000" w:rsidP="00675ED4">
            <w:pPr>
              <w:pStyle w:val="BodyText"/>
              <w:rPr>
                <w:lang w:val="en-NZ"/>
              </w:rPr>
            </w:pPr>
            <w:r w:rsidRPr="00675ED4">
              <w:t>4.2</w:t>
            </w:r>
            <w:r w:rsidRPr="00675ED4">
              <w:tab/>
              <w:t xml:space="preserve">Store </w:t>
            </w:r>
            <w:r w:rsidRPr="00675ED4">
              <w:rPr>
                <w:rStyle w:val="Emphasis"/>
              </w:rPr>
              <w:t>equipment</w:t>
            </w:r>
            <w:r w:rsidRPr="00675ED4">
              <w:t xml:space="preserve"> and attachments in accordance with </w:t>
            </w:r>
            <w:r w:rsidRPr="00675ED4">
              <w:rPr>
                <w:rStyle w:val="Emphasis"/>
              </w:rPr>
              <w:t>clinical guidelines</w:t>
            </w:r>
            <w:r w:rsidRPr="00675ED4">
              <w:t xml:space="preserve">, </w:t>
            </w:r>
            <w:r w:rsidRPr="00675ED4">
              <w:rPr>
                <w:rStyle w:val="Emphasis"/>
              </w:rPr>
              <w:t>organisation policies and procedures</w:t>
            </w:r>
          </w:p>
        </w:tc>
      </w:tr>
      <w:tr w:rsidTr="003B568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75ED4" w:rsidP="00675ED4">
            <w:pPr>
              <w:pStyle w:val="BodyText"/>
            </w:pPr>
          </w:p>
        </w:tc>
      </w:tr>
    </w:tbl>
    <w:p w:rsidR="003B568A" w:rsidP="00675ED4">
      <w:pPr>
        <w:pStyle w:val="BodyText"/>
      </w:pPr>
    </w:p>
    <w:p w:rsidR="003B568A" w:rsidP="00675ED4">
      <w:pPr>
        <w:pStyle w:val="BodyText"/>
      </w:pPr>
    </w:p>
    <w:p w:rsidR="00000000" w:rsidRPr="00675ED4" w:rsidP="00675ED4">
      <w:pPr>
        <w:pStyle w:val="Heading1"/>
      </w:pPr>
      <w:bookmarkStart w:id="9" w:name="O_259776"/>
      <w:bookmarkEnd w:id="9"/>
      <w:r w:rsidRPr="00675ED4">
        <w:t>Required Skills and Knowledge</w:t>
      </w:r>
    </w:p>
    <w:tbl>
      <w:tblPr>
        <w:tblW w:w="0" w:type="auto"/>
        <w:tblLayout w:type="fixed"/>
        <w:tblCellMar>
          <w:left w:w="62" w:type="dxa"/>
          <w:right w:w="62" w:type="dxa"/>
        </w:tblCellMar>
        <w:tblLook w:val="0000"/>
      </w:tblPr>
      <w:tblGrid>
        <w:gridCol w:w="9072"/>
      </w:tblGrid>
      <w:tr w:rsidTr="003B568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SpecialBold"/>
              </w:rPr>
              <w:t>REQUIRED SKILLS AND KNOWLEDGE</w:t>
            </w:r>
          </w:p>
        </w:tc>
      </w:tr>
      <w:tr w:rsidTr="003B56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t>This describes the essential skills and knowledge and their level required for this unit.</w:t>
            </w:r>
          </w:p>
        </w:tc>
      </w:tr>
      <w:tr w:rsidTr="003B56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rPr>
                <w:rStyle w:val="Emphasis"/>
              </w:rPr>
              <w:t>Essential knowledge</w:t>
            </w:r>
            <w:r w:rsidRPr="00675ED4">
              <w:t>:</w:t>
            </w:r>
          </w:p>
          <w:p w:rsidR="00000000" w:rsidRPr="00675ED4" w:rsidP="00675ED4">
            <w:pPr>
              <w:pStyle w:val="BodyText"/>
            </w:pPr>
            <w:r w:rsidRPr="00675ED4">
              <w:t>The candidate must be able to demonstrate essential knowledge required to effectively do the task outlined in elements and performance criteri</w:t>
            </w:r>
            <w:r w:rsidRPr="00675ED4">
              <w:t>a of this unit, manage the task and manage contingencies in the context of the identified work role</w:t>
            </w:r>
          </w:p>
          <w:p w:rsidR="00000000" w:rsidRPr="00675ED4" w:rsidP="00675ED4">
            <w:pPr>
              <w:pStyle w:val="BodyText"/>
            </w:pPr>
            <w:r w:rsidRPr="00675ED4">
              <w:t>This includes knowledge of:</w:t>
            </w:r>
          </w:p>
          <w:p w:rsidR="00000000" w:rsidRPr="00675ED4" w:rsidP="00675ED4">
            <w:pPr>
              <w:pStyle w:val="ListBullet"/>
            </w:pPr>
            <w:r w:rsidRPr="00675ED4">
              <w:t>Anatomy and physiology to enable measurement performance to be accurate and of minimum risk to clients</w:t>
            </w:r>
          </w:p>
          <w:p w:rsidR="00000000" w:rsidRPr="00675ED4" w:rsidP="00675ED4">
            <w:pPr>
              <w:pStyle w:val="ListBullet"/>
            </w:pPr>
            <w:r w:rsidRPr="00675ED4">
              <w:t>Factors affecting clinical measurement</w:t>
            </w:r>
          </w:p>
          <w:p w:rsidR="00000000" w:rsidRPr="00675ED4" w:rsidP="00675ED4">
            <w:pPr>
              <w:pStyle w:val="ListBullet"/>
            </w:pPr>
            <w:r w:rsidRPr="00675ED4">
              <w:t>Organisation policies and procedures</w:t>
            </w:r>
          </w:p>
          <w:p w:rsidR="00000000" w:rsidRPr="00675ED4" w:rsidP="00675ED4">
            <w:pPr>
              <w:pStyle w:val="ListBullet"/>
            </w:pPr>
            <w:r w:rsidRPr="00675ED4">
              <w:t>Pathophysiology to enable measurement performance to be accurate</w:t>
            </w:r>
          </w:p>
          <w:p w:rsidR="00000000" w:rsidRPr="00675ED4" w:rsidP="00675ED4">
            <w:pPr>
              <w:pStyle w:val="ListBullet"/>
            </w:pPr>
            <w:r w:rsidRPr="00675ED4">
              <w:t>Procedure manuals</w:t>
            </w:r>
          </w:p>
          <w:p w:rsidR="00000000" w:rsidRPr="00675ED4" w:rsidP="00675ED4">
            <w:pPr>
              <w:pStyle w:val="ListBullet"/>
            </w:pPr>
            <w:r w:rsidRPr="00675ED4">
              <w:t>Relevant abbreviations and symbols</w:t>
            </w:r>
          </w:p>
          <w:p w:rsidR="00000000" w:rsidRPr="00675ED4" w:rsidP="00675ED4">
            <w:pPr>
              <w:pStyle w:val="ListBullet"/>
            </w:pPr>
            <w:r w:rsidRPr="00675ED4">
              <w:t>Requirements for accurately conducting clinical measurements</w:t>
            </w:r>
          </w:p>
          <w:p w:rsidR="00000000" w:rsidP="00675ED4">
            <w:pPr>
              <w:pStyle w:val="ListBullet"/>
              <w:rPr>
                <w:lang w:val="en-NZ"/>
              </w:rPr>
            </w:pPr>
            <w:r w:rsidRPr="00675ED4">
              <w:t>W</w:t>
            </w:r>
            <w:r w:rsidRPr="00675ED4">
              <w:t>hat constitutes impaired clinical measurement</w:t>
            </w:r>
          </w:p>
        </w:tc>
      </w:tr>
      <w:tr w:rsidTr="003B56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75ED4" w:rsidP="00675ED4">
            <w:pPr>
              <w:pStyle w:val="BodyText"/>
            </w:pPr>
            <w:r w:rsidRPr="00675ED4">
              <w:rPr>
                <w:rStyle w:val="Emphasis"/>
              </w:rPr>
              <w:t>Essential skills</w:t>
            </w:r>
            <w:r w:rsidRPr="00675ED4">
              <w:t>:</w:t>
            </w:r>
          </w:p>
          <w:p w:rsidR="00000000" w:rsidRPr="00675ED4" w:rsidP="00675ED4">
            <w:pPr>
              <w:pStyle w:val="BodyText"/>
            </w:pPr>
            <w:r w:rsidRPr="00675ED4">
              <w:t>It is critical that the candidate demonstrate the ability to:</w:t>
            </w:r>
          </w:p>
          <w:p w:rsidR="00000000" w:rsidRPr="00675ED4" w:rsidP="00675ED4">
            <w:pPr>
              <w:pStyle w:val="ListBullet"/>
            </w:pPr>
            <w:r w:rsidRPr="00675ED4">
              <w:t>Communicate effectively with the client regarding the procedures and the outcomes of the measurements</w:t>
            </w:r>
          </w:p>
          <w:p w:rsidR="00000000" w:rsidRPr="00675ED4" w:rsidP="00675ED4">
            <w:pPr>
              <w:pStyle w:val="ListBullet"/>
            </w:pPr>
            <w:r w:rsidRPr="00675ED4">
              <w:t>Perform the following me</w:t>
            </w:r>
            <w:r w:rsidRPr="00675ED4">
              <w:t>asurements:</w:t>
            </w:r>
          </w:p>
          <w:p w:rsidR="00000000" w:rsidRPr="00675ED4" w:rsidP="00675ED4">
            <w:pPr>
              <w:pStyle w:val="ListBullet2"/>
            </w:pPr>
            <w:r w:rsidRPr="00675ED4">
              <w:t>blood glucose measurement</w:t>
            </w:r>
          </w:p>
          <w:p w:rsidR="00000000" w:rsidRPr="00675ED4" w:rsidP="00675ED4">
            <w:pPr>
              <w:pStyle w:val="ListBullet2"/>
            </w:pPr>
            <w:r w:rsidRPr="00675ED4">
              <w:t>chemical reagent strip urinalysis</w:t>
            </w:r>
          </w:p>
          <w:p w:rsidR="00000000" w:rsidRPr="00675ED4" w:rsidP="00675ED4">
            <w:pPr>
              <w:pStyle w:val="ListBullet2"/>
            </w:pPr>
            <w:r w:rsidRPr="00675ED4">
              <w:t>distance visual acuity measurement</w:t>
            </w:r>
          </w:p>
          <w:p w:rsidR="00000000" w:rsidRPr="00675ED4" w:rsidP="00675ED4">
            <w:pPr>
              <w:pStyle w:val="ListBullet2"/>
            </w:pPr>
            <w:r w:rsidRPr="00675ED4">
              <w:t>electrocardiograph (ECG)</w:t>
            </w:r>
          </w:p>
          <w:p w:rsidR="00000000" w:rsidRPr="00675ED4" w:rsidP="00675ED4">
            <w:pPr>
              <w:pStyle w:val="ListBullet2"/>
            </w:pPr>
            <w:r w:rsidRPr="00675ED4">
              <w:t>manual blood pressure measurement</w:t>
            </w:r>
          </w:p>
          <w:p w:rsidR="00000000" w:rsidRPr="00675ED4" w:rsidP="00675ED4">
            <w:pPr>
              <w:pStyle w:val="ListBullet2"/>
            </w:pPr>
            <w:r w:rsidRPr="00675ED4">
              <w:t>pure tone hearing measurement (audiometry)</w:t>
            </w:r>
          </w:p>
          <w:p w:rsidR="00000000" w:rsidRPr="00675ED4" w:rsidP="00675ED4">
            <w:pPr>
              <w:pStyle w:val="ListBullet2"/>
            </w:pPr>
            <w:r w:rsidRPr="00675ED4">
              <w:t>spirometry measurement</w:t>
            </w:r>
          </w:p>
          <w:p w:rsidR="00000000" w:rsidRPr="00675ED4" w:rsidP="00675ED4">
            <w:pPr>
              <w:pStyle w:val="ListBullet"/>
            </w:pPr>
            <w:r w:rsidRPr="00675ED4">
              <w:t>Recognise conditions when measurement results may be unreliable</w:t>
            </w:r>
          </w:p>
          <w:p w:rsidR="00000000" w:rsidRPr="00675ED4" w:rsidP="00675ED4">
            <w:pPr>
              <w:pStyle w:val="BodyText"/>
            </w:pPr>
          </w:p>
          <w:p w:rsidR="00000000" w:rsidRPr="00675ED4" w:rsidP="00675ED4">
            <w:pPr>
              <w:pStyle w:val="BodyText"/>
            </w:pPr>
            <w:r w:rsidRPr="00675ED4">
              <w:t>In addition, the candidate must be able to effectively do the task outlined in elements and performance criteria of this unit, manage the task and manage contingencies in the context of the i</w:t>
            </w:r>
            <w:r w:rsidRPr="00675ED4">
              <w:t>dentified work role</w:t>
            </w:r>
          </w:p>
          <w:p w:rsidR="00000000" w:rsidRPr="00675ED4" w:rsidP="00675ED4">
            <w:pPr>
              <w:pStyle w:val="BodyText"/>
            </w:pPr>
            <w:r w:rsidRPr="00675ED4">
              <w:t>This includes the ability to:</w:t>
            </w:r>
          </w:p>
          <w:p w:rsidR="00000000" w:rsidRPr="00675ED4" w:rsidP="00675ED4">
            <w:pPr>
              <w:pStyle w:val="ListBullet"/>
            </w:pPr>
            <w:r w:rsidRPr="00675ED4">
              <w:t>Accurately perform simple physical examination on a client</w:t>
            </w:r>
          </w:p>
          <w:p w:rsidR="00000000" w:rsidRPr="00675ED4" w:rsidP="00675ED4">
            <w:pPr>
              <w:pStyle w:val="ListBullet"/>
            </w:pPr>
            <w:r w:rsidRPr="00675ED4">
              <w:t>Ask questions</w:t>
            </w:r>
          </w:p>
          <w:p w:rsidR="00000000" w:rsidRPr="00675ED4" w:rsidP="00675ED4">
            <w:pPr>
              <w:pStyle w:val="ListBullet"/>
            </w:pPr>
            <w:r w:rsidRPr="00675ED4">
              <w:t>Clarify workplace instructions when necessary</w:t>
            </w:r>
          </w:p>
          <w:p w:rsidR="00000000" w:rsidRPr="00675ED4" w:rsidP="00675ED4">
            <w:pPr>
              <w:pStyle w:val="ListBullet"/>
            </w:pPr>
            <w:r w:rsidRPr="00675ED4">
              <w:t>Interpret data</w:t>
            </w:r>
          </w:p>
          <w:p w:rsidR="00000000" w:rsidRPr="00675ED4" w:rsidP="00675ED4">
            <w:pPr>
              <w:pStyle w:val="ListBullet"/>
            </w:pPr>
            <w:r w:rsidRPr="00675ED4">
              <w:t>Conduct accurate clinical measurements</w:t>
            </w:r>
          </w:p>
          <w:p w:rsidR="00000000" w:rsidRPr="00675ED4" w:rsidP="00675ED4">
            <w:pPr>
              <w:pStyle w:val="ListBullet"/>
            </w:pPr>
            <w:r w:rsidRPr="00675ED4">
              <w:t>Deal with conflict</w:t>
            </w:r>
          </w:p>
          <w:p w:rsidR="00000000" w:rsidRPr="00675ED4" w:rsidP="00675ED4">
            <w:pPr>
              <w:pStyle w:val="ListBullet"/>
            </w:pPr>
            <w:r w:rsidRPr="00675ED4">
              <w:t>Interpret and communicate results</w:t>
            </w:r>
          </w:p>
          <w:p w:rsidR="00000000" w:rsidRPr="00675ED4" w:rsidP="00675ED4">
            <w:pPr>
              <w:pStyle w:val="ListBullet"/>
            </w:pPr>
            <w:r w:rsidRPr="00675ED4">
              <w:t>Listen to and comprehend workplace instructions</w:t>
            </w:r>
          </w:p>
          <w:p w:rsidR="00000000" w:rsidRPr="00675ED4" w:rsidP="00675ED4">
            <w:pPr>
              <w:pStyle w:val="ListBullet"/>
            </w:pPr>
            <w:r w:rsidRPr="00675ED4">
              <w:t>Operate equipment correctly and in accordance with manufacturers' specifications</w:t>
            </w:r>
          </w:p>
          <w:p w:rsidR="00000000" w:rsidRPr="00675ED4" w:rsidP="00675ED4">
            <w:pPr>
              <w:pStyle w:val="ListBullet"/>
            </w:pPr>
            <w:r w:rsidRPr="00675ED4">
              <w:t>Plan daily work routine</w:t>
            </w:r>
          </w:p>
          <w:p w:rsidR="00000000" w:rsidRPr="00675ED4" w:rsidP="00675ED4">
            <w:pPr>
              <w:pStyle w:val="ListBullet"/>
            </w:pPr>
            <w:r w:rsidRPr="00675ED4">
              <w:t>Provide clear information</w:t>
            </w:r>
          </w:p>
          <w:p w:rsidR="00000000" w:rsidRPr="00675ED4" w:rsidP="00675ED4">
            <w:pPr>
              <w:pStyle w:val="ListBullet"/>
            </w:pPr>
            <w:r w:rsidRPr="00675ED4">
              <w:t>Read and document clinical information</w:t>
            </w:r>
          </w:p>
          <w:p w:rsidR="00000000" w:rsidRPr="00675ED4" w:rsidP="00675ED4">
            <w:pPr>
              <w:pStyle w:val="ListBullet"/>
            </w:pPr>
            <w:r w:rsidRPr="00675ED4">
              <w:t>Reco</w:t>
            </w:r>
            <w:r w:rsidRPr="00675ED4">
              <w:t>rd client results</w:t>
            </w:r>
          </w:p>
          <w:p w:rsidR="00000000" w:rsidRPr="00675ED4" w:rsidP="00675ED4">
            <w:pPr>
              <w:pStyle w:val="ListBullet"/>
            </w:pPr>
            <w:r w:rsidRPr="00675ED4">
              <w:t>Recognise when a client is not giving true result potential</w:t>
            </w:r>
          </w:p>
          <w:p w:rsidR="00000000" w:rsidRPr="00675ED4" w:rsidP="00675ED4">
            <w:pPr>
              <w:pStyle w:val="ListBullet"/>
            </w:pPr>
            <w:r w:rsidRPr="00675ED4">
              <w:t>Solve problems</w:t>
            </w:r>
          </w:p>
          <w:p w:rsidR="00000000" w:rsidRPr="00675ED4" w:rsidP="00675ED4">
            <w:pPr>
              <w:pStyle w:val="ListBullet"/>
            </w:pPr>
            <w:r w:rsidRPr="00675ED4">
              <w:t>Use available resources</w:t>
            </w:r>
          </w:p>
        </w:tc>
      </w:tr>
    </w:tbl>
    <w:p w:rsidR="003B568A" w:rsidP="00675ED4">
      <w:pPr>
        <w:pStyle w:val="BodyText"/>
      </w:pPr>
    </w:p>
    <w:p w:rsidR="003B568A" w:rsidP="00675ED4">
      <w:pPr>
        <w:pStyle w:val="BodyText"/>
      </w:pPr>
    </w:p>
    <w:p w:rsidR="00000000" w:rsidRPr="00675ED4" w:rsidP="00675ED4">
      <w:pPr>
        <w:pStyle w:val="Heading1"/>
      </w:pPr>
      <w:bookmarkStart w:id="10" w:name="O_243810"/>
      <w:bookmarkEnd w:id="10"/>
      <w:r w:rsidRPr="00675ED4">
        <w:t>Evidence Guide</w:t>
      </w:r>
    </w:p>
    <w:tbl>
      <w:tblPr>
        <w:tblW w:w="0" w:type="auto"/>
        <w:tblLayout w:type="fixed"/>
        <w:tblCellMar>
          <w:left w:w="62" w:type="dxa"/>
          <w:right w:w="62" w:type="dxa"/>
        </w:tblCellMar>
        <w:tblLook w:val="0000"/>
      </w:tblPr>
      <w:tblGrid>
        <w:gridCol w:w="3402"/>
        <w:gridCol w:w="5670"/>
      </w:tblGrid>
      <w:tr w:rsidTr="003B56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SpecialBold"/>
              </w:rPr>
              <w:t>EVIDENCE GUIDE</w:t>
            </w:r>
          </w:p>
        </w:tc>
      </w:tr>
      <w:tr w:rsidTr="003B56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t>The evidence guide provides advice on assessment and must be read in conjunction with the Performance Criteria, Required Skills and Knowledge, the Range Statement and the Assessment Guidelines for this Training Package.</w:t>
            </w:r>
          </w:p>
        </w:tc>
      </w:tr>
      <w:tr w:rsidTr="003B56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Critical aspects for assessment and evidence required to demonstrate this competency unit</w:t>
            </w:r>
            <w:r w:rsidRPr="00675ED4">
              <w:t xml:space="preserve">: </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The individual being assessed must provide evidence of specified essential knowledge as well as skills</w:t>
            </w:r>
          </w:p>
          <w:p w:rsidR="00000000" w:rsidRPr="00675ED4" w:rsidP="00675ED4">
            <w:pPr>
              <w:pStyle w:val="ListBullet"/>
            </w:pPr>
            <w:r w:rsidRPr="00675ED4">
              <w:t>Consistency of performance should be demonstrated over the r</w:t>
            </w:r>
            <w:r w:rsidRPr="00675ED4">
              <w:t>equired range of situations relevant to the work</w:t>
            </w:r>
          </w:p>
          <w:p w:rsidR="00000000" w:rsidP="00675ED4">
            <w:pPr>
              <w:pStyle w:val="ListBullet"/>
              <w:rPr>
                <w:lang w:val="en-NZ"/>
              </w:rPr>
            </w:pPr>
            <w:r w:rsidRPr="00675ED4">
              <w:t xml:space="preserve">Where, for reasons of safety, space, or access to </w:t>
            </w:r>
            <w:r w:rsidRPr="00675ED4">
              <w:t>equipment and resources, assessment takes place away from the work context, the assessment environment should represent work conditions as closely as possibl</w:t>
            </w:r>
            <w:r w:rsidRPr="00675ED4">
              <w:t>e</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Resource implications</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Assessment requires access to:</w:t>
            </w:r>
          </w:p>
          <w:p w:rsidR="00000000" w:rsidRPr="00675ED4" w:rsidP="00675ED4">
            <w:pPr>
              <w:pStyle w:val="ListBullet2"/>
            </w:pPr>
            <w:r w:rsidRPr="00675ED4">
              <w:t xml:space="preserve">appropriate measuring equipment </w:t>
            </w:r>
          </w:p>
          <w:p w:rsidR="00000000" w:rsidRPr="00675ED4" w:rsidP="00675ED4">
            <w:pPr>
              <w:pStyle w:val="ListBullet2"/>
            </w:pPr>
            <w:r w:rsidRPr="00675ED4">
              <w:t>clients (or substitutes)</w:t>
            </w:r>
          </w:p>
          <w:p w:rsidR="00000000" w:rsidRPr="00675ED4" w:rsidP="00675ED4">
            <w:pPr>
              <w:pStyle w:val="ListBullet2"/>
            </w:pPr>
            <w:r w:rsidRPr="00675ED4">
              <w:t>relevant organisation policies, guidelines, procedures and protocols</w:t>
            </w:r>
          </w:p>
          <w:p w:rsidR="00000000" w:rsidRPr="00675ED4" w:rsidP="00675ED4">
            <w:pPr>
              <w:pStyle w:val="ListBullet2"/>
            </w:pPr>
            <w:r w:rsidRPr="00675ED4">
              <w:t xml:space="preserve">policies and guidelines from relevant professional body(ies) on the conduct of clinical measurements </w:t>
            </w:r>
          </w:p>
          <w:p w:rsidR="00000000" w:rsidP="00675ED4">
            <w:pPr>
              <w:pStyle w:val="ListBullet2"/>
              <w:rPr>
                <w:lang w:val="en-NZ"/>
              </w:rPr>
            </w:pPr>
            <w:r w:rsidRPr="00675ED4">
              <w:t>manufacturers' specifications for the use and storage of equipment</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Consistency in performance</w:t>
            </w:r>
          </w:p>
        </w:tc>
        <w:tc>
          <w:tcPr>
            <w:tcW w:w="5670" w:type="dxa"/>
            <w:tcBorders>
              <w:top w:val="nil"/>
              <w:left w:val="nil"/>
              <w:bottom w:val="nil"/>
              <w:right w:val="nil"/>
            </w:tcBorders>
            <w:tcMar>
              <w:top w:w="0" w:type="dxa"/>
              <w:left w:w="62" w:type="dxa"/>
              <w:bottom w:w="0" w:type="dxa"/>
              <w:right w:w="62" w:type="dxa"/>
            </w:tcMar>
          </w:tcPr>
          <w:p w:rsidR="00000000" w:rsidP="00675ED4">
            <w:pPr>
              <w:pStyle w:val="ListBullet"/>
              <w:rPr>
                <w:lang w:val="en-NZ"/>
              </w:rPr>
            </w:pPr>
            <w:r w:rsidRPr="00675ED4">
              <w:t>Competency should be demonstrated over time with a range of clinical measurements that could be expected in the workplace</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Context of assessment</w:t>
            </w:r>
          </w:p>
        </w:tc>
        <w:tc>
          <w:tcPr>
            <w:tcW w:w="5670" w:type="dxa"/>
            <w:tcBorders>
              <w:top w:val="nil"/>
              <w:left w:val="nil"/>
              <w:bottom w:val="nil"/>
              <w:right w:val="nil"/>
            </w:tcBorders>
            <w:tcMar>
              <w:top w:w="0" w:type="dxa"/>
              <w:left w:w="62" w:type="dxa"/>
              <w:bottom w:w="0" w:type="dxa"/>
              <w:right w:w="62" w:type="dxa"/>
            </w:tcMar>
          </w:tcPr>
          <w:p w:rsidR="00000000" w:rsidP="00675ED4">
            <w:pPr>
              <w:pStyle w:val="ListBullet"/>
              <w:rPr>
                <w:lang w:val="en-NZ"/>
              </w:rPr>
            </w:pPr>
            <w:r w:rsidRPr="00675ED4">
              <w:t>Competency should be assessed in the workplace or in a simulated workplace</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Access and equity considerations</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All workers in the health industry should be aware of access and equity issues in relation to their own area of work</w:t>
            </w:r>
          </w:p>
          <w:p w:rsidR="00000000" w:rsidRPr="00675ED4" w:rsidP="00675ED4">
            <w:pPr>
              <w:pStyle w:val="ListBullet"/>
            </w:pPr>
            <w:r w:rsidRPr="00675ED4">
              <w:t xml:space="preserve">All workers should develop their ability to work in a culturally diverse environment </w:t>
            </w:r>
          </w:p>
          <w:p w:rsidR="00000000" w:rsidRPr="00675ED4" w:rsidP="00675ED4">
            <w:pPr>
              <w:pStyle w:val="ListBullet"/>
            </w:pPr>
            <w:r w:rsidRPr="00675ED4">
              <w:t xml:space="preserve">In recognition of </w:t>
            </w:r>
            <w:r w:rsidRPr="00675ED4">
              <w:t>particular health issues facing Aboriginal and Torres Strait Islander communities, workers should be aware of cultural, historical and current issues impacting on health of Aboriginal and Torres Strait Islander people</w:t>
            </w:r>
          </w:p>
          <w:p w:rsidR="00000000" w:rsidP="00675ED4">
            <w:pPr>
              <w:pStyle w:val="ListBullet"/>
              <w:rPr>
                <w:lang w:val="en-NZ"/>
              </w:rPr>
            </w:pPr>
            <w:r w:rsidRPr="00675ED4">
              <w:t xml:space="preserve">Assessors and trainers must take into </w:t>
            </w:r>
            <w:r w:rsidRPr="00675ED4">
              <w:t>account relevant access and equity issues, in particular relating to factors impacting on health of Aboriginal and/or Torres Strait Islander clients and communities</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Related units</w:t>
            </w:r>
            <w:r w:rsidRPr="00675ED4">
              <w:t>:</w:t>
            </w:r>
          </w:p>
        </w:tc>
        <w:tc>
          <w:tcPr>
            <w:tcW w:w="5670" w:type="dxa"/>
            <w:tcBorders>
              <w:top w:val="nil"/>
              <w:left w:val="nil"/>
              <w:bottom w:val="nil"/>
              <w:right w:val="nil"/>
            </w:tcBorders>
            <w:tcMar>
              <w:top w:w="0" w:type="dxa"/>
              <w:left w:w="62" w:type="dxa"/>
              <w:bottom w:w="0" w:type="dxa"/>
              <w:right w:w="62" w:type="dxa"/>
            </w:tcMar>
          </w:tcPr>
          <w:p w:rsidR="00000000" w:rsidP="00675ED4">
            <w:pPr>
              <w:pStyle w:val="ListBullet"/>
              <w:rPr>
                <w:lang w:val="en-NZ"/>
              </w:rPr>
            </w:pPr>
            <w:r w:rsidRPr="00675ED4">
              <w:t>This unit may be assessed independently, but holistic assessment with other clinical units is encouraged</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BodyText"/>
            </w:pPr>
          </w:p>
        </w:tc>
      </w:tr>
    </w:tbl>
    <w:p w:rsidR="003B568A" w:rsidP="00675ED4">
      <w:pPr>
        <w:pStyle w:val="BodyText"/>
      </w:pPr>
    </w:p>
    <w:p w:rsidR="003B568A" w:rsidP="00675ED4">
      <w:pPr>
        <w:pStyle w:val="BodyText"/>
      </w:pPr>
    </w:p>
    <w:p w:rsidR="00000000" w:rsidRPr="00675ED4" w:rsidP="00675ED4">
      <w:pPr>
        <w:pStyle w:val="Heading1"/>
      </w:pPr>
      <w:bookmarkStart w:id="11" w:name="O_251793"/>
      <w:bookmarkEnd w:id="11"/>
      <w:r w:rsidRPr="00675ED4">
        <w:t>Range Statement</w:t>
      </w:r>
    </w:p>
    <w:tbl>
      <w:tblPr>
        <w:tblW w:w="0" w:type="auto"/>
        <w:tblLayout w:type="fixed"/>
        <w:tblCellMar>
          <w:left w:w="62" w:type="dxa"/>
          <w:right w:w="62" w:type="dxa"/>
        </w:tblCellMar>
        <w:tblLook w:val="0000"/>
      </w:tblPr>
      <w:tblGrid>
        <w:gridCol w:w="3402"/>
        <w:gridCol w:w="5670"/>
      </w:tblGrid>
      <w:tr w:rsidTr="003B568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SpecialBold"/>
              </w:rPr>
              <w:t>RANGE STATEMENT</w:t>
            </w:r>
          </w:p>
        </w:tc>
      </w:tr>
      <w:tr w:rsidTr="003B56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t>The Range Statement relates to the unit of competency as a whole.  It allows for different work environments and situations that may affect performance.  Add any essential operating conditions that may be present with training and assessment depending on t</w:t>
            </w:r>
            <w:r w:rsidRPr="00675ED4">
              <w:t>he work situation, needs of the candidate, accessibility of the item, and local industry and regional contexts.</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Environment assessment may include</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Adequate lighting</w:t>
            </w:r>
          </w:p>
          <w:p w:rsidR="00000000" w:rsidRPr="00675ED4" w:rsidP="00675ED4">
            <w:pPr>
              <w:pStyle w:val="ListBullet"/>
            </w:pPr>
            <w:r w:rsidRPr="00675ED4">
              <w:t>Health care practitioner's specified needs</w:t>
            </w:r>
          </w:p>
          <w:p w:rsidR="00000000" w:rsidRPr="00675ED4" w:rsidP="00675ED4">
            <w:pPr>
              <w:pStyle w:val="ListBullet"/>
            </w:pPr>
            <w:r w:rsidRPr="00675ED4">
              <w:t>Suitable climate</w:t>
            </w:r>
          </w:p>
          <w:p w:rsidR="00000000" w:rsidP="00675ED4">
            <w:pPr>
              <w:pStyle w:val="ListBullet"/>
              <w:rPr>
                <w:lang w:val="en-NZ"/>
              </w:rPr>
            </w:pPr>
            <w:r w:rsidRPr="00675ED4">
              <w:t>Suitable client privacy</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Clinical measurements may include</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Blood glucose measurement</w:t>
            </w:r>
          </w:p>
          <w:p w:rsidR="00000000" w:rsidRPr="00675ED4" w:rsidP="00675ED4">
            <w:pPr>
              <w:pStyle w:val="ListBullet"/>
            </w:pPr>
            <w:r w:rsidRPr="00675ED4">
              <w:t>Body height, weight and circumference measurement</w:t>
            </w:r>
          </w:p>
          <w:p w:rsidR="00000000" w:rsidRPr="00675ED4" w:rsidP="00675ED4">
            <w:pPr>
              <w:pStyle w:val="ListBullet"/>
            </w:pPr>
            <w:r w:rsidRPr="00675ED4">
              <w:t>Chemical reagent strip urinalysis</w:t>
            </w:r>
          </w:p>
          <w:p w:rsidR="00000000" w:rsidRPr="00675ED4" w:rsidP="00675ED4">
            <w:pPr>
              <w:pStyle w:val="ListBullet"/>
            </w:pPr>
            <w:r w:rsidRPr="00675ED4">
              <w:t>Distance visual acuity measurement</w:t>
            </w:r>
          </w:p>
          <w:p w:rsidR="00000000" w:rsidRPr="00675ED4" w:rsidP="00675ED4">
            <w:pPr>
              <w:pStyle w:val="ListBullet"/>
            </w:pPr>
            <w:r w:rsidRPr="00675ED4">
              <w:t>Electrocardiograph (ECG)</w:t>
            </w:r>
          </w:p>
          <w:p w:rsidR="00000000" w:rsidRPr="00675ED4" w:rsidP="00675ED4">
            <w:pPr>
              <w:pStyle w:val="ListBullet"/>
            </w:pPr>
            <w:r w:rsidRPr="00675ED4">
              <w:t>Manual blood pressure measurement</w:t>
            </w:r>
          </w:p>
          <w:p w:rsidR="00000000" w:rsidRPr="00675ED4" w:rsidP="00675ED4">
            <w:pPr>
              <w:pStyle w:val="ListBullet"/>
            </w:pPr>
            <w:r w:rsidRPr="00675ED4">
              <w:t>Pure tone hearing measurement (audiometry)</w:t>
            </w:r>
          </w:p>
          <w:p w:rsidR="00000000" w:rsidRPr="00675ED4" w:rsidP="00675ED4">
            <w:pPr>
              <w:pStyle w:val="ListBullet"/>
            </w:pPr>
            <w:r w:rsidRPr="00675ED4">
              <w:t>Pitch discrimination</w:t>
            </w:r>
          </w:p>
          <w:p w:rsidR="00000000" w:rsidRPr="00675ED4" w:rsidP="00675ED4">
            <w:pPr>
              <w:pStyle w:val="ListBullet"/>
            </w:pPr>
            <w:r w:rsidRPr="00675ED4">
              <w:t>Spirometry measurement</w:t>
            </w:r>
          </w:p>
          <w:p w:rsidR="00000000" w:rsidP="00675ED4">
            <w:pPr>
              <w:pStyle w:val="ListBullet"/>
              <w:rPr>
                <w:lang w:val="en-NZ"/>
              </w:rPr>
            </w:pPr>
            <w:r w:rsidRPr="00675ED4">
              <w:t>Skin fold measurement</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Equipment may include</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Balance beam scales</w:t>
            </w:r>
          </w:p>
          <w:p w:rsidR="00000000" w:rsidRPr="00675ED4" w:rsidP="00675ED4">
            <w:pPr>
              <w:pStyle w:val="ListBullet"/>
            </w:pPr>
            <w:r w:rsidRPr="00675ED4">
              <w:t>Dial scales</w:t>
            </w:r>
          </w:p>
          <w:p w:rsidR="00000000" w:rsidRPr="00675ED4" w:rsidP="00675ED4">
            <w:pPr>
              <w:pStyle w:val="ListBullet"/>
            </w:pPr>
            <w:r w:rsidRPr="00675ED4">
              <w:t>Digital scales</w:t>
            </w:r>
          </w:p>
          <w:p w:rsidR="00000000" w:rsidRPr="00675ED4" w:rsidP="00675ED4">
            <w:pPr>
              <w:pStyle w:val="ListBullet"/>
            </w:pPr>
            <w:r w:rsidRPr="00675ED4">
              <w:t>Chemical reagent strips</w:t>
            </w:r>
          </w:p>
          <w:p w:rsidR="00000000" w:rsidRPr="00675ED4" w:rsidP="00675ED4">
            <w:pPr>
              <w:pStyle w:val="ListBullet"/>
            </w:pPr>
            <w:r w:rsidRPr="00675ED4">
              <w:t>ECG machine</w:t>
            </w:r>
          </w:p>
          <w:p w:rsidR="00000000" w:rsidRPr="00675ED4" w:rsidP="00675ED4">
            <w:pPr>
              <w:pStyle w:val="ListBullet"/>
            </w:pPr>
            <w:r w:rsidRPr="00675ED4">
              <w:t>E chart (for clients with literacy problems or for clients not familiar with the English alphabet)</w:t>
            </w:r>
          </w:p>
          <w:p w:rsidR="00000000" w:rsidRPr="00675ED4" w:rsidP="00675ED4">
            <w:pPr>
              <w:pStyle w:val="ListBullet"/>
            </w:pPr>
            <w:r w:rsidRPr="00675ED4">
              <w:t>Glucometer</w:t>
            </w:r>
          </w:p>
          <w:p w:rsidR="00000000" w:rsidRPr="00675ED4" w:rsidP="00675ED4">
            <w:pPr>
              <w:pStyle w:val="ListBullet"/>
            </w:pPr>
            <w:r w:rsidRPr="00675ED4">
              <w:t>Otoscope</w:t>
            </w:r>
          </w:p>
          <w:p w:rsidR="00000000" w:rsidRPr="00675ED4" w:rsidP="00675ED4">
            <w:pPr>
              <w:pStyle w:val="ListBullet"/>
            </w:pPr>
            <w:r w:rsidRPr="00675ED4">
              <w:t>Peak flow meter</w:t>
            </w:r>
          </w:p>
          <w:p w:rsidR="00000000" w:rsidRPr="00675ED4" w:rsidP="00675ED4">
            <w:pPr>
              <w:pStyle w:val="ListBullet"/>
            </w:pPr>
            <w:r w:rsidRPr="00675ED4">
              <w:t>Pure tone audiometer</w:t>
            </w:r>
          </w:p>
          <w:p w:rsidR="00000000" w:rsidRPr="00675ED4" w:rsidP="00675ED4">
            <w:pPr>
              <w:pStyle w:val="ListBullet"/>
            </w:pPr>
            <w:r w:rsidRPr="00675ED4">
              <w:t>Pulse oximeter</w:t>
            </w:r>
          </w:p>
          <w:p w:rsidR="00000000" w:rsidRPr="00675ED4" w:rsidP="00675ED4">
            <w:pPr>
              <w:pStyle w:val="ListBullet"/>
            </w:pPr>
            <w:r w:rsidRPr="00675ED4">
              <w:t>Respiratory function measuring device (Vitalograph)</w:t>
            </w:r>
          </w:p>
          <w:p w:rsidR="00000000" w:rsidRPr="00675ED4" w:rsidP="00675ED4">
            <w:pPr>
              <w:pStyle w:val="ListBullet"/>
            </w:pPr>
            <w:r w:rsidRPr="00675ED4">
              <w:t>Snellen Alphabet chart</w:t>
            </w:r>
          </w:p>
          <w:p w:rsidR="00000000" w:rsidRPr="00675ED4" w:rsidP="00675ED4">
            <w:pPr>
              <w:pStyle w:val="ListBullet"/>
            </w:pPr>
            <w:r w:rsidRPr="00675ED4">
              <w:t>Tape measu</w:t>
            </w:r>
            <w:r w:rsidRPr="00675ED4">
              <w:t>re</w:t>
            </w:r>
          </w:p>
          <w:p w:rsidR="00000000" w:rsidP="00675ED4">
            <w:pPr>
              <w:pStyle w:val="ListBullet"/>
              <w:rPr>
                <w:lang w:val="en-NZ"/>
              </w:rPr>
            </w:pPr>
            <w:r w:rsidRPr="00675ED4">
              <w:t>Wall mounted height measuring scale</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Consumables may include</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Alcohol cleansing wipes</w:t>
            </w:r>
          </w:p>
          <w:p w:rsidR="00000000" w:rsidRPr="00675ED4" w:rsidP="00675ED4">
            <w:pPr>
              <w:pStyle w:val="ListBullet"/>
            </w:pPr>
            <w:r w:rsidRPr="00675ED4">
              <w:t>Cotton-tipped swab</w:t>
            </w:r>
          </w:p>
          <w:p w:rsidR="00000000" w:rsidRPr="00675ED4" w:rsidP="00675ED4">
            <w:pPr>
              <w:pStyle w:val="ListBullet"/>
            </w:pPr>
            <w:r w:rsidRPr="00675ED4">
              <w:t>Disposable gloves</w:t>
            </w:r>
          </w:p>
          <w:p w:rsidR="00000000" w:rsidRPr="00675ED4" w:rsidP="00675ED4">
            <w:pPr>
              <w:pStyle w:val="ListBullet"/>
            </w:pPr>
            <w:r w:rsidRPr="00675ED4">
              <w:t>Examination gowns</w:t>
            </w:r>
          </w:p>
          <w:p w:rsidR="00000000" w:rsidRPr="00675ED4" w:rsidP="00675ED4">
            <w:pPr>
              <w:pStyle w:val="ListBullet"/>
            </w:pPr>
            <w:r w:rsidRPr="00675ED4">
              <w:t>Gauze squares</w:t>
            </w:r>
          </w:p>
          <w:p w:rsidR="00000000" w:rsidRPr="00675ED4" w:rsidP="00675ED4">
            <w:pPr>
              <w:pStyle w:val="ListBullet"/>
            </w:pPr>
            <w:r w:rsidRPr="00675ED4">
              <w:t>Goggles/protective eyewear</w:t>
            </w:r>
          </w:p>
          <w:p w:rsidR="00000000" w:rsidRPr="00675ED4" w:rsidP="00675ED4">
            <w:pPr>
              <w:pStyle w:val="ListBullet"/>
            </w:pPr>
            <w:r w:rsidRPr="00675ED4">
              <w:t>Half-sheet for draping</w:t>
            </w:r>
          </w:p>
          <w:p w:rsidR="00000000" w:rsidRPr="00675ED4" w:rsidP="00675ED4">
            <w:pPr>
              <w:pStyle w:val="ListBullet"/>
            </w:pPr>
            <w:r w:rsidRPr="00675ED4">
              <w:t>Hazard bags for infection control</w:t>
            </w:r>
          </w:p>
          <w:p w:rsidR="00000000" w:rsidRPr="00675ED4" w:rsidP="00675ED4">
            <w:pPr>
              <w:pStyle w:val="ListBullet"/>
            </w:pPr>
            <w:r w:rsidRPr="00675ED4">
              <w:t>Instrument cleaning supplies</w:t>
            </w:r>
          </w:p>
          <w:p w:rsidR="00000000" w:rsidRPr="00675ED4" w:rsidP="00675ED4">
            <w:pPr>
              <w:pStyle w:val="ListBullet"/>
            </w:pPr>
            <w:r w:rsidRPr="00675ED4">
              <w:t>Sharps containers</w:t>
            </w:r>
          </w:p>
          <w:p w:rsidR="00000000" w:rsidRPr="00675ED4" w:rsidP="00675ED4">
            <w:pPr>
              <w:pStyle w:val="ListBullet"/>
            </w:pPr>
            <w:r w:rsidRPr="00675ED4">
              <w:t>Tongue depressors</w:t>
            </w:r>
          </w:p>
          <w:p w:rsidR="00000000" w:rsidP="00675ED4">
            <w:pPr>
              <w:pStyle w:val="ListBullet"/>
              <w:rPr>
                <w:lang w:val="en-NZ"/>
              </w:rPr>
            </w:pPr>
            <w:r w:rsidRPr="00675ED4">
              <w:t>Visual acuity charts</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Confidentiality of client information may be ensured by</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Adherence to Privacy Act</w:t>
            </w:r>
          </w:p>
          <w:p w:rsidR="00000000" w:rsidRPr="00675ED4" w:rsidP="00675ED4">
            <w:pPr>
              <w:pStyle w:val="ListBullet"/>
            </w:pPr>
            <w:r w:rsidRPr="00675ED4">
              <w:t>Information disclosed to an appropriate person consistent with the responsibility of this position</w:t>
            </w:r>
          </w:p>
          <w:p w:rsidR="00000000" w:rsidRPr="00675ED4" w:rsidP="00675ED4">
            <w:pPr>
              <w:pStyle w:val="ListBullet"/>
            </w:pPr>
            <w:r w:rsidRPr="00675ED4">
              <w:t>Legal and ethical requirements</w:t>
            </w:r>
          </w:p>
          <w:p w:rsidR="00000000" w:rsidRPr="00675ED4" w:rsidP="00675ED4">
            <w:pPr>
              <w:pStyle w:val="ListBullet"/>
            </w:pPr>
            <w:r w:rsidRPr="00675ED4">
              <w:t>Secure location for written records</w:t>
            </w:r>
          </w:p>
          <w:p w:rsidR="00000000" w:rsidP="00675ED4">
            <w:pPr>
              <w:pStyle w:val="ListBullet"/>
              <w:rPr>
                <w:lang w:val="en-NZ"/>
              </w:rPr>
            </w:pPr>
            <w:r w:rsidRPr="00675ED4">
              <w:t>Treatment room with privacy</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Personal hygiene and infection control procedures may incl</w:t>
            </w:r>
            <w:r w:rsidRPr="00675ED4">
              <w:rPr>
                <w:rStyle w:val="Emphasis"/>
              </w:rPr>
              <w:t>ude</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Australian and state standards and legislation</w:t>
            </w:r>
          </w:p>
          <w:p w:rsidR="00000000" w:rsidRPr="00675ED4" w:rsidP="00675ED4">
            <w:pPr>
              <w:pStyle w:val="ListBullet"/>
            </w:pPr>
            <w:r w:rsidRPr="00675ED4">
              <w:t>Industry standards</w:t>
            </w:r>
          </w:p>
          <w:p w:rsidR="00000000" w:rsidRPr="00675ED4" w:rsidP="00675ED4">
            <w:pPr>
              <w:pStyle w:val="ListBullet"/>
            </w:pPr>
            <w:r w:rsidRPr="00675ED4">
              <w:t>Organisation procedures</w:t>
            </w:r>
          </w:p>
          <w:p w:rsidR="00000000" w:rsidRPr="00675ED4" w:rsidP="00675ED4">
            <w:pPr>
              <w:pStyle w:val="ListBullet"/>
            </w:pPr>
            <w:r w:rsidRPr="00675ED4">
              <w:t>Standard precautions such as hand washing procedures</w:t>
            </w:r>
          </w:p>
          <w:p w:rsidR="00000000" w:rsidP="00675ED4">
            <w:pPr>
              <w:pStyle w:val="ListBullet"/>
              <w:rPr>
                <w:lang w:val="en-NZ"/>
              </w:rPr>
            </w:pPr>
            <w:r w:rsidRPr="00675ED4">
              <w:t>Direct instructions from supervisor</w:t>
            </w: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p>
        </w:tc>
      </w:tr>
      <w:tr w:rsidTr="003B568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75ED4">
            <w:pPr>
              <w:pStyle w:val="BodyText"/>
              <w:rPr>
                <w:lang w:val="en-NZ"/>
              </w:rPr>
            </w:pPr>
            <w:r w:rsidRPr="00675ED4">
              <w:rPr>
                <w:rStyle w:val="Emphasis"/>
              </w:rPr>
              <w:t>Clinical guidelines</w:t>
            </w:r>
            <w:r w:rsidRPr="00675ED4">
              <w:t xml:space="preserve">, </w:t>
            </w:r>
            <w:r w:rsidRPr="00675ED4">
              <w:rPr>
                <w:rStyle w:val="Emphasis"/>
              </w:rPr>
              <w:t>organisation policies and procedures may include</w:t>
            </w:r>
            <w:r w:rsidRPr="00675ED4">
              <w:t>:</w:t>
            </w:r>
          </w:p>
        </w:tc>
        <w:tc>
          <w:tcPr>
            <w:tcW w:w="5670" w:type="dxa"/>
            <w:tcBorders>
              <w:top w:val="nil"/>
              <w:left w:val="nil"/>
              <w:bottom w:val="nil"/>
              <w:right w:val="nil"/>
            </w:tcBorders>
            <w:tcMar>
              <w:top w:w="0" w:type="dxa"/>
              <w:left w:w="62" w:type="dxa"/>
              <w:bottom w:w="0" w:type="dxa"/>
              <w:right w:w="62" w:type="dxa"/>
            </w:tcMar>
          </w:tcPr>
          <w:p w:rsidR="00000000" w:rsidRPr="00675ED4" w:rsidP="00675ED4">
            <w:pPr>
              <w:pStyle w:val="ListBullet"/>
            </w:pPr>
            <w:r w:rsidRPr="00675ED4">
              <w:t>Clinical standards (state and national)</w:t>
            </w:r>
          </w:p>
          <w:p w:rsidR="00000000" w:rsidRPr="00675ED4" w:rsidP="00675ED4">
            <w:pPr>
              <w:pStyle w:val="ListBullet"/>
            </w:pPr>
            <w:r w:rsidRPr="00675ED4">
              <w:t>Industry standards (state and national)</w:t>
            </w:r>
          </w:p>
          <w:p w:rsidR="00000000" w:rsidRPr="00675ED4" w:rsidP="00675ED4">
            <w:pPr>
              <w:pStyle w:val="ListBullet"/>
            </w:pPr>
            <w:r w:rsidRPr="00675ED4">
              <w:t>Industry professional bodies</w:t>
            </w:r>
          </w:p>
          <w:p w:rsidR="00000000" w:rsidRPr="00675ED4" w:rsidP="00675ED4">
            <w:pPr>
              <w:pStyle w:val="ListBullet"/>
            </w:pPr>
            <w:r w:rsidRPr="00675ED4">
              <w:t>Organisation</w:t>
            </w:r>
          </w:p>
          <w:p w:rsidR="00000000" w:rsidRPr="00675ED4" w:rsidP="00675ED4">
            <w:pPr>
              <w:pStyle w:val="ListBullet"/>
            </w:pPr>
            <w:r w:rsidRPr="00675ED4">
              <w:t>Privacy Act</w:t>
            </w:r>
          </w:p>
          <w:p w:rsidR="00000000" w:rsidRPr="00675ED4" w:rsidP="00675ED4">
            <w:pPr>
              <w:pStyle w:val="ListBullet"/>
            </w:pPr>
            <w:r w:rsidRPr="00675ED4">
              <w:t>Relevant Australian standards</w:t>
            </w:r>
          </w:p>
          <w:p w:rsidR="00000000" w:rsidRPr="00675ED4" w:rsidP="00675ED4">
            <w:pPr>
              <w:pStyle w:val="ListBullet"/>
            </w:pPr>
            <w:r w:rsidRPr="00675ED4">
              <w:t>Relevant state/territory occupational hea</w:t>
            </w:r>
            <w:r w:rsidRPr="00675ED4">
              <w:t>lth and safety bodies</w:t>
            </w:r>
          </w:p>
        </w:tc>
      </w:tr>
    </w:tbl>
    <w:p w:rsidR="003B568A" w:rsidP="00675ED4">
      <w:pPr>
        <w:pStyle w:val="BodyText"/>
      </w:pPr>
    </w:p>
    <w:p w:rsidR="003B568A" w:rsidP="00675ED4">
      <w:pPr>
        <w:pStyle w:val="BodyText"/>
      </w:pPr>
    </w:p>
    <w:p w:rsidR="00000000" w:rsidRPr="00675ED4" w:rsidP="00675ED4">
      <w:pPr>
        <w:pStyle w:val="Heading1"/>
      </w:pPr>
      <w:bookmarkStart w:id="12" w:name="O_295019"/>
      <w:bookmarkEnd w:id="12"/>
      <w:r w:rsidRPr="00675ED4">
        <w:t>Unit Sector(s)</w:t>
      </w:r>
    </w:p>
    <w:p w:rsidR="00000000" w:rsidRPr="00675ED4" w:rsidP="00675ED4">
      <w:pPr>
        <w:pStyle w:val="BodyText"/>
      </w:pPr>
      <w:r w:rsidRPr="00675ED4">
        <w:t>Not Applicable</w:t>
      </w:r>
    </w:p>
    <w:p w:rsidR="00000000" w:rsidRPr="00675ED4" w:rsidP="00675ED4"/>
    <w:sectPr w:rsidSect="00675E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68A" w:rsidP="003B56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8A" w:rsidP="00675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B568A" w:rsidP="00675E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B568A" w:rsidP="00675E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68A" w:rsidP="003B568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68A" w:rsidP="00675ED4">
    <w:pPr>
      <w:pStyle w:val="Header"/>
      <w:framePr w:wrap="around"/>
    </w:pPr>
    <w:r>
      <w:fldChar w:fldCharType="begin"/>
    </w:r>
    <w:r>
      <w:instrText xml:space="preserve"> TITLE   \* MERGEFORMAT </w:instrText>
    </w:r>
    <w:r>
      <w:fldChar w:fldCharType="separate"/>
    </w:r>
    <w:r>
      <w:t>HLTDEFHC404B Conduct a clinical measurement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568A" w:rsidP="00675E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4F6A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5A0C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E1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5E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5ED4"/>
    <w:pPr>
      <w:spacing w:before="360" w:after="60"/>
      <w:outlineLvl w:val="0"/>
    </w:pPr>
    <w:rPr>
      <w:sz w:val="32"/>
    </w:rPr>
  </w:style>
  <w:style w:type="paragraph" w:styleId="Heading2">
    <w:name w:val="heading 2"/>
    <w:basedOn w:val="HeadingBase"/>
    <w:next w:val="BodyText"/>
    <w:link w:val="Heading2Char"/>
    <w:qFormat/>
    <w:rsid w:val="00675ED4"/>
    <w:pPr>
      <w:keepLines/>
      <w:spacing w:before="240" w:after="120"/>
      <w:outlineLvl w:val="1"/>
    </w:pPr>
    <w:rPr>
      <w:sz w:val="28"/>
      <w:szCs w:val="40"/>
    </w:rPr>
  </w:style>
  <w:style w:type="paragraph" w:styleId="Heading3">
    <w:name w:val="heading 3"/>
    <w:basedOn w:val="HeadingBase"/>
    <w:next w:val="BodyText"/>
    <w:link w:val="Heading3Char"/>
    <w:qFormat/>
    <w:rsid w:val="00675ED4"/>
    <w:pPr>
      <w:spacing w:before="180" w:after="120"/>
      <w:outlineLvl w:val="2"/>
    </w:pPr>
    <w:rPr>
      <w:spacing w:val="-10"/>
      <w:kern w:val="32"/>
    </w:rPr>
  </w:style>
  <w:style w:type="paragraph" w:styleId="Heading4">
    <w:name w:val="heading 4"/>
    <w:basedOn w:val="HeadingBase"/>
    <w:next w:val="BodyText"/>
    <w:link w:val="Heading4Char"/>
    <w:qFormat/>
    <w:rsid w:val="00675ED4"/>
    <w:pPr>
      <w:spacing w:before="160" w:after="120"/>
      <w:outlineLvl w:val="3"/>
    </w:pPr>
    <w:rPr>
      <w:sz w:val="22"/>
    </w:rPr>
  </w:style>
  <w:style w:type="paragraph" w:styleId="Heading5">
    <w:name w:val="heading 5"/>
    <w:basedOn w:val="HeadingBase"/>
    <w:next w:val="Normal"/>
    <w:link w:val="Heading5Char"/>
    <w:qFormat/>
    <w:rsid w:val="00675ED4"/>
    <w:pPr>
      <w:spacing w:before="80"/>
      <w:outlineLvl w:val="4"/>
    </w:pPr>
    <w:rPr>
      <w:color w:val="918585"/>
      <w:sz w:val="20"/>
    </w:rPr>
  </w:style>
  <w:style w:type="paragraph" w:styleId="Heading6">
    <w:name w:val="heading 6"/>
    <w:basedOn w:val="HeadingBase"/>
    <w:next w:val="Normal"/>
    <w:link w:val="Heading6Char"/>
    <w:qFormat/>
    <w:rsid w:val="00675ED4"/>
    <w:pPr>
      <w:spacing w:before="60"/>
      <w:outlineLvl w:val="5"/>
    </w:pPr>
    <w:rPr>
      <w:color w:val="918585"/>
      <w:sz w:val="20"/>
    </w:rPr>
  </w:style>
  <w:style w:type="paragraph" w:styleId="Heading7">
    <w:name w:val="heading 7"/>
    <w:basedOn w:val="Normal"/>
    <w:next w:val="Normal"/>
    <w:link w:val="Heading7Char"/>
    <w:qFormat/>
    <w:rsid w:val="00675ED4"/>
    <w:pPr>
      <w:ind w:left="720"/>
      <w:outlineLvl w:val="6"/>
    </w:pPr>
    <w:rPr>
      <w:i/>
    </w:rPr>
  </w:style>
  <w:style w:type="paragraph" w:styleId="Heading8">
    <w:name w:val="heading 8"/>
    <w:basedOn w:val="Normal"/>
    <w:next w:val="Normal"/>
    <w:link w:val="Heading8Char"/>
    <w:qFormat/>
    <w:rsid w:val="00675ED4"/>
    <w:pPr>
      <w:ind w:left="720"/>
      <w:outlineLvl w:val="7"/>
    </w:pPr>
    <w:rPr>
      <w:i/>
    </w:rPr>
  </w:style>
  <w:style w:type="paragraph" w:styleId="Heading9">
    <w:name w:val="heading 9"/>
    <w:basedOn w:val="Normal"/>
    <w:next w:val="Normal"/>
    <w:link w:val="Heading9Char"/>
    <w:qFormat/>
    <w:rsid w:val="00675ED4"/>
    <w:pPr>
      <w:ind w:left="720"/>
      <w:outlineLvl w:val="8"/>
    </w:pPr>
    <w:rPr>
      <w:i/>
    </w:rPr>
  </w:style>
  <w:style w:type="character" w:default="1" w:styleId="DefaultParagraphFont">
    <w:name w:val="Default Paragraph Font"/>
    <w:uiPriority w:val="1"/>
    <w:unhideWhenUsed/>
    <w:rsid w:val="00675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5ED4"/>
  </w:style>
  <w:style w:type="character" w:customStyle="1" w:styleId="Heading1Char">
    <w:name w:val="Heading 1 Char"/>
    <w:basedOn w:val="DefaultParagraphFont"/>
    <w:link w:val="Heading1"/>
    <w:rsid w:val="00675ED4"/>
    <w:rPr>
      <w:rFonts w:ascii="Times New Roman" w:eastAsia="Times New Roman" w:hAnsi="Times New Roman" w:cs="Times New Roman"/>
      <w:b/>
      <w:sz w:val="32"/>
      <w:szCs w:val="20"/>
      <w:lang w:eastAsia="en-US"/>
    </w:rPr>
  </w:style>
  <w:style w:type="paragraph" w:styleId="BodyText">
    <w:name w:val="Body Text"/>
    <w:basedOn w:val="Normal"/>
    <w:link w:val="BodyTextChar"/>
    <w:rsid w:val="00675E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5ED4"/>
    <w:rPr>
      <w:rFonts w:ascii="Times New Roman" w:eastAsia="Times New Roman" w:hAnsi="Times New Roman" w:cs="Times New Roman"/>
      <w:sz w:val="24"/>
      <w:lang w:val="en-US" w:eastAsia="en-US"/>
    </w:rPr>
  </w:style>
  <w:style w:type="paragraph" w:styleId="Footer">
    <w:name w:val="footer"/>
    <w:basedOn w:val="Normal"/>
    <w:link w:val="FooterChar"/>
    <w:rsid w:val="00675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5ED4"/>
    <w:rPr>
      <w:rFonts w:ascii="Times New Roman" w:eastAsia="Times New Roman" w:hAnsi="Times New Roman" w:cs="Times New Roman"/>
      <w:sz w:val="16"/>
      <w:lang w:val="en-US" w:eastAsia="en-US"/>
    </w:rPr>
  </w:style>
  <w:style w:type="paragraph" w:styleId="List">
    <w:name w:val="List"/>
    <w:basedOn w:val="BodyText"/>
    <w:next w:val="BodyText"/>
    <w:rsid w:val="00675ED4"/>
    <w:pPr>
      <w:tabs>
        <w:tab w:val="left" w:pos="340"/>
      </w:tabs>
      <w:spacing w:before="60" w:after="60"/>
      <w:ind w:left="340" w:hanging="340"/>
    </w:pPr>
  </w:style>
  <w:style w:type="paragraph" w:styleId="ListBullet">
    <w:name w:val="List Bullet"/>
    <w:basedOn w:val="List"/>
    <w:rsid w:val="00675ED4"/>
    <w:pPr>
      <w:numPr>
        <w:numId w:val="13"/>
      </w:numPr>
      <w:tabs>
        <w:tab w:val="clear" w:pos="340"/>
      </w:tabs>
      <w:spacing w:before="40" w:after="40"/>
    </w:pPr>
  </w:style>
  <w:style w:type="character" w:customStyle="1" w:styleId="SpecialBold">
    <w:name w:val="Special Bold"/>
    <w:basedOn w:val="DefaultParagraphFont"/>
    <w:rsid w:val="00675ED4"/>
    <w:rPr>
      <w:b/>
      <w:spacing w:val="0"/>
    </w:rPr>
  </w:style>
  <w:style w:type="paragraph" w:styleId="ListBullet2">
    <w:name w:val="List Bullet 2"/>
    <w:basedOn w:val="List2"/>
    <w:rsid w:val="00675ED4"/>
    <w:pPr>
      <w:numPr>
        <w:numId w:val="14"/>
      </w:numPr>
      <w:tabs>
        <w:tab w:val="clear" w:pos="680"/>
      </w:tabs>
    </w:pPr>
  </w:style>
  <w:style w:type="paragraph" w:styleId="Header">
    <w:name w:val="header"/>
    <w:basedOn w:val="Normal"/>
    <w:link w:val="HeaderChar"/>
    <w:rsid w:val="00675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5ED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75ED4"/>
    <w:rPr>
      <w:i/>
    </w:rPr>
  </w:style>
  <w:style w:type="paragraph" w:customStyle="1" w:styleId="SuperHeading">
    <w:name w:val="SuperHeading"/>
    <w:basedOn w:val="Normal"/>
    <w:rsid w:val="00675ED4"/>
    <w:pPr>
      <w:spacing w:before="240" w:after="120"/>
      <w:outlineLvl w:val="0"/>
    </w:pPr>
    <w:rPr>
      <w:rFonts w:ascii="Times New Roman" w:hAnsi="Times New Roman"/>
      <w:b/>
      <w:sz w:val="28"/>
    </w:rPr>
  </w:style>
  <w:style w:type="paragraph" w:customStyle="1" w:styleId="AllowPageBreak">
    <w:name w:val="AllowPageBreak"/>
    <w:rsid w:val="00675E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5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5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5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5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5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5E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5E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5ED4"/>
    <w:rPr>
      <w:rFonts w:ascii="Courier New" w:eastAsia="Times New Roman" w:hAnsi="Courier New" w:cs="Times New Roman"/>
      <w:i/>
      <w:szCs w:val="20"/>
      <w:lang w:val="en-US" w:eastAsia="en-US"/>
    </w:rPr>
  </w:style>
  <w:style w:type="paragraph" w:customStyle="1" w:styleId="HeadingBase">
    <w:name w:val="Heading Base"/>
    <w:rsid w:val="00675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5ED4"/>
    <w:pPr>
      <w:tabs>
        <w:tab w:val="right" w:leader="dot" w:pos="9072"/>
      </w:tabs>
      <w:ind w:left="567"/>
    </w:pPr>
    <w:rPr>
      <w:szCs w:val="22"/>
    </w:rPr>
  </w:style>
  <w:style w:type="paragraph" w:customStyle="1" w:styleId="TOCBase">
    <w:name w:val="TOC Base"/>
    <w:rsid w:val="00675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5ED4"/>
    <w:pPr>
      <w:tabs>
        <w:tab w:val="right" w:leader="dot" w:pos="9072"/>
      </w:tabs>
      <w:spacing w:before="40" w:after="40"/>
      <w:ind w:left="284"/>
    </w:pPr>
    <w:rPr>
      <w:rFonts w:ascii="Times New Roman" w:hAnsi="Times New Roman"/>
    </w:rPr>
  </w:style>
  <w:style w:type="paragraph" w:styleId="TOC1">
    <w:name w:val="toc 1"/>
    <w:basedOn w:val="TOCBase"/>
    <w:next w:val="Normal"/>
    <w:rsid w:val="00675E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5ED4"/>
    <w:pPr>
      <w:spacing w:before="5040"/>
      <w:jc w:val="center"/>
    </w:pPr>
    <w:rPr>
      <w:sz w:val="48"/>
      <w:szCs w:val="72"/>
      <w:lang w:val="en-US"/>
    </w:rPr>
  </w:style>
  <w:style w:type="character" w:customStyle="1" w:styleId="TitleChar">
    <w:name w:val="Title Char"/>
    <w:basedOn w:val="DefaultParagraphFont"/>
    <w:link w:val="Title"/>
    <w:rsid w:val="00675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5ED4"/>
    <w:pPr>
      <w:tabs>
        <w:tab w:val="left" w:pos="3600"/>
        <w:tab w:val="left" w:pos="3958"/>
      </w:tabs>
    </w:pPr>
  </w:style>
  <w:style w:type="paragraph" w:customStyle="1" w:styleId="Note">
    <w:name w:val="Note"/>
    <w:basedOn w:val="BodyText"/>
    <w:rsid w:val="00675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5ED4"/>
    <w:pPr>
      <w:framePr w:wrap="auto" w:hAnchor="text" w:y="6049"/>
    </w:pPr>
    <w:rPr>
      <w:color w:val="000000"/>
      <w:sz w:val="40"/>
    </w:rPr>
  </w:style>
  <w:style w:type="paragraph" w:customStyle="1" w:styleId="TOCTitle">
    <w:name w:val="TOCTitle"/>
    <w:basedOn w:val="Heading1"/>
    <w:rsid w:val="00675ED4"/>
    <w:pPr>
      <w:spacing w:after="240"/>
      <w:jc w:val="center"/>
      <w:outlineLvl w:val="9"/>
    </w:pPr>
    <w:rPr>
      <w:caps/>
    </w:rPr>
  </w:style>
  <w:style w:type="paragraph" w:customStyle="1" w:styleId="Version">
    <w:name w:val="Version"/>
    <w:rsid w:val="00675E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5ED4"/>
    <w:pPr>
      <w:keepNext w:val="0"/>
      <w:tabs>
        <w:tab w:val="right" w:pos="4176"/>
      </w:tabs>
      <w:ind w:left="198" w:hanging="198"/>
    </w:pPr>
    <w:rPr>
      <w:rFonts w:ascii="Garamond" w:hAnsi="Garamond"/>
    </w:rPr>
  </w:style>
  <w:style w:type="paragraph" w:styleId="IndexHeading">
    <w:name w:val="index heading"/>
    <w:basedOn w:val="Normal"/>
    <w:next w:val="Index1"/>
    <w:semiHidden/>
    <w:rsid w:val="00675ED4"/>
    <w:pPr>
      <w:spacing w:before="120" w:after="120"/>
    </w:pPr>
    <w:rPr>
      <w:rFonts w:ascii="Arial" w:hAnsi="Arial"/>
      <w:b/>
      <w:color w:val="918585"/>
      <w:sz w:val="24"/>
    </w:rPr>
  </w:style>
  <w:style w:type="paragraph" w:customStyle="1" w:styleId="Chapter">
    <w:name w:val="Chapter"/>
    <w:basedOn w:val="Normal"/>
    <w:rsid w:val="00675ED4"/>
    <w:pPr>
      <w:spacing w:before="240"/>
    </w:pPr>
    <w:rPr>
      <w:rFonts w:ascii="Times New Roman" w:hAnsi="Times New Roman"/>
      <w:smallCaps/>
      <w:spacing w:val="80"/>
      <w:sz w:val="28"/>
    </w:rPr>
  </w:style>
  <w:style w:type="paragraph" w:customStyle="1" w:styleId="InChapter">
    <w:name w:val="InChapter"/>
    <w:basedOn w:val="Heading3"/>
    <w:rsid w:val="00675ED4"/>
    <w:pPr>
      <w:spacing w:after="240"/>
      <w:outlineLvl w:val="9"/>
    </w:pPr>
    <w:rPr>
      <w:noProof/>
    </w:rPr>
  </w:style>
  <w:style w:type="paragraph" w:styleId="Index2">
    <w:name w:val="index 2"/>
    <w:basedOn w:val="Normal"/>
    <w:next w:val="Normal"/>
    <w:semiHidden/>
    <w:rsid w:val="00675ED4"/>
    <w:pPr>
      <w:tabs>
        <w:tab w:val="right" w:pos="4176"/>
      </w:tabs>
      <w:ind w:left="568" w:hanging="284"/>
    </w:pPr>
    <w:rPr>
      <w:rFonts w:ascii="Garamond" w:hAnsi="Garamond"/>
    </w:rPr>
  </w:style>
  <w:style w:type="paragraph" w:customStyle="1" w:styleId="Byline">
    <w:name w:val="Byline"/>
    <w:rsid w:val="00675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5ED4"/>
    <w:pPr>
      <w:tabs>
        <w:tab w:val="clear" w:pos="3600"/>
        <w:tab w:val="clear" w:pos="3958"/>
      </w:tabs>
      <w:jc w:val="right"/>
    </w:pPr>
  </w:style>
  <w:style w:type="paragraph" w:styleId="Caption">
    <w:name w:val="caption"/>
    <w:basedOn w:val="BodyText"/>
    <w:next w:val="Normal"/>
    <w:qFormat/>
    <w:rsid w:val="00675ED4"/>
    <w:pPr>
      <w:framePr w:w="2268" w:hSpace="181" w:vSpace="181" w:wrap="around" w:vAnchor="text" w:hAnchor="page" w:x="1135" w:y="285" w:anchorLock="1"/>
    </w:pPr>
    <w:rPr>
      <w:i/>
    </w:rPr>
  </w:style>
  <w:style w:type="paragraph" w:customStyle="1" w:styleId="MiniTOCTitle">
    <w:name w:val="MiniTOCTitle"/>
    <w:basedOn w:val="Heading4"/>
    <w:rsid w:val="00675ED4"/>
    <w:pPr>
      <w:spacing w:before="240"/>
      <w:outlineLvl w:val="9"/>
    </w:pPr>
    <w:rPr>
      <w:noProof/>
      <w:sz w:val="24"/>
    </w:rPr>
  </w:style>
  <w:style w:type="paragraph" w:customStyle="1" w:styleId="MiniTOCItem">
    <w:name w:val="MiniTOCItem"/>
    <w:basedOn w:val="ListBullet"/>
    <w:rsid w:val="00675ED4"/>
    <w:pPr>
      <w:numPr>
        <w:numId w:val="0"/>
      </w:numPr>
      <w:tabs>
        <w:tab w:val="right" w:leader="dot" w:pos="6521"/>
      </w:tabs>
      <w:spacing w:before="0" w:after="0"/>
    </w:pPr>
  </w:style>
  <w:style w:type="paragraph" w:customStyle="1" w:styleId="TOFTitle">
    <w:name w:val="TOFTitle"/>
    <w:basedOn w:val="TOCTitle"/>
    <w:rsid w:val="00675ED4"/>
  </w:style>
  <w:style w:type="paragraph" w:styleId="TableofFigures">
    <w:name w:val="table of figures"/>
    <w:basedOn w:val="Normal"/>
    <w:next w:val="Normal"/>
    <w:semiHidden/>
    <w:rsid w:val="00675ED4"/>
    <w:pPr>
      <w:tabs>
        <w:tab w:val="right" w:leader="dot" w:pos="9072"/>
      </w:tabs>
      <w:ind w:left="970" w:hanging="403"/>
    </w:pPr>
    <w:rPr>
      <w:rFonts w:ascii="Times New Roman" w:hAnsi="Times New Roman"/>
      <w:b/>
    </w:rPr>
  </w:style>
  <w:style w:type="paragraph" w:styleId="ListNumber">
    <w:name w:val="List Number"/>
    <w:basedOn w:val="List"/>
    <w:rsid w:val="00675ED4"/>
    <w:pPr>
      <w:numPr>
        <w:numId w:val="11"/>
      </w:numPr>
    </w:pPr>
  </w:style>
  <w:style w:type="character" w:customStyle="1" w:styleId="WingdingSymbols">
    <w:name w:val="Wingding Symbols"/>
    <w:rsid w:val="00675ED4"/>
    <w:rPr>
      <w:rFonts w:ascii="Wingdings" w:hAnsi="Wingdings"/>
    </w:rPr>
  </w:style>
  <w:style w:type="paragraph" w:customStyle="1" w:styleId="TableHeading">
    <w:name w:val="Table Heading"/>
    <w:basedOn w:val="HeadingBase"/>
    <w:rsid w:val="00675ED4"/>
    <w:pPr>
      <w:keepLines/>
      <w:pBdr>
        <w:bottom w:val="single" w:sz="6" w:space="1" w:color="918585"/>
      </w:pBdr>
      <w:spacing w:before="240"/>
    </w:pPr>
  </w:style>
  <w:style w:type="character" w:customStyle="1" w:styleId="HotSpot">
    <w:name w:val="HotSpot"/>
    <w:rsid w:val="00675ED4"/>
    <w:rPr>
      <w:color w:val="0033CC"/>
      <w:u w:val="none"/>
    </w:rPr>
  </w:style>
  <w:style w:type="paragraph" w:customStyle="1" w:styleId="BodyTextRight">
    <w:name w:val="Body Text Right"/>
    <w:basedOn w:val="BodyText"/>
    <w:rsid w:val="00675ED4"/>
    <w:pPr>
      <w:spacing w:before="0" w:after="0"/>
      <w:jc w:val="right"/>
    </w:pPr>
  </w:style>
  <w:style w:type="paragraph" w:styleId="Index3">
    <w:name w:val="index 3"/>
    <w:basedOn w:val="ListNumber2"/>
    <w:next w:val="Normal"/>
    <w:semiHidden/>
    <w:rsid w:val="00675ED4"/>
    <w:pPr>
      <w:numPr>
        <w:numId w:val="0"/>
      </w:numPr>
      <w:tabs>
        <w:tab w:val="right" w:leader="dot" w:pos="4176"/>
      </w:tabs>
    </w:pPr>
  </w:style>
  <w:style w:type="paragraph" w:styleId="ListNumber2">
    <w:name w:val="List Number 2"/>
    <w:basedOn w:val="List2"/>
    <w:rsid w:val="00675ED4"/>
    <w:pPr>
      <w:numPr>
        <w:numId w:val="10"/>
      </w:numPr>
      <w:tabs>
        <w:tab w:val="clear" w:pos="1060"/>
      </w:tabs>
    </w:pPr>
  </w:style>
  <w:style w:type="paragraph" w:customStyle="1" w:styleId="MarginNote">
    <w:name w:val="Margin Note"/>
    <w:basedOn w:val="BodyText"/>
    <w:rsid w:val="00675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5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5E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5ED4"/>
    <w:rPr>
      <w:sz w:val="32"/>
    </w:rPr>
  </w:style>
  <w:style w:type="paragraph" w:customStyle="1" w:styleId="HeadingProcedure">
    <w:name w:val="Heading Procedure"/>
    <w:basedOn w:val="HeadingBase"/>
    <w:next w:val="Normal"/>
    <w:rsid w:val="00675ED4"/>
    <w:pPr>
      <w:tabs>
        <w:tab w:val="left" w:pos="0"/>
      </w:tabs>
      <w:spacing w:before="120" w:after="60"/>
    </w:pPr>
    <w:rPr>
      <w:i/>
      <w:color w:val="918585"/>
      <w:sz w:val="22"/>
    </w:rPr>
  </w:style>
  <w:style w:type="paragraph" w:customStyle="1" w:styleId="TableBodyText">
    <w:name w:val="Table Body Text"/>
    <w:basedOn w:val="BodyText"/>
    <w:rsid w:val="00675ED4"/>
    <w:pPr>
      <w:spacing w:before="60" w:after="60"/>
    </w:pPr>
  </w:style>
  <w:style w:type="paragraph" w:styleId="ListContinue">
    <w:name w:val="List Continue"/>
    <w:basedOn w:val="List"/>
    <w:rsid w:val="00675ED4"/>
    <w:pPr>
      <w:ind w:firstLine="0"/>
    </w:pPr>
  </w:style>
  <w:style w:type="paragraph" w:customStyle="1" w:styleId="ListNote">
    <w:name w:val="List Note"/>
    <w:basedOn w:val="List"/>
    <w:rsid w:val="00675ED4"/>
    <w:pPr>
      <w:pBdr>
        <w:top w:val="single" w:sz="6" w:space="2" w:color="918585"/>
        <w:bottom w:val="single" w:sz="6" w:space="2" w:color="918585"/>
      </w:pBdr>
      <w:tabs>
        <w:tab w:val="left" w:pos="1021"/>
      </w:tabs>
      <w:ind w:firstLine="0"/>
    </w:pPr>
  </w:style>
  <w:style w:type="paragraph" w:customStyle="1" w:styleId="Warning">
    <w:name w:val="Warning"/>
    <w:basedOn w:val="BodyText"/>
    <w:rsid w:val="00675ED4"/>
    <w:pPr>
      <w:shd w:val="clear" w:color="auto" w:fill="D9D9D9"/>
      <w:tabs>
        <w:tab w:val="left" w:pos="992"/>
      </w:tabs>
      <w:ind w:left="119" w:right="119"/>
    </w:pPr>
    <w:rPr>
      <w:sz w:val="20"/>
    </w:rPr>
  </w:style>
  <w:style w:type="paragraph" w:customStyle="1" w:styleId="MarginIcons">
    <w:name w:val="Margin Icons"/>
    <w:basedOn w:val="BodyText"/>
    <w:rsid w:val="00675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5ED4"/>
    <w:rPr>
      <w:rFonts w:ascii="Courier New" w:hAnsi="Courier New"/>
    </w:rPr>
  </w:style>
  <w:style w:type="paragraph" w:customStyle="1" w:styleId="NoteBullet">
    <w:name w:val="Note Bullet"/>
    <w:basedOn w:val="Note"/>
    <w:rsid w:val="00675ED4"/>
    <w:pPr>
      <w:tabs>
        <w:tab w:val="clear" w:pos="680"/>
      </w:tabs>
      <w:spacing w:before="60" w:after="60"/>
    </w:pPr>
  </w:style>
  <w:style w:type="paragraph" w:customStyle="1" w:styleId="SubHeading2">
    <w:name w:val="SubHeading2"/>
    <w:basedOn w:val="HeadingBase"/>
    <w:rsid w:val="00675ED4"/>
    <w:pPr>
      <w:spacing w:before="240" w:after="60"/>
    </w:pPr>
    <w:rPr>
      <w:sz w:val="20"/>
    </w:rPr>
  </w:style>
  <w:style w:type="paragraph" w:customStyle="1" w:styleId="SubHeading1">
    <w:name w:val="SubHeading1"/>
    <w:basedOn w:val="HeadingBase"/>
    <w:rsid w:val="00675ED4"/>
    <w:pPr>
      <w:spacing w:before="240" w:after="60"/>
    </w:pPr>
    <w:rPr>
      <w:color w:val="918585"/>
      <w:sz w:val="22"/>
    </w:rPr>
  </w:style>
  <w:style w:type="paragraph" w:customStyle="1" w:styleId="SideHeading">
    <w:name w:val="Side Heading"/>
    <w:basedOn w:val="HeadingBase"/>
    <w:rsid w:val="00675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5ED4"/>
    <w:pPr>
      <w:numPr>
        <w:numId w:val="12"/>
      </w:numPr>
    </w:pPr>
  </w:style>
  <w:style w:type="paragraph" w:styleId="PlainText">
    <w:name w:val="Plain Text"/>
    <w:basedOn w:val="Normal"/>
    <w:link w:val="PlainTextChar"/>
    <w:rsid w:val="00675ED4"/>
    <w:rPr>
      <w:sz w:val="20"/>
    </w:rPr>
  </w:style>
  <w:style w:type="character" w:customStyle="1" w:styleId="PlainTextChar">
    <w:name w:val="Plain Text Char"/>
    <w:basedOn w:val="DefaultParagraphFont"/>
    <w:link w:val="PlainText"/>
    <w:rsid w:val="00675E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5ED4"/>
    <w:rPr>
      <w:b/>
      <w:smallCaps/>
    </w:rPr>
  </w:style>
  <w:style w:type="paragraph" w:customStyle="1" w:styleId="TableListNumber">
    <w:name w:val="Table List Number"/>
    <w:basedOn w:val="ListNumber"/>
    <w:rsid w:val="00675ED4"/>
    <w:pPr>
      <w:numPr>
        <w:numId w:val="0"/>
      </w:numPr>
    </w:pPr>
  </w:style>
  <w:style w:type="paragraph" w:styleId="TOC4">
    <w:name w:val="toc 4"/>
    <w:basedOn w:val="TOCBase"/>
    <w:next w:val="Normal"/>
    <w:semiHidden/>
    <w:rsid w:val="00675ED4"/>
    <w:pPr>
      <w:tabs>
        <w:tab w:val="right" w:leader="dot" w:pos="9071"/>
      </w:tabs>
      <w:ind w:left="1701"/>
    </w:pPr>
  </w:style>
  <w:style w:type="paragraph" w:customStyle="1" w:styleId="ListAlpha">
    <w:name w:val="List Alpha"/>
    <w:basedOn w:val="List"/>
    <w:rsid w:val="00675ED4"/>
    <w:pPr>
      <w:numPr>
        <w:numId w:val="9"/>
      </w:numPr>
    </w:pPr>
  </w:style>
  <w:style w:type="paragraph" w:customStyle="1" w:styleId="ListAlpha2">
    <w:name w:val="List Alpha 2"/>
    <w:basedOn w:val="List2"/>
    <w:rsid w:val="00675ED4"/>
    <w:pPr>
      <w:numPr>
        <w:numId w:val="8"/>
      </w:numPr>
    </w:pPr>
  </w:style>
  <w:style w:type="paragraph" w:styleId="List2">
    <w:name w:val="List 2"/>
    <w:basedOn w:val="BodyText"/>
    <w:rsid w:val="00675ED4"/>
    <w:pPr>
      <w:tabs>
        <w:tab w:val="left" w:pos="680"/>
      </w:tabs>
      <w:spacing w:before="60" w:after="60"/>
      <w:ind w:left="680" w:hanging="340"/>
    </w:pPr>
  </w:style>
  <w:style w:type="paragraph" w:styleId="List3">
    <w:name w:val="List 3"/>
    <w:basedOn w:val="BodyText"/>
    <w:rsid w:val="00675ED4"/>
    <w:pPr>
      <w:tabs>
        <w:tab w:val="left" w:pos="1021"/>
      </w:tabs>
      <w:spacing w:before="60" w:after="60"/>
      <w:ind w:left="1020" w:hanging="340"/>
    </w:pPr>
  </w:style>
  <w:style w:type="paragraph" w:styleId="List4">
    <w:name w:val="List 4"/>
    <w:basedOn w:val="BodyText"/>
    <w:rsid w:val="00675ED4"/>
    <w:pPr>
      <w:tabs>
        <w:tab w:val="left" w:pos="1361"/>
      </w:tabs>
      <w:spacing w:before="60" w:after="60"/>
      <w:ind w:left="1361" w:hanging="340"/>
    </w:pPr>
  </w:style>
  <w:style w:type="paragraph" w:styleId="List5">
    <w:name w:val="List 5"/>
    <w:basedOn w:val="BodyText"/>
    <w:rsid w:val="00675ED4"/>
    <w:pPr>
      <w:tabs>
        <w:tab w:val="left" w:pos="1701"/>
      </w:tabs>
      <w:spacing w:before="60" w:after="60"/>
      <w:ind w:left="1701" w:hanging="340"/>
    </w:pPr>
  </w:style>
  <w:style w:type="paragraph" w:styleId="ListBullet3">
    <w:name w:val="List Bullet 3"/>
    <w:basedOn w:val="List3"/>
    <w:rsid w:val="00675ED4"/>
    <w:pPr>
      <w:numPr>
        <w:numId w:val="15"/>
      </w:numPr>
      <w:tabs>
        <w:tab w:val="clear" w:pos="1021"/>
      </w:tabs>
      <w:ind w:left="1037" w:hanging="357"/>
    </w:pPr>
  </w:style>
  <w:style w:type="paragraph" w:styleId="ListBullet4">
    <w:name w:val="List Bullet 4"/>
    <w:basedOn w:val="List4"/>
    <w:rsid w:val="00675ED4"/>
    <w:pPr>
      <w:numPr>
        <w:numId w:val="3"/>
      </w:numPr>
    </w:pPr>
  </w:style>
  <w:style w:type="paragraph" w:styleId="ListBullet5">
    <w:name w:val="List Bullet 5"/>
    <w:basedOn w:val="List5"/>
    <w:rsid w:val="00675ED4"/>
    <w:pPr>
      <w:numPr>
        <w:numId w:val="4"/>
      </w:numPr>
    </w:pPr>
  </w:style>
  <w:style w:type="paragraph" w:styleId="ListContinue2">
    <w:name w:val="List Continue 2"/>
    <w:basedOn w:val="List2"/>
    <w:rsid w:val="00675ED4"/>
    <w:pPr>
      <w:ind w:firstLine="0"/>
    </w:pPr>
  </w:style>
  <w:style w:type="paragraph" w:styleId="ListContinue3">
    <w:name w:val="List Continue 3"/>
    <w:basedOn w:val="List3"/>
    <w:rsid w:val="00675ED4"/>
    <w:pPr>
      <w:ind w:left="1021" w:firstLine="0"/>
    </w:pPr>
  </w:style>
  <w:style w:type="paragraph" w:styleId="ListContinue4">
    <w:name w:val="List Continue 4"/>
    <w:basedOn w:val="List4"/>
    <w:rsid w:val="00675ED4"/>
    <w:pPr>
      <w:ind w:firstLine="0"/>
    </w:pPr>
  </w:style>
  <w:style w:type="paragraph" w:styleId="ListContinue5">
    <w:name w:val="List Continue 5"/>
    <w:basedOn w:val="List5"/>
    <w:rsid w:val="00675ED4"/>
    <w:pPr>
      <w:ind w:firstLine="0"/>
    </w:pPr>
  </w:style>
  <w:style w:type="paragraph" w:styleId="ListNumber3">
    <w:name w:val="List Number 3"/>
    <w:basedOn w:val="List3"/>
    <w:rsid w:val="00675ED4"/>
    <w:pPr>
      <w:numPr>
        <w:numId w:val="5"/>
      </w:numPr>
    </w:pPr>
  </w:style>
  <w:style w:type="paragraph" w:styleId="ListNumber4">
    <w:name w:val="List Number 4"/>
    <w:basedOn w:val="List4"/>
    <w:rsid w:val="00675ED4"/>
    <w:pPr>
      <w:numPr>
        <w:numId w:val="6"/>
      </w:numPr>
    </w:pPr>
  </w:style>
  <w:style w:type="paragraph" w:styleId="ListNumber5">
    <w:name w:val="List Number 5"/>
    <w:basedOn w:val="List5"/>
    <w:rsid w:val="00675ED4"/>
    <w:pPr>
      <w:numPr>
        <w:numId w:val="7"/>
      </w:numPr>
    </w:pPr>
  </w:style>
  <w:style w:type="paragraph" w:styleId="BlockText">
    <w:name w:val="Block Text"/>
    <w:basedOn w:val="Normal"/>
    <w:rsid w:val="00675ED4"/>
    <w:pPr>
      <w:spacing w:after="120"/>
      <w:ind w:left="1440" w:right="1440"/>
    </w:pPr>
  </w:style>
  <w:style w:type="character" w:customStyle="1" w:styleId="Subscript">
    <w:name w:val="Subscript"/>
    <w:basedOn w:val="DefaultParagraphFont"/>
    <w:rsid w:val="00675ED4"/>
    <w:rPr>
      <w:sz w:val="16"/>
      <w:vertAlign w:val="subscript"/>
    </w:rPr>
  </w:style>
  <w:style w:type="character" w:customStyle="1" w:styleId="Superscript">
    <w:name w:val="Superscript"/>
    <w:basedOn w:val="DefaultParagraphFont"/>
    <w:rsid w:val="00675ED4"/>
    <w:rPr>
      <w:sz w:val="16"/>
      <w:vertAlign w:val="superscript"/>
    </w:rPr>
  </w:style>
  <w:style w:type="character" w:customStyle="1" w:styleId="Symbols">
    <w:name w:val="Symbols"/>
    <w:basedOn w:val="DefaultParagraphFont"/>
    <w:rsid w:val="00675ED4"/>
    <w:rPr>
      <w:rFonts w:ascii="Symbol" w:hAnsi="Symbol"/>
    </w:rPr>
  </w:style>
  <w:style w:type="character" w:customStyle="1" w:styleId="MenuOptions">
    <w:name w:val="Menu Options"/>
    <w:basedOn w:val="DefaultParagraphFont"/>
    <w:rsid w:val="00675ED4"/>
    <w:rPr>
      <w:rFonts w:ascii="Arial Narrow" w:hAnsi="Arial Narrow"/>
      <w:smallCaps/>
    </w:rPr>
  </w:style>
  <w:style w:type="character" w:customStyle="1" w:styleId="Buttons">
    <w:name w:val="Buttons"/>
    <w:basedOn w:val="DefaultParagraphFont"/>
    <w:rsid w:val="00675ED4"/>
    <w:rPr>
      <w:b/>
    </w:rPr>
  </w:style>
  <w:style w:type="character" w:customStyle="1" w:styleId="Underlined">
    <w:name w:val="Underlined"/>
    <w:basedOn w:val="DefaultParagraphFont"/>
    <w:rsid w:val="00675ED4"/>
    <w:rPr>
      <w:u w:val="single"/>
    </w:rPr>
  </w:style>
  <w:style w:type="paragraph" w:customStyle="1" w:styleId="TableBodyTextRight">
    <w:name w:val="Table Body Text Right"/>
    <w:basedOn w:val="TableBodyText"/>
    <w:rsid w:val="00675ED4"/>
    <w:pPr>
      <w:widowControl w:val="0"/>
      <w:autoSpaceDE w:val="0"/>
      <w:autoSpaceDN w:val="0"/>
      <w:adjustRightInd w:val="0"/>
      <w:jc w:val="right"/>
    </w:pPr>
    <w:rPr>
      <w:rFonts w:cs="Arial"/>
      <w:szCs w:val="18"/>
    </w:rPr>
  </w:style>
  <w:style w:type="paragraph" w:customStyle="1" w:styleId="CopyrightText">
    <w:name w:val="Copyright Text"/>
    <w:basedOn w:val="BodyText"/>
    <w:rsid w:val="00675ED4"/>
    <w:rPr>
      <w:sz w:val="18"/>
    </w:rPr>
  </w:style>
  <w:style w:type="paragraph" w:customStyle="1" w:styleId="BodySmallRight">
    <w:name w:val="Body Small Right"/>
    <w:basedOn w:val="BodyTextRight"/>
    <w:rsid w:val="00675ED4"/>
    <w:rPr>
      <w:sz w:val="18"/>
      <w:szCs w:val="18"/>
    </w:rPr>
  </w:style>
  <w:style w:type="paragraph" w:customStyle="1" w:styleId="MarginEdition">
    <w:name w:val="Margin Edition"/>
    <w:basedOn w:val="MarginNote"/>
    <w:rsid w:val="00675ED4"/>
    <w:pPr>
      <w:spacing w:before="0" w:after="0"/>
    </w:pPr>
    <w:rPr>
      <w:rFonts w:ascii="Times New Roman" w:hAnsi="Times New Roman"/>
      <w:color w:val="999999"/>
    </w:rPr>
  </w:style>
  <w:style w:type="paragraph" w:customStyle="1" w:styleId="Spacer">
    <w:name w:val="Spacer"/>
    <w:basedOn w:val="Normal"/>
    <w:rsid w:val="00675ED4"/>
    <w:rPr>
      <w:sz w:val="2"/>
      <w:szCs w:val="2"/>
    </w:rPr>
  </w:style>
  <w:style w:type="character" w:customStyle="1" w:styleId="Small">
    <w:name w:val="Small"/>
    <w:basedOn w:val="DefaultParagraphFont"/>
    <w:rsid w:val="00675ED4"/>
    <w:rPr>
      <w:sz w:val="16"/>
    </w:rPr>
  </w:style>
  <w:style w:type="paragraph" w:customStyle="1" w:styleId="WideTable">
    <w:name w:val="Wide Table"/>
    <w:basedOn w:val="Normal"/>
    <w:rsid w:val="00675ED4"/>
    <w:pPr>
      <w:ind w:left="-1418"/>
    </w:pPr>
    <w:rPr>
      <w:sz w:val="2"/>
      <w:szCs w:val="2"/>
    </w:rPr>
  </w:style>
  <w:style w:type="character" w:styleId="PageNumber">
    <w:name w:val="page number"/>
    <w:basedOn w:val="DefaultParagraphFont"/>
    <w:rsid w:val="00675ED4"/>
  </w:style>
  <w:style w:type="paragraph" w:styleId="Quote">
    <w:name w:val="Quote"/>
    <w:basedOn w:val="Heading1"/>
    <w:link w:val="QuoteChar"/>
    <w:qFormat/>
    <w:rsid w:val="00675ED4"/>
    <w:rPr>
      <w:b w:val="0"/>
      <w:sz w:val="72"/>
      <w:szCs w:val="72"/>
      <w:lang w:val="en-NZ"/>
    </w:rPr>
  </w:style>
  <w:style w:type="character" w:customStyle="1" w:styleId="QuoteChar">
    <w:name w:val="Quote Char"/>
    <w:basedOn w:val="DefaultParagraphFont"/>
    <w:link w:val="Quote"/>
    <w:rsid w:val="00675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5ED4"/>
    <w:pPr>
      <w:pageBreakBefore/>
    </w:pPr>
  </w:style>
  <w:style w:type="paragraph" w:customStyle="1" w:styleId="Border">
    <w:name w:val="Border"/>
    <w:basedOn w:val="Normal"/>
    <w:qFormat/>
    <w:rsid w:val="00675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5ED4"/>
    <w:rPr>
      <w:b/>
      <w:bCs/>
      <w:i/>
      <w:iCs/>
      <w:color w:val="auto"/>
    </w:rPr>
  </w:style>
  <w:style w:type="paragraph" w:styleId="IntenseQuote">
    <w:name w:val="Intense Quote"/>
    <w:basedOn w:val="Normal"/>
    <w:next w:val="Normal"/>
    <w:link w:val="IntenseQuoteChar"/>
    <w:uiPriority w:val="30"/>
    <w:qFormat/>
    <w:rsid w:val="00675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5E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5ED4"/>
    <w:rPr>
      <w:smallCaps/>
      <w:color w:val="auto"/>
      <w:u w:val="single"/>
    </w:rPr>
  </w:style>
  <w:style w:type="character" w:styleId="IntenseReference">
    <w:name w:val="Intense Reference"/>
    <w:basedOn w:val="DefaultParagraphFont"/>
    <w:uiPriority w:val="32"/>
    <w:qFormat/>
    <w:rsid w:val="00675ED4"/>
    <w:rPr>
      <w:b/>
      <w:bCs/>
      <w:smallCaps/>
      <w:color w:val="auto"/>
      <w:spacing w:val="5"/>
      <w:u w:val="single"/>
    </w:rPr>
  </w:style>
  <w:style w:type="paragraph" w:customStyle="1" w:styleId="2ColumnHeading">
    <w:name w:val="2Column Heading"/>
    <w:basedOn w:val="BodyText"/>
    <w:qFormat/>
    <w:rsid w:val="00675ED4"/>
    <w:pPr>
      <w:spacing w:after="60"/>
      <w:ind w:left="-2268"/>
    </w:pPr>
    <w:rPr>
      <w:b/>
    </w:rPr>
  </w:style>
  <w:style w:type="paragraph" w:customStyle="1" w:styleId="Heading1TOC">
    <w:name w:val="Heading1 TOC"/>
    <w:basedOn w:val="Normal"/>
    <w:qFormat/>
    <w:rsid w:val="00675ED4"/>
    <w:pPr>
      <w:spacing w:before="240" w:after="120"/>
    </w:pPr>
    <w:rPr>
      <w:rFonts w:ascii="Times New Roman" w:hAnsi="Times New Roman"/>
      <w:b/>
      <w:sz w:val="32"/>
    </w:rPr>
  </w:style>
  <w:style w:type="paragraph" w:customStyle="1" w:styleId="Heading2TOC">
    <w:name w:val="Heading2 TOC"/>
    <w:basedOn w:val="Normal"/>
    <w:qFormat/>
    <w:rsid w:val="00675ED4"/>
    <w:pPr>
      <w:spacing w:before="240" w:after="60"/>
    </w:pPr>
    <w:rPr>
      <w:rFonts w:ascii="Times New Roman" w:hAnsi="Times New Roman"/>
      <w:b/>
      <w:sz w:val="28"/>
    </w:rPr>
  </w:style>
  <w:style w:type="character" w:customStyle="1" w:styleId="Underline">
    <w:name w:val="Underline"/>
    <w:basedOn w:val="DefaultParagraphFont"/>
    <w:qFormat/>
    <w:rsid w:val="00675ED4"/>
    <w:rPr>
      <w:u w:val="single"/>
    </w:rPr>
  </w:style>
  <w:style w:type="character" w:customStyle="1" w:styleId="BoldandItalics">
    <w:name w:val="Bold and Italics"/>
    <w:qFormat/>
    <w:rsid w:val="00675ED4"/>
    <w:rPr>
      <w:b/>
      <w:i/>
      <w:u w:val="none"/>
    </w:rPr>
  </w:style>
  <w:style w:type="paragraph" w:styleId="BalloonText">
    <w:name w:val="Balloon Text"/>
    <w:basedOn w:val="Normal"/>
    <w:link w:val="BalloonTextChar"/>
    <w:rsid w:val="00675ED4"/>
    <w:rPr>
      <w:rFonts w:ascii="Tahoma" w:hAnsi="Tahoma" w:cs="Tahoma"/>
      <w:sz w:val="16"/>
      <w:szCs w:val="16"/>
    </w:rPr>
  </w:style>
  <w:style w:type="character" w:customStyle="1" w:styleId="BalloonTextChar">
    <w:name w:val="Balloon Text Char"/>
    <w:basedOn w:val="DefaultParagraphFont"/>
    <w:link w:val="BalloonText"/>
    <w:rsid w:val="00675E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5E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5E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1248</Words>
  <Characters>8113</Characters>
  <Application>Microsoft Office Word</Application>
  <DocSecurity>0</DocSecurity>
  <Lines>325</Lines>
  <Paragraphs>183</Paragraphs>
  <ScaleCrop>false</ScaleCrop>
  <Company>Author-it Software Corporation Ltd.</Company>
  <LinksUpToDate>false</LinksUpToDate>
  <CharactersWithSpaces>9292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HLTDEFHC404B Conduct a clinical measurement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2012-05-26T03:56:00Z</dcterms:created>
  <dcterms:modified xsi:type="dcterms:W3CDTF">2012-05-26T03:56:00Z</dcterms:modified>
</cp:coreProperties>
</file>