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C64" w:rsidP="00B63C64">
      <w:pPr>
        <w:pStyle w:val="Title"/>
      </w:pPr>
      <w:r>
        <w:fldChar w:fldCharType="begin"/>
      </w:r>
      <w:r>
        <w:instrText xml:space="preserve"> TITLE   \* MERGEFORMAT </w:instrText>
      </w:r>
      <w:r>
        <w:fldChar w:fldCharType="separate"/>
      </w:r>
      <w:r>
        <w:t>HLTCC402B Complete highly complex clinical coding</w:t>
      </w:r>
      <w:r>
        <w:fldChar w:fldCharType="end"/>
      </w:r>
    </w:p>
    <w:p w:rsidR="00B63C64" w:rsidP="00B63C64">
      <w:pPr>
        <w:pStyle w:val="Version"/>
        <w:sectPr w:rsidSect="005857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7F9" w:rsidP="005857F9">
      <w:pPr>
        <w:pStyle w:val="SuperHeading"/>
      </w:pPr>
      <w:r w:rsidRPr="005857F9">
        <w:t>HLTCC402B Complete highly complex clinical coding</w:t>
      </w:r>
    </w:p>
    <w:p w:rsidR="00000000" w:rsidRPr="005857F9" w:rsidP="005857F9">
      <w:pPr>
        <w:pStyle w:val="Heading1"/>
      </w:pPr>
      <w:bookmarkStart w:id="1" w:name="O_271066"/>
      <w:bookmarkEnd w:id="1"/>
      <w:r w:rsidRPr="005857F9">
        <w:t>Modification History</w:t>
      </w:r>
    </w:p>
    <w:p w:rsidR="00000000" w:rsidRPr="005857F9" w:rsidP="005857F9">
      <w:pPr>
        <w:pStyle w:val="BodyText"/>
      </w:pPr>
      <w:r w:rsidRPr="005857F9">
        <w:t>Not Applicable</w:t>
      </w:r>
    </w:p>
    <w:p w:rsidR="00000000" w:rsidRPr="005857F9" w:rsidP="005857F9">
      <w:pPr>
        <w:pStyle w:val="AllowPageBreak"/>
      </w:pPr>
    </w:p>
    <w:p w:rsidR="00000000" w:rsidRPr="005857F9" w:rsidP="005857F9">
      <w:pPr>
        <w:pStyle w:val="Heading1"/>
      </w:pPr>
      <w:bookmarkStart w:id="2" w:name="O_205491"/>
      <w:bookmarkEnd w:id="2"/>
      <w:r w:rsidRPr="005857F9">
        <w:t>Unit Descriptor</w:t>
      </w:r>
    </w:p>
    <w:tbl>
      <w:tblPr>
        <w:tblW w:w="0" w:type="auto"/>
        <w:tblLayout w:type="fixed"/>
        <w:tblCellMar>
          <w:left w:w="62" w:type="dxa"/>
          <w:right w:w="62" w:type="dxa"/>
        </w:tblCellMar>
        <w:tblLook w:val="0000"/>
      </w:tblPr>
      <w:tblGrid>
        <w:gridCol w:w="3337"/>
        <w:gridCol w:w="5219"/>
      </w:tblGrid>
      <w:tr w:rsidTr="00B63C64">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t>This unit of competency describes the skills and knowledge required to complete coding of highly complex m</w:t>
            </w:r>
            <w:r w:rsidRPr="005857F9">
              <w:t>edical records with an advanced understanding of coding conventions, standards and practices in an extensive casemix</w:t>
            </w:r>
          </w:p>
        </w:tc>
      </w:tr>
    </w:tbl>
    <w:p w:rsidR="00B63C64" w:rsidP="005857F9">
      <w:pPr>
        <w:pStyle w:val="BodyText"/>
      </w:pPr>
    </w:p>
    <w:p w:rsidR="00B63C64" w:rsidP="005857F9">
      <w:pPr>
        <w:pStyle w:val="BodyText"/>
      </w:pPr>
    </w:p>
    <w:p w:rsidR="00000000" w:rsidRPr="005857F9" w:rsidP="005857F9">
      <w:pPr>
        <w:pStyle w:val="Heading1"/>
      </w:pPr>
      <w:bookmarkStart w:id="3" w:name="O_205494"/>
      <w:bookmarkEnd w:id="3"/>
      <w:r w:rsidRPr="005857F9">
        <w:t>Application of the Unit</w:t>
      </w:r>
    </w:p>
    <w:tbl>
      <w:tblPr>
        <w:tblW w:w="0" w:type="auto"/>
        <w:tblLayout w:type="fixed"/>
        <w:tblCellMar>
          <w:left w:w="62" w:type="dxa"/>
          <w:right w:w="62" w:type="dxa"/>
        </w:tblCellMar>
        <w:tblLook w:val="0000"/>
      </w:tblPr>
      <w:tblGrid>
        <w:gridCol w:w="3341"/>
        <w:gridCol w:w="5215"/>
      </w:tblGrid>
      <w:tr w:rsidTr="00B63C64">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t xml:space="preserve">Work performed requires independent application of a range of well developed skills where a high level of discretion and judgement is required </w:t>
            </w:r>
          </w:p>
          <w:p w:rsidR="00000000" w:rsidRPr="005857F9" w:rsidP="005857F9">
            <w:pPr>
              <w:pStyle w:val="BodyText"/>
            </w:pPr>
            <w:r w:rsidRPr="005857F9">
              <w:t>Individuals will take responsibility for their own outputs, as well as mentoring other clinical coders as requir</w:t>
            </w:r>
            <w:r w:rsidRPr="005857F9">
              <w:t>ed</w:t>
            </w:r>
          </w:p>
        </w:tc>
      </w:tr>
    </w:tbl>
    <w:p w:rsidR="00B63C64" w:rsidP="005857F9">
      <w:pPr>
        <w:pStyle w:val="BodyText"/>
      </w:pPr>
    </w:p>
    <w:p w:rsidR="00B63C64" w:rsidP="005857F9">
      <w:pPr>
        <w:pStyle w:val="BodyText"/>
      </w:pPr>
    </w:p>
    <w:p w:rsidR="00000000" w:rsidRPr="005857F9" w:rsidP="005857F9">
      <w:pPr>
        <w:pStyle w:val="Heading1"/>
      </w:pPr>
      <w:bookmarkStart w:id="4" w:name="O_279326"/>
      <w:bookmarkEnd w:id="4"/>
      <w:r w:rsidRPr="005857F9">
        <w:t>Licensing/Regulatory Information</w:t>
      </w:r>
    </w:p>
    <w:p w:rsidR="00000000" w:rsidRPr="005857F9" w:rsidP="005857F9">
      <w:pPr>
        <w:pStyle w:val="BodyText"/>
      </w:pPr>
      <w:r w:rsidRPr="005857F9">
        <w:t>Not Applicable</w:t>
      </w:r>
    </w:p>
    <w:p w:rsidR="00000000" w:rsidRPr="005857F9" w:rsidP="005857F9">
      <w:pPr>
        <w:pStyle w:val="AllowPageBreak"/>
      </w:pPr>
    </w:p>
    <w:p w:rsidR="00000000" w:rsidRPr="005857F9" w:rsidP="005857F9">
      <w:pPr>
        <w:pStyle w:val="Heading1"/>
      </w:pPr>
      <w:bookmarkStart w:id="5" w:name="O_205493"/>
      <w:bookmarkEnd w:id="5"/>
      <w:r w:rsidRPr="005857F9">
        <w:t>Pre-Requisites</w:t>
      </w:r>
    </w:p>
    <w:tbl>
      <w:tblPr>
        <w:tblW w:w="0" w:type="auto"/>
        <w:tblLayout w:type="fixed"/>
        <w:tblCellMar>
          <w:left w:w="62" w:type="dxa"/>
          <w:right w:w="62" w:type="dxa"/>
        </w:tblCellMar>
        <w:tblLook w:val="0000"/>
      </w:tblPr>
      <w:tblGrid>
        <w:gridCol w:w="3219"/>
        <w:gridCol w:w="5337"/>
      </w:tblGrid>
      <w:tr w:rsidTr="00B63C64">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SpecialBold"/>
              </w:rPr>
              <w:t>Pre-requisite unit</w:t>
            </w:r>
          </w:p>
        </w:tc>
        <w:tc>
          <w:tcPr>
            <w:tcW w:w="5337"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t>This unit must be assessed after successful achievement of pre-requisite and extensive clinical coding work experience:</w:t>
            </w:r>
          </w:p>
          <w:p w:rsidR="00000000" w:rsidRPr="005857F9" w:rsidP="005857F9">
            <w:pPr>
              <w:pStyle w:val="ListBullet"/>
            </w:pPr>
            <w:r w:rsidRPr="005857F9">
              <w:t>HLTCC401B Undertake complex clinical coding</w:t>
            </w:r>
          </w:p>
        </w:tc>
      </w:tr>
    </w:tbl>
    <w:p w:rsidR="00B63C64" w:rsidP="005857F9">
      <w:pPr>
        <w:pStyle w:val="BodyText"/>
      </w:pPr>
    </w:p>
    <w:p w:rsidR="00B63C64" w:rsidP="005857F9">
      <w:pPr>
        <w:pStyle w:val="BodyText"/>
      </w:pPr>
    </w:p>
    <w:p w:rsidR="00000000" w:rsidRPr="005857F9" w:rsidP="005857F9">
      <w:pPr>
        <w:pStyle w:val="Heading1"/>
      </w:pPr>
      <w:bookmarkStart w:id="6" w:name="O_205492"/>
      <w:bookmarkEnd w:id="6"/>
      <w:r w:rsidRPr="005857F9">
        <w:t>Employability Skills Information</w:t>
      </w:r>
    </w:p>
    <w:tbl>
      <w:tblPr>
        <w:tblW w:w="0" w:type="auto"/>
        <w:tblLayout w:type="fixed"/>
        <w:tblCellMar>
          <w:left w:w="62" w:type="dxa"/>
          <w:right w:w="62" w:type="dxa"/>
        </w:tblCellMar>
        <w:tblLook w:val="0000"/>
      </w:tblPr>
      <w:tblGrid>
        <w:gridCol w:w="3320"/>
        <w:gridCol w:w="5236"/>
      </w:tblGrid>
      <w:tr w:rsidTr="00B63C6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t>This unit contains Employability Skills</w:t>
            </w:r>
          </w:p>
        </w:tc>
      </w:tr>
    </w:tbl>
    <w:p w:rsidR="00B63C64" w:rsidP="005857F9">
      <w:pPr>
        <w:pStyle w:val="BodyText"/>
      </w:pPr>
    </w:p>
    <w:p w:rsidR="00B63C64" w:rsidP="005857F9">
      <w:pPr>
        <w:pStyle w:val="BodyText"/>
      </w:pPr>
    </w:p>
    <w:p w:rsidR="00000000" w:rsidRPr="005857F9" w:rsidP="005857F9">
      <w:pPr>
        <w:pStyle w:val="Heading1"/>
      </w:pPr>
      <w:bookmarkStart w:id="7" w:name="O_289112"/>
      <w:bookmarkEnd w:id="7"/>
      <w:r w:rsidRPr="005857F9">
        <w:t>Elements and Performance Criteria Pre-Content</w:t>
      </w:r>
    </w:p>
    <w:tbl>
      <w:tblPr>
        <w:tblW w:w="0" w:type="auto"/>
        <w:tblLayout w:type="fixed"/>
        <w:tblCellMar>
          <w:left w:w="62" w:type="dxa"/>
          <w:right w:w="62" w:type="dxa"/>
        </w:tblCellMar>
        <w:tblLook w:val="0000"/>
      </w:tblPr>
      <w:tblGrid>
        <w:gridCol w:w="3369"/>
        <w:gridCol w:w="5702"/>
      </w:tblGrid>
      <w:tr w:rsidTr="00B63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t xml:space="preserve">The Performance Criteria specify the level of performance required to demonstrate achievement of the Element. Terms in italics are elaborated in the Range Statement. </w:t>
            </w:r>
          </w:p>
        </w:tc>
      </w:tr>
    </w:tbl>
    <w:p w:rsidR="00000000" w:rsidRPr="005857F9" w:rsidP="005857F9">
      <w:pPr>
        <w:pStyle w:val="BodyText"/>
      </w:pPr>
    </w:p>
    <w:p w:rsidR="00000000" w:rsidRPr="005857F9" w:rsidP="005857F9">
      <w:pPr>
        <w:pStyle w:val="AllowPageBreak"/>
      </w:pPr>
    </w:p>
    <w:p w:rsidR="00000000" w:rsidRPr="005857F9" w:rsidP="005857F9">
      <w:pPr>
        <w:pStyle w:val="Heading1"/>
      </w:pPr>
      <w:bookmarkStart w:id="8" w:name="O_235779"/>
      <w:bookmarkEnd w:id="8"/>
      <w:r w:rsidRPr="005857F9">
        <w:t>Elemen</w:t>
      </w:r>
      <w:r w:rsidRPr="005857F9">
        <w:t>ts and Performance Criteria</w:t>
      </w:r>
    </w:p>
    <w:tbl>
      <w:tblPr>
        <w:tblW w:w="0" w:type="auto"/>
        <w:tblLayout w:type="fixed"/>
        <w:tblCellMar>
          <w:left w:w="62" w:type="dxa"/>
          <w:right w:w="62" w:type="dxa"/>
        </w:tblCellMar>
        <w:tblLook w:val="0000"/>
      </w:tblPr>
      <w:tblGrid>
        <w:gridCol w:w="3369"/>
        <w:gridCol w:w="5702"/>
      </w:tblGrid>
      <w:tr w:rsidTr="00B63C6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SpecialBold"/>
              </w:rPr>
              <w:t>PERFORMANCE CRITERIA</w:t>
            </w:r>
          </w:p>
        </w:tc>
      </w:tr>
      <w:tr w:rsidTr="00B63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57F9">
            <w:pPr>
              <w:pStyle w:val="List"/>
              <w:rPr>
                <w:lang w:val="en-NZ"/>
              </w:rPr>
            </w:pPr>
            <w:r w:rsidRPr="005857F9">
              <w:t>1.</w:t>
            </w:r>
            <w:r w:rsidRPr="005857F9">
              <w:tab/>
              <w:t xml:space="preserve">Abstract clinical data from </w:t>
            </w:r>
            <w:r w:rsidRPr="005857F9">
              <w:rPr>
                <w:rStyle w:val="Emphasis"/>
              </w:rPr>
              <w:t>highly complex medical records</w:t>
            </w:r>
          </w:p>
        </w:tc>
        <w:tc>
          <w:tcPr>
            <w:tcW w:w="5702"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t>1.1</w:t>
            </w:r>
            <w:r w:rsidRPr="005857F9">
              <w:tab/>
              <w:t>Abstract appropriate conditions/diseases and procedures from highly complex medical records from a range of specialties</w:t>
            </w:r>
          </w:p>
          <w:p w:rsidR="00000000" w:rsidRPr="005857F9" w:rsidP="005857F9">
            <w:pPr>
              <w:pStyle w:val="BodyText"/>
            </w:pPr>
            <w:r w:rsidRPr="005857F9">
              <w:t>1.2</w:t>
            </w:r>
            <w:r w:rsidRPr="005857F9">
              <w:tab/>
            </w:r>
            <w:r w:rsidRPr="005857F9">
              <w:t>Interpret and apply the Australian National Coding Standards to ensure correct assignment of codes from a varied and highly complex casemix</w:t>
            </w:r>
          </w:p>
          <w:p w:rsidR="00000000" w:rsidRPr="005857F9" w:rsidP="005857F9">
            <w:pPr>
              <w:pStyle w:val="BodyText"/>
            </w:pPr>
            <w:r w:rsidRPr="005857F9">
              <w:t>1.3</w:t>
            </w:r>
            <w:r w:rsidRPr="005857F9">
              <w:tab/>
              <w:t>Identify the principal diagnosis and principal procedure for an admission when coding a varied and highly comple</w:t>
            </w:r>
            <w:r w:rsidRPr="005857F9">
              <w:t>x casemix</w:t>
            </w:r>
          </w:p>
          <w:p w:rsidR="00000000" w:rsidP="005857F9">
            <w:pPr>
              <w:pStyle w:val="BodyText"/>
              <w:rPr>
                <w:lang w:val="en-NZ"/>
              </w:rPr>
            </w:pPr>
            <w:r w:rsidRPr="005857F9">
              <w:t>1.4</w:t>
            </w:r>
            <w:r w:rsidRPr="005857F9">
              <w:tab/>
              <w:t xml:space="preserve">Where appropriate, identify additional diagnoses and procedures when coding a varied and highly complex casemix </w:t>
            </w:r>
          </w:p>
        </w:tc>
      </w:tr>
      <w:tr w:rsidTr="00B63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57F9">
            <w:pPr>
              <w:pStyle w:val="List"/>
              <w:rPr>
                <w:lang w:val="en-NZ"/>
              </w:rPr>
            </w:pPr>
            <w:r w:rsidRPr="005857F9">
              <w:t>2.</w:t>
            </w:r>
            <w:r w:rsidRPr="005857F9">
              <w:tab/>
              <w:t>Assign codes relating to highly complex medical records</w:t>
            </w:r>
          </w:p>
        </w:tc>
        <w:tc>
          <w:tcPr>
            <w:tcW w:w="5702"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t>2.1</w:t>
            </w:r>
            <w:r w:rsidRPr="005857F9">
              <w:tab/>
              <w:t>Perform clinical coding on a broad casemix, utilising knowledg</w:t>
            </w:r>
            <w:r w:rsidRPr="005857F9">
              <w:t xml:space="preserve">e of medical science and applying ICD-10-AM, ACHI and ACS new edition changes </w:t>
            </w:r>
          </w:p>
          <w:p w:rsidR="00000000" w:rsidRPr="005857F9" w:rsidP="005857F9">
            <w:pPr>
              <w:pStyle w:val="BodyText"/>
            </w:pPr>
            <w:r w:rsidRPr="005857F9">
              <w:t>2.2</w:t>
            </w:r>
            <w:r w:rsidRPr="005857F9">
              <w:tab/>
              <w:t>Apply Australian National Coding Standards where appropriate, to ensure the correct assignment of codes when coding from highly complex medical records for a range of specia</w:t>
            </w:r>
            <w:r w:rsidRPr="005857F9">
              <w:t>lties</w:t>
            </w:r>
          </w:p>
          <w:p w:rsidR="00000000" w:rsidRPr="005857F9" w:rsidP="005857F9">
            <w:pPr>
              <w:pStyle w:val="BodyText"/>
            </w:pPr>
            <w:r w:rsidRPr="005857F9">
              <w:t>2.3</w:t>
            </w:r>
            <w:r w:rsidRPr="005857F9">
              <w:tab/>
              <w:t xml:space="preserve">Assign complete and accurate ICD-10-AM </w:t>
            </w:r>
            <w:r w:rsidRPr="005857F9">
              <w:rPr>
                <w:rStyle w:val="Emphasis"/>
              </w:rPr>
              <w:t>disease and ACHI procedure codes</w:t>
            </w:r>
            <w:r w:rsidRPr="005857F9">
              <w:t xml:space="preserve"> abstracted from a varied and highly complex casemix</w:t>
            </w:r>
          </w:p>
          <w:p w:rsidR="00000000" w:rsidRPr="005857F9" w:rsidP="005857F9">
            <w:pPr>
              <w:pStyle w:val="BodyText"/>
            </w:pPr>
            <w:r w:rsidRPr="005857F9">
              <w:t>2.4</w:t>
            </w:r>
            <w:r w:rsidRPr="005857F9">
              <w:tab/>
              <w:t xml:space="preserve">Utilise appropriate </w:t>
            </w:r>
            <w:r w:rsidRPr="005857F9">
              <w:rPr>
                <w:rStyle w:val="Emphasis"/>
              </w:rPr>
              <w:t>resources</w:t>
            </w:r>
            <w:r w:rsidRPr="005857F9">
              <w:t xml:space="preserve"> to make informed coding decisions relating to highly complex medical records</w:t>
            </w:r>
          </w:p>
          <w:p w:rsidR="00000000" w:rsidRPr="005857F9" w:rsidP="005857F9">
            <w:pPr>
              <w:pStyle w:val="BodyText"/>
            </w:pPr>
            <w:r w:rsidRPr="005857F9">
              <w:t>2.5</w:t>
            </w:r>
            <w:r w:rsidRPr="005857F9">
              <w:tab/>
            </w:r>
            <w:r w:rsidRPr="005857F9">
              <w:t>Ensure coding reflects the correct sequencing of diagnoses and procedures</w:t>
            </w:r>
          </w:p>
          <w:p w:rsidR="00000000" w:rsidRPr="005857F9" w:rsidP="005857F9">
            <w:pPr>
              <w:pStyle w:val="BodyText"/>
            </w:pPr>
            <w:r w:rsidRPr="005857F9">
              <w:t>2.6</w:t>
            </w:r>
            <w:r w:rsidRPr="005857F9">
              <w:tab/>
              <w:t>Identify coding issues and determine appropriate solutions</w:t>
            </w:r>
          </w:p>
          <w:p w:rsidR="00000000" w:rsidRPr="005857F9" w:rsidP="005857F9">
            <w:pPr>
              <w:pStyle w:val="BodyText"/>
            </w:pPr>
            <w:r w:rsidRPr="005857F9">
              <w:t>2.7</w:t>
            </w:r>
            <w:r w:rsidRPr="005857F9">
              <w:tab/>
              <w:t>Complete the process of assigning the correct codes from highly complex medical records within appropriate timefram</w:t>
            </w:r>
            <w:r w:rsidRPr="005857F9">
              <w:t>es</w:t>
            </w:r>
          </w:p>
          <w:p w:rsidR="00000000" w:rsidRPr="005857F9" w:rsidP="005857F9">
            <w:pPr>
              <w:pStyle w:val="BodyText"/>
            </w:pPr>
            <w:r w:rsidRPr="005857F9">
              <w:t>2.8</w:t>
            </w:r>
            <w:r w:rsidRPr="005857F9">
              <w:tab/>
              <w:t>Maintain confidentiality of medical records and client information at all times</w:t>
            </w:r>
          </w:p>
          <w:p w:rsidR="00000000" w:rsidP="005857F9">
            <w:pPr>
              <w:pStyle w:val="BodyText"/>
              <w:rPr>
                <w:lang w:val="en-NZ"/>
              </w:rPr>
            </w:pPr>
            <w:r w:rsidRPr="005857F9">
              <w:t>2.9</w:t>
            </w:r>
            <w:r w:rsidRPr="005857F9">
              <w:tab/>
              <w:t>Meet occupational health and safety duty of care requirements</w:t>
            </w:r>
          </w:p>
        </w:tc>
      </w:tr>
      <w:tr w:rsidTr="00B63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57F9">
            <w:pPr>
              <w:pStyle w:val="List"/>
              <w:rPr>
                <w:lang w:val="en-NZ"/>
              </w:rPr>
            </w:pPr>
            <w:r w:rsidRPr="005857F9">
              <w:t>3.</w:t>
            </w:r>
            <w:r w:rsidRPr="005857F9">
              <w:tab/>
              <w:t>Provide clinical coding expertise in the workplace</w:t>
            </w:r>
          </w:p>
        </w:tc>
        <w:tc>
          <w:tcPr>
            <w:tcW w:w="5702"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t>3.1</w:t>
            </w:r>
            <w:r w:rsidRPr="005857F9">
              <w:tab/>
              <w:t>Add value to discussions regarding clinic</w:t>
            </w:r>
            <w:r w:rsidRPr="005857F9">
              <w:t>al coding within the coding unit</w:t>
            </w:r>
          </w:p>
          <w:p w:rsidR="00000000" w:rsidRPr="005857F9" w:rsidP="005857F9">
            <w:pPr>
              <w:pStyle w:val="BodyText"/>
            </w:pPr>
            <w:r w:rsidRPr="005857F9">
              <w:t>3.2</w:t>
            </w:r>
            <w:r w:rsidRPr="005857F9">
              <w:tab/>
              <w:t>Provide mentoring support for entry level clinical coders</w:t>
            </w:r>
          </w:p>
          <w:p w:rsidR="00000000" w:rsidRPr="005857F9" w:rsidP="005857F9">
            <w:pPr>
              <w:pStyle w:val="BodyText"/>
            </w:pPr>
            <w:r w:rsidRPr="005857F9">
              <w:t>3.3</w:t>
            </w:r>
            <w:r w:rsidRPr="005857F9">
              <w:tab/>
              <w:t>Supervise an entry level clinical coder and select appropriate medical records for them</w:t>
            </w:r>
          </w:p>
          <w:p w:rsidR="00000000" w:rsidRPr="005857F9" w:rsidP="005857F9">
            <w:pPr>
              <w:pStyle w:val="BodyText"/>
            </w:pPr>
            <w:r w:rsidRPr="005857F9">
              <w:t>3.4</w:t>
            </w:r>
            <w:r w:rsidRPr="005857F9">
              <w:tab/>
              <w:t>Follow up with clinicians regarding ambiguities in documentation,</w:t>
            </w:r>
            <w:r w:rsidRPr="005857F9">
              <w:t xml:space="preserve"> where required</w:t>
            </w:r>
          </w:p>
          <w:p w:rsidR="00000000" w:rsidP="005857F9">
            <w:pPr>
              <w:pStyle w:val="BodyText"/>
              <w:rPr>
                <w:lang w:val="en-NZ"/>
              </w:rPr>
            </w:pPr>
            <w:r w:rsidRPr="005857F9">
              <w:t>3.5</w:t>
            </w:r>
            <w:r w:rsidRPr="005857F9">
              <w:tab/>
              <w:t>Conduct research using appropriate materials/ resources and or clinical input to generate solutions to address clinical coding issues</w:t>
            </w:r>
          </w:p>
        </w:tc>
      </w:tr>
      <w:tr w:rsidTr="00B63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57F9">
            <w:pPr>
              <w:pStyle w:val="List"/>
              <w:rPr>
                <w:lang w:val="en-NZ"/>
              </w:rPr>
            </w:pPr>
            <w:r w:rsidRPr="005857F9">
              <w:t>4.</w:t>
            </w:r>
            <w:r w:rsidRPr="005857F9">
              <w:tab/>
              <w:t>Maintain currency of data collection and coding</w:t>
            </w:r>
          </w:p>
        </w:tc>
        <w:tc>
          <w:tcPr>
            <w:tcW w:w="5702"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t>4.1</w:t>
            </w:r>
            <w:r w:rsidRPr="005857F9">
              <w:tab/>
              <w:t xml:space="preserve">Record, enter, edit and maintain a </w:t>
            </w:r>
            <w:r w:rsidRPr="005857F9">
              <w:rPr>
                <w:rStyle w:val="Emphasis"/>
              </w:rPr>
              <w:t>client information system</w:t>
            </w:r>
            <w:r w:rsidRPr="005857F9">
              <w:t xml:space="preserve"> of coded data (disease index)</w:t>
            </w:r>
          </w:p>
          <w:p w:rsidR="00000000" w:rsidRPr="005857F9" w:rsidP="005857F9">
            <w:pPr>
              <w:pStyle w:val="BodyText"/>
            </w:pPr>
            <w:r w:rsidRPr="005857F9">
              <w:t>4.2</w:t>
            </w:r>
            <w:r w:rsidRPr="005857F9">
              <w:tab/>
              <w:t>Secure and interpret changes to data collection and coding requirements, according to relevant standards, protocols and legislation</w:t>
            </w:r>
          </w:p>
          <w:p w:rsidR="00000000" w:rsidRPr="005857F9" w:rsidP="005857F9">
            <w:pPr>
              <w:pStyle w:val="BodyText"/>
            </w:pPr>
            <w:r w:rsidRPr="005857F9">
              <w:t>4.3</w:t>
            </w:r>
            <w:r w:rsidRPr="005857F9">
              <w:tab/>
              <w:t xml:space="preserve">Identify necessary amendments to data collection and coding </w:t>
            </w:r>
            <w:r w:rsidRPr="005857F9">
              <w:t>activities</w:t>
            </w:r>
          </w:p>
          <w:p w:rsidR="00000000" w:rsidRPr="005857F9" w:rsidP="005857F9">
            <w:pPr>
              <w:pStyle w:val="BodyText"/>
            </w:pPr>
            <w:r w:rsidRPr="005857F9">
              <w:t>4.4</w:t>
            </w:r>
            <w:r w:rsidRPr="005857F9">
              <w:tab/>
              <w:t>Provide necessary information and training to ensure that amendments are implemented with maximum ease</w:t>
            </w:r>
          </w:p>
          <w:p w:rsidR="00000000" w:rsidRPr="005857F9" w:rsidP="005857F9">
            <w:pPr>
              <w:pStyle w:val="BodyText"/>
            </w:pPr>
            <w:r w:rsidRPr="005857F9">
              <w:t>4.5</w:t>
            </w:r>
            <w:r w:rsidRPr="005857F9">
              <w:tab/>
              <w:t>Ensure computer software is updated to meet any adjustment needs</w:t>
            </w:r>
          </w:p>
          <w:p w:rsidR="00000000" w:rsidP="005857F9">
            <w:pPr>
              <w:pStyle w:val="BodyText"/>
              <w:rPr>
                <w:lang w:val="en-NZ"/>
              </w:rPr>
            </w:pPr>
            <w:r w:rsidRPr="005857F9">
              <w:t>4.6</w:t>
            </w:r>
            <w:r w:rsidRPr="005857F9">
              <w:tab/>
              <w:t>Monitor the implementation of amendments</w:t>
            </w:r>
          </w:p>
        </w:tc>
      </w:tr>
      <w:tr w:rsidTr="00B63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857F9" w:rsidP="005857F9">
            <w:pPr>
              <w:pStyle w:val="BodyText"/>
            </w:pPr>
          </w:p>
        </w:tc>
      </w:tr>
    </w:tbl>
    <w:p w:rsidR="00B63C64" w:rsidP="005857F9">
      <w:pPr>
        <w:pStyle w:val="BodyText"/>
      </w:pPr>
    </w:p>
    <w:p w:rsidR="00B63C64" w:rsidP="005857F9">
      <w:pPr>
        <w:pStyle w:val="BodyText"/>
      </w:pPr>
    </w:p>
    <w:p w:rsidR="00000000" w:rsidRPr="005857F9" w:rsidP="005857F9">
      <w:pPr>
        <w:pStyle w:val="Heading1"/>
      </w:pPr>
      <w:bookmarkStart w:id="9" w:name="O_259729"/>
      <w:bookmarkEnd w:id="9"/>
      <w:r w:rsidRPr="005857F9">
        <w:t>Required Skills and Knowledge</w:t>
      </w:r>
    </w:p>
    <w:tbl>
      <w:tblPr>
        <w:tblW w:w="0" w:type="auto"/>
        <w:tblLayout w:type="fixed"/>
        <w:tblCellMar>
          <w:left w:w="62" w:type="dxa"/>
          <w:right w:w="62" w:type="dxa"/>
        </w:tblCellMar>
        <w:tblLook w:val="0000"/>
      </w:tblPr>
      <w:tblGrid>
        <w:gridCol w:w="9072"/>
      </w:tblGrid>
      <w:tr w:rsidTr="00B63C6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SpecialBold"/>
              </w:rPr>
              <w:t>REQUIRED SKILLS AND KNOWLEDGE</w:t>
            </w:r>
          </w:p>
        </w:tc>
      </w:tr>
      <w:tr w:rsidTr="00B63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t>This describes the essential skills and knowledge and their level required for this unit.</w:t>
            </w:r>
          </w:p>
        </w:tc>
      </w:tr>
      <w:tr w:rsidTr="00B63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rPr>
                <w:rStyle w:val="Emphasis"/>
              </w:rPr>
              <w:t>Essential knowledge</w:t>
            </w:r>
            <w:r w:rsidRPr="005857F9">
              <w:t>:</w:t>
            </w:r>
          </w:p>
          <w:p w:rsidR="00000000" w:rsidRPr="005857F9" w:rsidP="005857F9">
            <w:pPr>
              <w:pStyle w:val="BodyText"/>
            </w:pPr>
            <w:r w:rsidRPr="005857F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857F9" w:rsidP="005857F9">
            <w:pPr>
              <w:pStyle w:val="BodyText"/>
            </w:pPr>
            <w:r w:rsidRPr="005857F9">
              <w:t xml:space="preserve">This includes </w:t>
            </w:r>
            <w:r w:rsidRPr="005857F9">
              <w:t>knowledge of:</w:t>
            </w:r>
          </w:p>
          <w:p w:rsidR="00000000" w:rsidRPr="005857F9" w:rsidP="005857F9">
            <w:pPr>
              <w:pStyle w:val="ListBullet"/>
            </w:pPr>
            <w:r w:rsidRPr="005857F9">
              <w:t>Advanced knowledge of Australian and relevant State/Territory clinical coding conventions, standards and practices</w:t>
            </w:r>
          </w:p>
          <w:p w:rsidR="00000000" w:rsidRPr="005857F9" w:rsidP="005857F9">
            <w:pPr>
              <w:pStyle w:val="ListBullet"/>
            </w:pPr>
            <w:r w:rsidRPr="005857F9">
              <w:t>Appropriate legislation</w:t>
            </w:r>
          </w:p>
          <w:p w:rsidR="00000000" w:rsidRPr="005857F9" w:rsidP="005857F9">
            <w:pPr>
              <w:pStyle w:val="ListBullet"/>
            </w:pPr>
            <w:r w:rsidRPr="005857F9">
              <w:t>Application of professional ethics in clinical coding</w:t>
            </w:r>
          </w:p>
          <w:p w:rsidR="00000000" w:rsidRPr="005857F9" w:rsidP="005857F9">
            <w:pPr>
              <w:pStyle w:val="ListBullet"/>
            </w:pPr>
            <w:r w:rsidRPr="005857F9">
              <w:t>Classifications and nomenclature used to achieve accurate clinical coding</w:t>
            </w:r>
          </w:p>
          <w:p w:rsidR="00000000" w:rsidRPr="005857F9" w:rsidP="005857F9">
            <w:pPr>
              <w:pStyle w:val="ListBullet"/>
            </w:pPr>
            <w:r w:rsidRPr="005857F9">
              <w:t>Clinical data indexing, storage and mapping from clinical terms of classifications</w:t>
            </w:r>
          </w:p>
          <w:p w:rsidR="00000000" w:rsidRPr="005857F9" w:rsidP="005857F9">
            <w:pPr>
              <w:pStyle w:val="ListBullet"/>
            </w:pPr>
            <w:r w:rsidRPr="005857F9">
              <w:t>Coding factors influencing health status</w:t>
            </w:r>
          </w:p>
          <w:p w:rsidR="00000000" w:rsidRPr="005857F9" w:rsidP="005857F9">
            <w:pPr>
              <w:pStyle w:val="ListBullet"/>
            </w:pPr>
            <w:r w:rsidRPr="005857F9">
              <w:t>Coding relating to:</w:t>
            </w:r>
          </w:p>
          <w:p w:rsidR="00000000" w:rsidRPr="005857F9" w:rsidP="005857F9">
            <w:pPr>
              <w:pStyle w:val="ListBullet2"/>
            </w:pPr>
            <w:r w:rsidRPr="005857F9">
              <w:t>circulatory system</w:t>
            </w:r>
          </w:p>
          <w:p w:rsidR="00000000" w:rsidRPr="005857F9" w:rsidP="005857F9">
            <w:pPr>
              <w:pStyle w:val="ListBullet2"/>
            </w:pPr>
            <w:r w:rsidRPr="005857F9">
              <w:t>dermatology and pl</w:t>
            </w:r>
            <w:r w:rsidRPr="005857F9">
              <w:t>astic surgery</w:t>
            </w:r>
          </w:p>
          <w:p w:rsidR="00000000" w:rsidRPr="005857F9" w:rsidP="005857F9">
            <w:pPr>
              <w:pStyle w:val="ListBullet2"/>
            </w:pPr>
            <w:r w:rsidRPr="005857F9">
              <w:t>drugs, alcohol and mental health</w:t>
            </w:r>
          </w:p>
          <w:p w:rsidR="00000000" w:rsidRPr="005857F9" w:rsidP="005857F9">
            <w:pPr>
              <w:pStyle w:val="ListBullet2"/>
            </w:pPr>
            <w:r w:rsidRPr="005857F9">
              <w:t>ear, nose, throat and dental</w:t>
            </w:r>
          </w:p>
          <w:p w:rsidR="00000000" w:rsidRPr="005857F9" w:rsidP="005857F9">
            <w:pPr>
              <w:pStyle w:val="ListBullet2"/>
            </w:pPr>
            <w:r w:rsidRPr="005857F9">
              <w:t>endocrine system</w:t>
            </w:r>
          </w:p>
          <w:p w:rsidR="00000000" w:rsidRPr="005857F9" w:rsidP="005857F9">
            <w:pPr>
              <w:pStyle w:val="ListBullet2"/>
            </w:pPr>
            <w:r w:rsidRPr="005857F9">
              <w:t>gastrointestinal and hepatobiliary systems</w:t>
            </w:r>
          </w:p>
          <w:p w:rsidR="00000000" w:rsidRPr="005857F9" w:rsidP="005857F9">
            <w:pPr>
              <w:pStyle w:val="ListBullet2"/>
            </w:pPr>
            <w:r w:rsidRPr="005857F9">
              <w:t>genitourinary system</w:t>
            </w:r>
          </w:p>
          <w:p w:rsidR="00000000" w:rsidRPr="005857F9" w:rsidP="005857F9">
            <w:pPr>
              <w:pStyle w:val="ListBullet2"/>
            </w:pPr>
            <w:r w:rsidRPr="005857F9">
              <w:t>haemotology</w:t>
            </w:r>
          </w:p>
          <w:p w:rsidR="00000000" w:rsidRPr="005857F9" w:rsidP="005857F9">
            <w:pPr>
              <w:pStyle w:val="ListBullet2"/>
            </w:pPr>
            <w:r w:rsidRPr="005857F9">
              <w:t>immunology and infectious diseases</w:t>
            </w:r>
          </w:p>
          <w:p w:rsidR="00000000" w:rsidRPr="005857F9" w:rsidP="005857F9">
            <w:pPr>
              <w:pStyle w:val="ListBullet2"/>
            </w:pPr>
            <w:r w:rsidRPr="005857F9">
              <w:t>neonatology and paediatrics</w:t>
            </w:r>
          </w:p>
          <w:p w:rsidR="00000000" w:rsidRPr="005857F9" w:rsidP="005857F9">
            <w:pPr>
              <w:pStyle w:val="ListBullet2"/>
            </w:pPr>
            <w:r w:rsidRPr="005857F9">
              <w:t>neu</w:t>
            </w:r>
            <w:r w:rsidRPr="005857F9">
              <w:t>rology and neurosurgery</w:t>
            </w:r>
          </w:p>
          <w:p w:rsidR="00000000" w:rsidRPr="005857F9" w:rsidP="005857F9">
            <w:pPr>
              <w:pStyle w:val="ListBullet2"/>
            </w:pPr>
            <w:r w:rsidRPr="005857F9">
              <w:t>oncology</w:t>
            </w:r>
          </w:p>
          <w:p w:rsidR="00000000" w:rsidRPr="005857F9" w:rsidP="005857F9">
            <w:pPr>
              <w:pStyle w:val="ListBullet2"/>
            </w:pPr>
            <w:r w:rsidRPr="005857F9">
              <w:t>ophthalmology</w:t>
            </w:r>
          </w:p>
          <w:p w:rsidR="00000000" w:rsidRPr="005857F9" w:rsidP="005857F9">
            <w:pPr>
              <w:pStyle w:val="ListBullet2"/>
            </w:pPr>
            <w:r w:rsidRPr="005857F9">
              <w:t>orthopaedics</w:t>
            </w:r>
          </w:p>
          <w:p w:rsidR="00000000" w:rsidRPr="005857F9" w:rsidP="005857F9">
            <w:pPr>
              <w:pStyle w:val="ListBullet2"/>
            </w:pPr>
            <w:r w:rsidRPr="005857F9">
              <w:t>poisoning, adverse reactions, post-procedural complications and sequelae of injuries, poisoning and other external causes</w:t>
            </w:r>
          </w:p>
          <w:p w:rsidR="00000000" w:rsidRPr="005857F9" w:rsidP="005857F9">
            <w:pPr>
              <w:pStyle w:val="ListBullet2"/>
            </w:pPr>
            <w:r w:rsidRPr="005857F9">
              <w:t>pregnancy and childbirth</w:t>
            </w:r>
          </w:p>
          <w:p w:rsidR="00000000" w:rsidRPr="005857F9" w:rsidP="005857F9">
            <w:pPr>
              <w:pStyle w:val="ListBullet2"/>
            </w:pPr>
            <w:r w:rsidRPr="005857F9">
              <w:t>respiratory system</w:t>
            </w:r>
          </w:p>
          <w:p w:rsidR="00000000" w:rsidRPr="005857F9" w:rsidP="005857F9">
            <w:pPr>
              <w:pStyle w:val="ListBullet2"/>
            </w:pPr>
            <w:r w:rsidRPr="005857F9">
              <w:t>trauma</w:t>
            </w:r>
          </w:p>
          <w:p w:rsidR="00000000" w:rsidRPr="005857F9" w:rsidP="005857F9">
            <w:pPr>
              <w:pStyle w:val="ListBullet"/>
            </w:pPr>
            <w:r w:rsidRPr="005857F9">
              <w:t>Comprehensive knowledg</w:t>
            </w:r>
            <w:r w:rsidRPr="005857F9">
              <w:t>e of medical terminology and body systems</w:t>
            </w:r>
          </w:p>
          <w:p w:rsidR="00000000" w:rsidRPr="005857F9" w:rsidP="005857F9">
            <w:pPr>
              <w:pStyle w:val="ListBullet"/>
            </w:pPr>
            <w:r w:rsidRPr="005857F9">
              <w:t>Current codes of practice and guidelines in relation to clinical coding</w:t>
            </w:r>
          </w:p>
          <w:p w:rsidR="00000000" w:rsidRPr="005857F9" w:rsidP="005857F9">
            <w:pPr>
              <w:pStyle w:val="ListBullet"/>
            </w:pPr>
            <w:r w:rsidRPr="005857F9">
              <w:t>Sequencing of codes and primary diagnosis</w:t>
            </w:r>
          </w:p>
          <w:p w:rsidR="00000000" w:rsidRPr="005857F9" w:rsidP="005857F9">
            <w:pPr>
              <w:pStyle w:val="ListBullet"/>
            </w:pPr>
            <w:r w:rsidRPr="005857F9">
              <w:t>Sequencing protocols for clinical coding</w:t>
            </w:r>
          </w:p>
          <w:p w:rsidR="00000000" w:rsidRPr="005857F9" w:rsidP="005857F9">
            <w:pPr>
              <w:pStyle w:val="ListBullet"/>
            </w:pPr>
            <w:r w:rsidRPr="005857F9">
              <w:t>Sources of information relating to changes to clinical coding requirements</w:t>
            </w:r>
          </w:p>
          <w:p w:rsidR="00000000" w:rsidP="005857F9">
            <w:pPr>
              <w:pStyle w:val="ListBullet"/>
              <w:rPr>
                <w:lang w:val="en-NZ"/>
              </w:rPr>
            </w:pPr>
            <w:r w:rsidRPr="005857F9">
              <w:t>Timescales within which clinical coding must take place</w:t>
            </w:r>
          </w:p>
        </w:tc>
      </w:tr>
      <w:tr w:rsidTr="00B63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57F9" w:rsidP="005857F9">
            <w:pPr>
              <w:pStyle w:val="BodyText"/>
            </w:pPr>
            <w:r w:rsidRPr="005857F9">
              <w:rPr>
                <w:rStyle w:val="Emphasis"/>
              </w:rPr>
              <w:t>Essential skills</w:t>
            </w:r>
            <w:r w:rsidRPr="005857F9">
              <w:t>:</w:t>
            </w:r>
          </w:p>
          <w:p w:rsidR="00000000" w:rsidRPr="005857F9" w:rsidP="005857F9">
            <w:pPr>
              <w:pStyle w:val="BodyText"/>
            </w:pPr>
            <w:r w:rsidRPr="005857F9">
              <w:t>It is critical that the candidate demonstrate the ability to effectively do the task outlined in element</w:t>
            </w:r>
            <w:r w:rsidRPr="005857F9">
              <w:t>s and performance criteria of this unit, manage the task and manage contingencies in the context of the identified work role</w:t>
            </w:r>
          </w:p>
          <w:p w:rsidR="00000000" w:rsidRPr="005857F9" w:rsidP="005857F9">
            <w:pPr>
              <w:pStyle w:val="BodyText"/>
            </w:pPr>
            <w:r w:rsidRPr="005857F9">
              <w:t>This includes the ability to:</w:t>
            </w:r>
          </w:p>
          <w:p w:rsidR="00000000" w:rsidRPr="005857F9" w:rsidP="005857F9">
            <w:pPr>
              <w:pStyle w:val="ListBullet"/>
            </w:pPr>
            <w:r w:rsidRPr="005857F9">
              <w:t>Analyse a varied and highly complex casemix from a range of specialties to produce coded clinical da</w:t>
            </w:r>
            <w:r w:rsidRPr="005857F9">
              <w:t>ta</w:t>
            </w:r>
          </w:p>
          <w:p w:rsidR="00000000" w:rsidRPr="005857F9" w:rsidP="005857F9">
            <w:pPr>
              <w:pStyle w:val="ListBullet"/>
            </w:pPr>
            <w:r w:rsidRPr="005857F9">
              <w:t>Apply Australian National Coding Standards to code highly complex medical records in an extensive casemix</w:t>
            </w:r>
          </w:p>
          <w:p w:rsidR="00000000" w:rsidRPr="005857F9" w:rsidP="005857F9">
            <w:pPr>
              <w:pStyle w:val="ListBullet"/>
            </w:pPr>
            <w:r w:rsidRPr="005857F9">
              <w:t>Complete coding of an average of four highly complex medical records per hour</w:t>
            </w:r>
          </w:p>
          <w:p w:rsidR="00000000" w:rsidRPr="005857F9" w:rsidP="005857F9">
            <w:pPr>
              <w:pStyle w:val="ListBullet"/>
            </w:pPr>
            <w:r w:rsidRPr="005857F9">
              <w:t>Enter data to at least 80%accuracy from highly complex medical record</w:t>
            </w:r>
            <w:r w:rsidRPr="005857F9">
              <w:t>s</w:t>
            </w:r>
          </w:p>
          <w:p w:rsidR="00000000" w:rsidRPr="005857F9" w:rsidP="005857F9">
            <w:pPr>
              <w:pStyle w:val="ListBullet"/>
            </w:pPr>
            <w:r w:rsidRPr="005857F9">
              <w:t>Identify coding issues and conduct research using appropriate materials/resources and or clinical input to generate solutions</w:t>
            </w:r>
          </w:p>
          <w:p w:rsidR="00000000" w:rsidRPr="005857F9" w:rsidP="005857F9">
            <w:pPr>
              <w:pStyle w:val="ListBullet"/>
            </w:pPr>
            <w:r w:rsidRPr="005857F9">
              <w:t>Identify sequencing requirements in varied and complex medical records</w:t>
            </w:r>
          </w:p>
          <w:p w:rsidR="00000000" w:rsidRPr="005857F9" w:rsidP="005857F9">
            <w:pPr>
              <w:pStyle w:val="ListBullet"/>
            </w:pPr>
            <w:r w:rsidRPr="005857F9">
              <w:t>Identify, interpret and apply necessary amendments to data collection and coding activities</w:t>
            </w:r>
          </w:p>
          <w:p w:rsidR="00000000" w:rsidRPr="005857F9" w:rsidP="005857F9">
            <w:pPr>
              <w:pStyle w:val="ListBullet"/>
            </w:pPr>
            <w:r w:rsidRPr="005857F9">
              <w:t>Research and secure information to manage coding questions and complications</w:t>
            </w:r>
          </w:p>
          <w:p w:rsidR="00000000" w:rsidRPr="005857F9" w:rsidP="005857F9">
            <w:pPr>
              <w:pStyle w:val="ListBullet"/>
            </w:pPr>
            <w:r w:rsidRPr="005857F9">
              <w:t>Use appropriate resources to assist with highly complex clinical coding requirements</w:t>
            </w:r>
          </w:p>
          <w:p w:rsidR="00000000" w:rsidRPr="005857F9" w:rsidP="005857F9">
            <w:pPr>
              <w:pStyle w:val="ListBullet"/>
            </w:pPr>
            <w:r w:rsidRPr="005857F9">
              <w:t>Us</w:t>
            </w:r>
            <w:r w:rsidRPr="005857F9">
              <w:t>e manual or an interfaced computerised coding system to submit data or disease index</w:t>
            </w:r>
          </w:p>
        </w:tc>
      </w:tr>
    </w:tbl>
    <w:p w:rsidR="00B63C64" w:rsidP="005857F9">
      <w:pPr>
        <w:pStyle w:val="BodyText"/>
      </w:pPr>
    </w:p>
    <w:p w:rsidR="00B63C64" w:rsidP="005857F9">
      <w:pPr>
        <w:pStyle w:val="BodyText"/>
      </w:pPr>
    </w:p>
    <w:p w:rsidR="00000000" w:rsidRPr="005857F9" w:rsidP="005857F9">
      <w:pPr>
        <w:pStyle w:val="Heading1"/>
      </w:pPr>
      <w:bookmarkStart w:id="10" w:name="O_243763"/>
      <w:bookmarkEnd w:id="10"/>
      <w:r w:rsidRPr="005857F9">
        <w:t>Evidence Guide</w:t>
      </w:r>
    </w:p>
    <w:tbl>
      <w:tblPr>
        <w:tblW w:w="0" w:type="auto"/>
        <w:tblLayout w:type="fixed"/>
        <w:tblCellMar>
          <w:left w:w="62" w:type="dxa"/>
          <w:right w:w="62" w:type="dxa"/>
        </w:tblCellMar>
        <w:tblLook w:val="0000"/>
      </w:tblPr>
      <w:tblGrid>
        <w:gridCol w:w="3402"/>
        <w:gridCol w:w="5670"/>
      </w:tblGrid>
      <w:tr w:rsidTr="00B63C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SpecialBold"/>
              </w:rPr>
              <w:t>EVIDENCE GUIDE</w:t>
            </w:r>
          </w:p>
        </w:tc>
      </w:tr>
      <w:tr w:rsidTr="00B63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t>The evidence guide provides advice on assessment and must be read in conjunction with the Performance Criteria, Required Skills and Knowledge, the Range Statement and the Assessment Guidelines for this Training Package.</w:t>
            </w:r>
          </w:p>
        </w:tc>
      </w:tr>
      <w:tr w:rsidTr="00B63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Emphasis"/>
              </w:rPr>
              <w:t>Critical aspects for assessment</w:t>
            </w:r>
            <w:r w:rsidRPr="005857F9">
              <w:rPr>
                <w:rStyle w:val="Emphasis"/>
              </w:rPr>
              <w:t xml:space="preserve"> and evidence required to demonstrate this competency unit</w:t>
            </w:r>
            <w:r w:rsidRPr="005857F9">
              <w:t xml:space="preserve">: </w:t>
            </w:r>
            <w:r w:rsidRPr="005857F9">
              <w:br/>
            </w:r>
          </w:p>
        </w:tc>
        <w:tc>
          <w:tcPr>
            <w:tcW w:w="5670" w:type="dxa"/>
            <w:tcBorders>
              <w:top w:val="nil"/>
              <w:left w:val="nil"/>
              <w:bottom w:val="nil"/>
              <w:right w:val="nil"/>
            </w:tcBorders>
            <w:tcMar>
              <w:top w:w="0" w:type="dxa"/>
              <w:left w:w="62" w:type="dxa"/>
              <w:bottom w:w="0" w:type="dxa"/>
              <w:right w:w="62" w:type="dxa"/>
            </w:tcMar>
          </w:tcPr>
          <w:p w:rsidR="00000000" w:rsidRPr="005857F9" w:rsidP="005857F9">
            <w:pPr>
              <w:pStyle w:val="ListBullet"/>
            </w:pPr>
            <w:r w:rsidRPr="005857F9">
              <w:t>The individual being assessed must provide evidence of specified essential knowledge as well as skills</w:t>
            </w:r>
          </w:p>
          <w:p w:rsidR="00000000" w:rsidRPr="005857F9" w:rsidP="005857F9">
            <w:pPr>
              <w:pStyle w:val="ListBullet"/>
            </w:pPr>
            <w:r w:rsidRPr="005857F9">
              <w:t>Consistency of performance should be d</w:t>
            </w:r>
            <w:r w:rsidRPr="005857F9">
              <w:t>emonstrated over the required range of situations relevant to the workplace</w:t>
            </w:r>
          </w:p>
          <w:p w:rsidR="00000000" w:rsidP="005857F9">
            <w:pPr>
              <w:pStyle w:val="ListBullet"/>
              <w:rPr>
                <w:lang w:val="en-NZ"/>
              </w:rPr>
            </w:pPr>
            <w:r w:rsidRPr="005857F9">
              <w:t>This unit must be assessed after successful achievement of the identified pre-requisite unit and extensive clinical coding work experience</w:t>
            </w: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Emphasis"/>
              </w:rPr>
              <w:t>Access and equity considerations</w:t>
            </w:r>
            <w:r w:rsidRPr="005857F9">
              <w:t>:</w:t>
            </w:r>
          </w:p>
        </w:tc>
        <w:tc>
          <w:tcPr>
            <w:tcW w:w="5670" w:type="dxa"/>
            <w:tcBorders>
              <w:top w:val="nil"/>
              <w:left w:val="nil"/>
              <w:bottom w:val="nil"/>
              <w:right w:val="nil"/>
            </w:tcBorders>
            <w:tcMar>
              <w:top w:w="0" w:type="dxa"/>
              <w:left w:w="62" w:type="dxa"/>
              <w:bottom w:w="0" w:type="dxa"/>
              <w:right w:w="62" w:type="dxa"/>
            </w:tcMar>
          </w:tcPr>
          <w:p w:rsidR="00000000" w:rsidRPr="005857F9" w:rsidP="005857F9">
            <w:pPr>
              <w:pStyle w:val="ListBullet"/>
            </w:pPr>
            <w:r w:rsidRPr="005857F9">
              <w:t>Al</w:t>
            </w:r>
            <w:r w:rsidRPr="005857F9">
              <w:t>l workers in the health industry should be aware of access and equity issues in relation to their own area of work</w:t>
            </w:r>
          </w:p>
          <w:p w:rsidR="00000000" w:rsidRPr="005857F9" w:rsidP="005857F9">
            <w:pPr>
              <w:pStyle w:val="ListBullet"/>
            </w:pPr>
            <w:r w:rsidRPr="005857F9">
              <w:t xml:space="preserve">All workers should develop their ability to work in a culturally diverse environment </w:t>
            </w:r>
          </w:p>
          <w:p w:rsidR="00000000" w:rsidRPr="005857F9" w:rsidP="005857F9">
            <w:pPr>
              <w:pStyle w:val="ListBullet"/>
            </w:pPr>
            <w:r w:rsidRPr="005857F9">
              <w:t>In recognition of particular health issues facing Abori</w:t>
            </w:r>
            <w:r w:rsidRPr="005857F9">
              <w:t>ginal and Torres Strait Islander communities, workers should be aware of cultural, historical and current issues impacting on health of Aboriginal and Torres Strait Islander people</w:t>
            </w:r>
          </w:p>
          <w:p w:rsidR="00000000" w:rsidP="005857F9">
            <w:pPr>
              <w:pStyle w:val="ListBullet"/>
              <w:rPr>
                <w:lang w:val="en-NZ"/>
              </w:rPr>
            </w:pPr>
            <w:r w:rsidRPr="005857F9">
              <w:t>Assessors and trainers must take into account relevant access and equity is</w:t>
            </w:r>
            <w:r w:rsidRPr="005857F9">
              <w:t>sues, in particular relating to factors impacting on health of Aboriginal and/or Torres Strait Islander clients and communities</w:t>
            </w: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Emphasis"/>
              </w:rPr>
              <w:t>Context of and specific resources for assessment</w:t>
            </w:r>
            <w:r w:rsidRPr="005857F9">
              <w:t xml:space="preserve">: </w:t>
            </w:r>
            <w:r w:rsidRPr="005857F9">
              <w:br/>
            </w:r>
          </w:p>
        </w:tc>
        <w:tc>
          <w:tcPr>
            <w:tcW w:w="5670" w:type="dxa"/>
            <w:tcBorders>
              <w:top w:val="nil"/>
              <w:left w:val="nil"/>
              <w:bottom w:val="nil"/>
              <w:right w:val="nil"/>
            </w:tcBorders>
            <w:tcMar>
              <w:top w:w="0" w:type="dxa"/>
              <w:left w:w="62" w:type="dxa"/>
              <w:bottom w:w="0" w:type="dxa"/>
              <w:right w:w="62" w:type="dxa"/>
            </w:tcMar>
          </w:tcPr>
          <w:p w:rsidR="00000000" w:rsidRPr="005857F9" w:rsidP="005857F9">
            <w:pPr>
              <w:pStyle w:val="ListBullet"/>
            </w:pPr>
            <w:r w:rsidRPr="005857F9">
              <w:t>Resources essential for assessment include:</w:t>
            </w:r>
          </w:p>
          <w:p w:rsidR="00000000" w:rsidRPr="005857F9" w:rsidP="005857F9">
            <w:pPr>
              <w:pStyle w:val="ListBullet2"/>
            </w:pPr>
            <w:r w:rsidRPr="005857F9">
              <w:t>Relevant guidelines, standards and procedures</w:t>
            </w:r>
          </w:p>
          <w:p w:rsidR="00000000" w:rsidRPr="005857F9" w:rsidP="005857F9">
            <w:pPr>
              <w:pStyle w:val="ListBullet2"/>
            </w:pPr>
            <w:r w:rsidRPr="005857F9">
              <w:t>ICD-10-AM, ACHI and ACS and relevant local coding requirements</w:t>
            </w:r>
          </w:p>
          <w:p w:rsidR="00000000" w:rsidRPr="005857F9" w:rsidP="005857F9">
            <w:pPr>
              <w:pStyle w:val="ListBullet2"/>
            </w:pPr>
            <w:r w:rsidRPr="005857F9">
              <w:t>a range of medical records reflecting a varied and highly complex casemix from range of specialties</w:t>
            </w:r>
          </w:p>
          <w:p w:rsidR="00000000" w:rsidP="005857F9">
            <w:pPr>
              <w:pStyle w:val="ListBullet2"/>
              <w:rPr>
                <w:lang w:val="en-NZ"/>
              </w:rPr>
            </w:pPr>
            <w:r w:rsidRPr="005857F9">
              <w:t>appropriate resource materials</w:t>
            </w: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857F9" w:rsidP="005857F9">
            <w:pPr>
              <w:pStyle w:val="BodyText"/>
            </w:pPr>
          </w:p>
        </w:tc>
      </w:tr>
    </w:tbl>
    <w:p w:rsidR="00B63C64" w:rsidP="005857F9">
      <w:pPr>
        <w:pStyle w:val="BodyText"/>
      </w:pPr>
    </w:p>
    <w:p w:rsidR="00B63C64" w:rsidP="005857F9">
      <w:pPr>
        <w:pStyle w:val="BodyText"/>
      </w:pPr>
    </w:p>
    <w:p w:rsidR="00000000" w:rsidRPr="005857F9" w:rsidP="005857F9">
      <w:pPr>
        <w:pStyle w:val="Heading1"/>
      </w:pPr>
      <w:bookmarkStart w:id="11" w:name="O_251746"/>
      <w:bookmarkEnd w:id="11"/>
      <w:r w:rsidRPr="005857F9">
        <w:t>Range Statement</w:t>
      </w:r>
    </w:p>
    <w:tbl>
      <w:tblPr>
        <w:tblW w:w="0" w:type="auto"/>
        <w:tblLayout w:type="fixed"/>
        <w:tblCellMar>
          <w:left w:w="62" w:type="dxa"/>
          <w:right w:w="62" w:type="dxa"/>
        </w:tblCellMar>
        <w:tblLook w:val="0000"/>
      </w:tblPr>
      <w:tblGrid>
        <w:gridCol w:w="3402"/>
        <w:gridCol w:w="5670"/>
      </w:tblGrid>
      <w:tr w:rsidTr="00B63C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SpecialBold"/>
              </w:rPr>
              <w:t>RANGE STATEMENT</w:t>
            </w:r>
          </w:p>
        </w:tc>
      </w:tr>
      <w:tr w:rsidTr="00B63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t xml:space="preserve">The Range Statement relates to the unit of competency as a whole. It allows for different work environments and situations that may affect </w:t>
            </w:r>
            <w:r w:rsidRPr="005857F9">
              <w:t>performance. Add any essential operating conditions that may be present with training and assessment depending on the work situation, needs of the candidate, accessibility of the item, and local industry and regional contexts.</w:t>
            </w: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Emphasis"/>
              </w:rPr>
              <w:t>Highly complex medical r</w:t>
            </w:r>
            <w:r w:rsidRPr="005857F9">
              <w:rPr>
                <w:rStyle w:val="Emphasis"/>
              </w:rPr>
              <w:t>ecords refer to</w:t>
            </w:r>
            <w:r w:rsidRPr="005857F9">
              <w:t>:</w:t>
            </w:r>
          </w:p>
        </w:tc>
        <w:tc>
          <w:tcPr>
            <w:tcW w:w="5670" w:type="dxa"/>
            <w:tcBorders>
              <w:top w:val="nil"/>
              <w:left w:val="nil"/>
              <w:bottom w:val="nil"/>
              <w:right w:val="nil"/>
            </w:tcBorders>
            <w:tcMar>
              <w:top w:w="0" w:type="dxa"/>
              <w:left w:w="62" w:type="dxa"/>
              <w:bottom w:w="0" w:type="dxa"/>
              <w:right w:w="62" w:type="dxa"/>
            </w:tcMar>
          </w:tcPr>
          <w:p w:rsidR="00000000" w:rsidRPr="005857F9" w:rsidP="005857F9">
            <w:pPr>
              <w:pStyle w:val="ListBullet"/>
            </w:pPr>
            <w:r w:rsidRPr="005857F9">
              <w:t>Medical records resulting from an episode of care in a principal referral hospital, a specialist women's and children's hospital and other specialist care facilities (AIHW National Hospital Peer Group Classifications A1-B2)</w:t>
            </w:r>
          </w:p>
          <w:p w:rsidR="00000000" w:rsidRPr="005857F9" w:rsidP="005857F9">
            <w:pPr>
              <w:pStyle w:val="ListBullet"/>
            </w:pPr>
            <w:r w:rsidRPr="005857F9">
              <w:t>Medical information may be obtained from:</w:t>
            </w:r>
          </w:p>
          <w:p w:rsidR="00000000" w:rsidRPr="005857F9" w:rsidP="005857F9">
            <w:pPr>
              <w:pStyle w:val="ListBullet2"/>
            </w:pPr>
            <w:r w:rsidRPr="005857F9">
              <w:t>discharge summaries</w:t>
            </w:r>
          </w:p>
          <w:p w:rsidR="00000000" w:rsidRPr="005857F9" w:rsidP="005857F9">
            <w:pPr>
              <w:pStyle w:val="ListBullet2"/>
            </w:pPr>
            <w:r w:rsidRPr="005857F9">
              <w:t xml:space="preserve">medical reports </w:t>
            </w:r>
          </w:p>
          <w:p w:rsidR="00000000" w:rsidP="005857F9">
            <w:pPr>
              <w:pStyle w:val="ListBullet2"/>
              <w:rPr>
                <w:lang w:val="en-NZ"/>
              </w:rPr>
            </w:pPr>
            <w:r w:rsidRPr="005857F9">
              <w:t>medical records</w:t>
            </w: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Emphasis"/>
              </w:rPr>
              <w:t>Appropriate resources may include</w:t>
            </w:r>
            <w:r w:rsidRPr="005857F9">
              <w:t>:</w:t>
            </w:r>
          </w:p>
        </w:tc>
        <w:tc>
          <w:tcPr>
            <w:tcW w:w="5670" w:type="dxa"/>
            <w:tcBorders>
              <w:top w:val="nil"/>
              <w:left w:val="nil"/>
              <w:bottom w:val="nil"/>
              <w:right w:val="nil"/>
            </w:tcBorders>
            <w:tcMar>
              <w:top w:w="0" w:type="dxa"/>
              <w:left w:w="62" w:type="dxa"/>
              <w:bottom w:w="0" w:type="dxa"/>
              <w:right w:w="62" w:type="dxa"/>
            </w:tcMar>
          </w:tcPr>
          <w:p w:rsidR="00000000" w:rsidRPr="005857F9" w:rsidP="005857F9">
            <w:pPr>
              <w:pStyle w:val="ListBullet"/>
            </w:pPr>
            <w:r w:rsidRPr="005857F9">
              <w:t>Australian Coding Standards</w:t>
            </w:r>
          </w:p>
          <w:p w:rsidR="00000000" w:rsidRPr="005857F9" w:rsidP="005857F9">
            <w:pPr>
              <w:pStyle w:val="ListBullet"/>
            </w:pPr>
            <w:r w:rsidRPr="005857F9">
              <w:t>Coding Matters</w:t>
            </w:r>
          </w:p>
          <w:p w:rsidR="00000000" w:rsidRPr="005857F9" w:rsidP="005857F9">
            <w:pPr>
              <w:pStyle w:val="ListBullet"/>
            </w:pPr>
            <w:r w:rsidRPr="005857F9">
              <w:t>MIMS</w:t>
            </w:r>
          </w:p>
          <w:p w:rsidR="00000000" w:rsidRPr="005857F9" w:rsidP="005857F9">
            <w:pPr>
              <w:pStyle w:val="ListBullet"/>
            </w:pPr>
            <w:r w:rsidRPr="005857F9">
              <w:t>Medical abbreviations dictionary</w:t>
            </w:r>
          </w:p>
          <w:p w:rsidR="00000000" w:rsidP="005857F9">
            <w:pPr>
              <w:pStyle w:val="ListBullet"/>
              <w:rPr>
                <w:lang w:val="en-NZ"/>
              </w:rPr>
            </w:pPr>
            <w:r w:rsidRPr="005857F9">
              <w:t>Other relevant material</w:t>
            </w: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Emphasis"/>
              </w:rPr>
              <w:t>Disease and procedure codes may include</w:t>
            </w:r>
            <w:r w:rsidRPr="005857F9">
              <w:t>:</w:t>
            </w:r>
          </w:p>
        </w:tc>
        <w:tc>
          <w:tcPr>
            <w:tcW w:w="5670" w:type="dxa"/>
            <w:tcBorders>
              <w:top w:val="nil"/>
              <w:left w:val="nil"/>
              <w:bottom w:val="nil"/>
              <w:right w:val="nil"/>
            </w:tcBorders>
            <w:tcMar>
              <w:top w:w="0" w:type="dxa"/>
              <w:left w:w="62" w:type="dxa"/>
              <w:bottom w:w="0" w:type="dxa"/>
              <w:right w:w="62" w:type="dxa"/>
            </w:tcMar>
          </w:tcPr>
          <w:p w:rsidR="00000000" w:rsidRPr="005857F9" w:rsidP="005857F9">
            <w:pPr>
              <w:pStyle w:val="ListBullet"/>
            </w:pPr>
            <w:r w:rsidRPr="005857F9">
              <w:t>Coding for:</w:t>
            </w:r>
          </w:p>
          <w:p w:rsidR="00000000" w:rsidRPr="005857F9" w:rsidP="005857F9">
            <w:pPr>
              <w:pStyle w:val="ListBullet2"/>
            </w:pPr>
            <w:r w:rsidRPr="005857F9">
              <w:t>circulatory system</w:t>
            </w:r>
          </w:p>
          <w:p w:rsidR="00000000" w:rsidRPr="005857F9" w:rsidP="005857F9">
            <w:pPr>
              <w:pStyle w:val="ListBullet2"/>
            </w:pPr>
            <w:r w:rsidRPr="005857F9">
              <w:t>dermatology and plastic surgery</w:t>
            </w:r>
          </w:p>
          <w:p w:rsidR="00000000" w:rsidRPr="005857F9" w:rsidP="005857F9">
            <w:pPr>
              <w:pStyle w:val="ListBullet2"/>
            </w:pPr>
            <w:r w:rsidRPr="005857F9">
              <w:t>drugs, alcohol and mental health</w:t>
            </w:r>
          </w:p>
          <w:p w:rsidR="00000000" w:rsidRPr="005857F9" w:rsidP="005857F9">
            <w:pPr>
              <w:pStyle w:val="ListBullet2"/>
            </w:pPr>
            <w:r w:rsidRPr="005857F9">
              <w:t>ear, nose, throat and dental</w:t>
            </w:r>
          </w:p>
          <w:p w:rsidR="00000000" w:rsidRPr="005857F9" w:rsidP="005857F9">
            <w:pPr>
              <w:pStyle w:val="ListBullet2"/>
            </w:pPr>
            <w:r w:rsidRPr="005857F9">
              <w:t>endocrine system</w:t>
            </w:r>
          </w:p>
          <w:p w:rsidR="00000000" w:rsidRPr="005857F9" w:rsidP="005857F9">
            <w:pPr>
              <w:pStyle w:val="ListBullet2"/>
            </w:pPr>
            <w:r w:rsidRPr="005857F9">
              <w:t>gastrointestinal and hepatobiliary systems</w:t>
            </w:r>
          </w:p>
          <w:p w:rsidR="00000000" w:rsidRPr="005857F9" w:rsidP="005857F9">
            <w:pPr>
              <w:pStyle w:val="ListBullet2"/>
            </w:pPr>
            <w:r w:rsidRPr="005857F9">
              <w:t>genitourinary system</w:t>
            </w:r>
          </w:p>
          <w:p w:rsidR="00000000" w:rsidRPr="005857F9" w:rsidP="005857F9">
            <w:pPr>
              <w:pStyle w:val="ListBullet2"/>
            </w:pPr>
            <w:r w:rsidRPr="005857F9">
              <w:t>haemotology</w:t>
            </w:r>
          </w:p>
          <w:p w:rsidR="00000000" w:rsidRPr="005857F9" w:rsidP="005857F9">
            <w:pPr>
              <w:pStyle w:val="ListBullet2"/>
            </w:pPr>
            <w:r w:rsidRPr="005857F9">
              <w:t>immunology and infectious diseases</w:t>
            </w:r>
          </w:p>
          <w:p w:rsidR="00000000" w:rsidRPr="005857F9" w:rsidP="005857F9">
            <w:pPr>
              <w:pStyle w:val="ListBullet2"/>
            </w:pPr>
            <w:r w:rsidRPr="005857F9">
              <w:t>neonatology and paediatrics</w:t>
            </w:r>
          </w:p>
          <w:p w:rsidR="00000000" w:rsidRPr="005857F9" w:rsidP="005857F9">
            <w:pPr>
              <w:pStyle w:val="ListBullet2"/>
            </w:pPr>
            <w:r w:rsidRPr="005857F9">
              <w:t>neurology and neurosurgery</w:t>
            </w:r>
          </w:p>
          <w:p w:rsidR="00000000" w:rsidRPr="005857F9" w:rsidP="005857F9">
            <w:pPr>
              <w:pStyle w:val="ListBullet2"/>
            </w:pPr>
            <w:r w:rsidRPr="005857F9">
              <w:t>oncology</w:t>
            </w:r>
          </w:p>
          <w:p w:rsidR="00000000" w:rsidRPr="005857F9" w:rsidP="005857F9">
            <w:pPr>
              <w:pStyle w:val="ListBullet2"/>
            </w:pPr>
            <w:r w:rsidRPr="005857F9">
              <w:t>ophthalmology</w:t>
            </w:r>
          </w:p>
          <w:p w:rsidR="00000000" w:rsidRPr="005857F9" w:rsidP="005857F9">
            <w:pPr>
              <w:pStyle w:val="ListBullet2"/>
            </w:pPr>
            <w:r w:rsidRPr="005857F9">
              <w:t>orthopaedics</w:t>
            </w:r>
          </w:p>
          <w:p w:rsidR="00000000" w:rsidRPr="005857F9" w:rsidP="005857F9">
            <w:pPr>
              <w:pStyle w:val="ListBullet2"/>
            </w:pPr>
            <w:r w:rsidRPr="005857F9">
              <w:t>poisoning, adverse reactions, post-procedural complications and sequelae of injuries, poisoning and other external cau</w:t>
            </w:r>
            <w:r w:rsidRPr="005857F9">
              <w:t>ses</w:t>
            </w:r>
          </w:p>
          <w:p w:rsidR="00000000" w:rsidRPr="005857F9" w:rsidP="005857F9">
            <w:pPr>
              <w:pStyle w:val="ListBullet2"/>
            </w:pPr>
            <w:r w:rsidRPr="005857F9">
              <w:t>pregnancy and childbirth</w:t>
            </w:r>
          </w:p>
          <w:p w:rsidR="00000000" w:rsidRPr="005857F9" w:rsidP="005857F9">
            <w:pPr>
              <w:pStyle w:val="ListBullet2"/>
            </w:pPr>
            <w:r w:rsidRPr="005857F9">
              <w:t>respiratory system</w:t>
            </w:r>
          </w:p>
          <w:p w:rsidR="00000000" w:rsidP="005857F9">
            <w:pPr>
              <w:pStyle w:val="ListBullet2"/>
              <w:rPr>
                <w:lang w:val="en-NZ"/>
              </w:rPr>
            </w:pPr>
            <w:r w:rsidRPr="005857F9">
              <w:t>trauma</w:t>
            </w: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57F9">
            <w:pPr>
              <w:pStyle w:val="BodyText"/>
              <w:rPr>
                <w:lang w:val="en-NZ"/>
              </w:rPr>
            </w:pPr>
            <w:r w:rsidRPr="005857F9">
              <w:rPr>
                <w:rStyle w:val="Emphasis"/>
              </w:rPr>
              <w:t>Client information systems may include</w:t>
            </w:r>
            <w:r w:rsidRPr="005857F9">
              <w:t>:</w:t>
            </w:r>
          </w:p>
        </w:tc>
        <w:tc>
          <w:tcPr>
            <w:tcW w:w="5670" w:type="dxa"/>
            <w:tcBorders>
              <w:top w:val="nil"/>
              <w:left w:val="nil"/>
              <w:bottom w:val="nil"/>
              <w:right w:val="nil"/>
            </w:tcBorders>
            <w:tcMar>
              <w:top w:w="0" w:type="dxa"/>
              <w:left w:w="62" w:type="dxa"/>
              <w:bottom w:w="0" w:type="dxa"/>
              <w:right w:w="62" w:type="dxa"/>
            </w:tcMar>
          </w:tcPr>
          <w:p w:rsidR="00000000" w:rsidRPr="005857F9" w:rsidP="005857F9">
            <w:pPr>
              <w:pStyle w:val="ListBullet"/>
            </w:pPr>
            <w:r w:rsidRPr="005857F9">
              <w:t>Computerised systems</w:t>
            </w:r>
          </w:p>
          <w:p w:rsidR="00000000" w:rsidP="005857F9">
            <w:pPr>
              <w:pStyle w:val="ListBullet"/>
              <w:rPr>
                <w:lang w:val="en-NZ"/>
              </w:rPr>
            </w:pPr>
            <w:r w:rsidRPr="005857F9">
              <w:t>Manual systems</w:t>
            </w:r>
          </w:p>
        </w:tc>
      </w:tr>
      <w:tr w:rsidTr="00B63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857F9" w:rsidP="005857F9">
            <w:pPr>
              <w:pStyle w:val="BodyText"/>
            </w:pPr>
          </w:p>
        </w:tc>
      </w:tr>
    </w:tbl>
    <w:p w:rsidR="00B63C64" w:rsidP="005857F9">
      <w:pPr>
        <w:pStyle w:val="BodyText"/>
      </w:pPr>
    </w:p>
    <w:p w:rsidR="00B63C64" w:rsidP="005857F9">
      <w:pPr>
        <w:pStyle w:val="BodyText"/>
      </w:pPr>
    </w:p>
    <w:p w:rsidR="00000000" w:rsidRPr="005857F9" w:rsidP="005857F9">
      <w:pPr>
        <w:pStyle w:val="Heading1"/>
      </w:pPr>
      <w:bookmarkStart w:id="12" w:name="O_294972"/>
      <w:bookmarkEnd w:id="12"/>
      <w:r w:rsidRPr="005857F9">
        <w:t>Unit Sector(s)</w:t>
      </w:r>
    </w:p>
    <w:p w:rsidR="00000000" w:rsidRPr="005857F9" w:rsidP="005857F9">
      <w:pPr>
        <w:pStyle w:val="BodyText"/>
      </w:pPr>
      <w:r w:rsidRPr="005857F9">
        <w:t>Not Applicable</w:t>
      </w:r>
    </w:p>
    <w:p w:rsidR="00000000" w:rsidRPr="005857F9" w:rsidP="005857F9"/>
    <w:sectPr w:rsidSect="005857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7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C64" w:rsidP="00B63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7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64" w:rsidP="005857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3C64" w:rsidP="005857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3C64" w:rsidP="005857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7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C64" w:rsidP="00B63C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7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64" w:rsidP="005857F9">
    <w:pPr>
      <w:pStyle w:val="Header"/>
      <w:framePr w:wrap="around"/>
    </w:pPr>
    <w:r>
      <w:fldChar w:fldCharType="begin"/>
    </w:r>
    <w:r>
      <w:instrText xml:space="preserve"> TITLE   \* MERGEFORMAT </w:instrText>
    </w:r>
    <w:r>
      <w:fldChar w:fldCharType="separate"/>
    </w:r>
    <w:r>
      <w:t>HLTCC402B Complete highly complex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3C64" w:rsidP="005857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2E3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40C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B6F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7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57F9"/>
    <w:pPr>
      <w:spacing w:before="360" w:after="60"/>
      <w:outlineLvl w:val="0"/>
    </w:pPr>
    <w:rPr>
      <w:sz w:val="32"/>
    </w:rPr>
  </w:style>
  <w:style w:type="paragraph" w:styleId="Heading2">
    <w:name w:val="heading 2"/>
    <w:basedOn w:val="HeadingBase"/>
    <w:next w:val="BodyText"/>
    <w:link w:val="Heading2Char"/>
    <w:qFormat/>
    <w:rsid w:val="005857F9"/>
    <w:pPr>
      <w:keepLines/>
      <w:spacing w:before="240" w:after="120"/>
      <w:outlineLvl w:val="1"/>
    </w:pPr>
    <w:rPr>
      <w:sz w:val="28"/>
      <w:szCs w:val="40"/>
    </w:rPr>
  </w:style>
  <w:style w:type="paragraph" w:styleId="Heading3">
    <w:name w:val="heading 3"/>
    <w:basedOn w:val="HeadingBase"/>
    <w:next w:val="BodyText"/>
    <w:link w:val="Heading3Char"/>
    <w:qFormat/>
    <w:rsid w:val="005857F9"/>
    <w:pPr>
      <w:spacing w:before="180" w:after="120"/>
      <w:outlineLvl w:val="2"/>
    </w:pPr>
    <w:rPr>
      <w:spacing w:val="-10"/>
      <w:kern w:val="32"/>
    </w:rPr>
  </w:style>
  <w:style w:type="paragraph" w:styleId="Heading4">
    <w:name w:val="heading 4"/>
    <w:basedOn w:val="HeadingBase"/>
    <w:next w:val="BodyText"/>
    <w:link w:val="Heading4Char"/>
    <w:qFormat/>
    <w:rsid w:val="005857F9"/>
    <w:pPr>
      <w:spacing w:before="160" w:after="120"/>
      <w:outlineLvl w:val="3"/>
    </w:pPr>
    <w:rPr>
      <w:sz w:val="22"/>
    </w:rPr>
  </w:style>
  <w:style w:type="paragraph" w:styleId="Heading5">
    <w:name w:val="heading 5"/>
    <w:basedOn w:val="HeadingBase"/>
    <w:next w:val="Normal"/>
    <w:link w:val="Heading5Char"/>
    <w:qFormat/>
    <w:rsid w:val="005857F9"/>
    <w:pPr>
      <w:spacing w:before="80"/>
      <w:outlineLvl w:val="4"/>
    </w:pPr>
    <w:rPr>
      <w:color w:val="918585"/>
      <w:sz w:val="20"/>
    </w:rPr>
  </w:style>
  <w:style w:type="paragraph" w:styleId="Heading6">
    <w:name w:val="heading 6"/>
    <w:basedOn w:val="HeadingBase"/>
    <w:next w:val="Normal"/>
    <w:link w:val="Heading6Char"/>
    <w:qFormat/>
    <w:rsid w:val="005857F9"/>
    <w:pPr>
      <w:spacing w:before="60"/>
      <w:outlineLvl w:val="5"/>
    </w:pPr>
    <w:rPr>
      <w:color w:val="918585"/>
      <w:sz w:val="20"/>
    </w:rPr>
  </w:style>
  <w:style w:type="paragraph" w:styleId="Heading7">
    <w:name w:val="heading 7"/>
    <w:basedOn w:val="Normal"/>
    <w:next w:val="Normal"/>
    <w:link w:val="Heading7Char"/>
    <w:qFormat/>
    <w:rsid w:val="005857F9"/>
    <w:pPr>
      <w:ind w:left="720"/>
      <w:outlineLvl w:val="6"/>
    </w:pPr>
    <w:rPr>
      <w:i/>
    </w:rPr>
  </w:style>
  <w:style w:type="paragraph" w:styleId="Heading8">
    <w:name w:val="heading 8"/>
    <w:basedOn w:val="Normal"/>
    <w:next w:val="Normal"/>
    <w:link w:val="Heading8Char"/>
    <w:qFormat/>
    <w:rsid w:val="005857F9"/>
    <w:pPr>
      <w:ind w:left="720"/>
      <w:outlineLvl w:val="7"/>
    </w:pPr>
    <w:rPr>
      <w:i/>
    </w:rPr>
  </w:style>
  <w:style w:type="paragraph" w:styleId="Heading9">
    <w:name w:val="heading 9"/>
    <w:basedOn w:val="Normal"/>
    <w:next w:val="Normal"/>
    <w:link w:val="Heading9Char"/>
    <w:qFormat/>
    <w:rsid w:val="005857F9"/>
    <w:pPr>
      <w:ind w:left="720"/>
      <w:outlineLvl w:val="8"/>
    </w:pPr>
    <w:rPr>
      <w:i/>
    </w:rPr>
  </w:style>
  <w:style w:type="character" w:default="1" w:styleId="DefaultParagraphFont">
    <w:name w:val="Default Paragraph Font"/>
    <w:uiPriority w:val="1"/>
    <w:unhideWhenUsed/>
    <w:rsid w:val="005857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7F9"/>
  </w:style>
  <w:style w:type="character" w:customStyle="1" w:styleId="Heading1Char">
    <w:name w:val="Heading 1 Char"/>
    <w:link w:val="Heading1"/>
    <w:rsid w:val="005857F9"/>
    <w:rPr>
      <w:rFonts w:ascii="Times New Roman" w:eastAsia="Times New Roman" w:hAnsi="Times New Roman" w:cs="Times New Roman"/>
      <w:b/>
      <w:sz w:val="32"/>
      <w:szCs w:val="20"/>
      <w:lang w:eastAsia="en-US"/>
    </w:rPr>
  </w:style>
  <w:style w:type="paragraph" w:styleId="BodyText">
    <w:name w:val="Body Text"/>
    <w:basedOn w:val="Normal"/>
    <w:link w:val="BodyTextChar"/>
    <w:rsid w:val="005857F9"/>
    <w:pPr>
      <w:spacing w:before="120" w:after="120"/>
      <w:contextualSpacing/>
    </w:pPr>
    <w:rPr>
      <w:rFonts w:ascii="Times New Roman" w:hAnsi="Times New Roman"/>
      <w:sz w:val="24"/>
      <w:szCs w:val="22"/>
    </w:rPr>
  </w:style>
  <w:style w:type="character" w:customStyle="1" w:styleId="BodyTextChar">
    <w:name w:val="Body Text Char"/>
    <w:link w:val="BodyText"/>
    <w:rsid w:val="005857F9"/>
    <w:rPr>
      <w:rFonts w:ascii="Times New Roman" w:eastAsia="Times New Roman" w:hAnsi="Times New Roman" w:cs="Times New Roman"/>
      <w:sz w:val="24"/>
      <w:lang w:val="en-US" w:eastAsia="en-US"/>
    </w:rPr>
  </w:style>
  <w:style w:type="paragraph" w:styleId="Footer">
    <w:name w:val="footer"/>
    <w:basedOn w:val="Normal"/>
    <w:link w:val="FooterChar"/>
    <w:rsid w:val="005857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57F9"/>
    <w:rPr>
      <w:rFonts w:ascii="Times New Roman" w:eastAsia="Times New Roman" w:hAnsi="Times New Roman" w:cs="Times New Roman"/>
      <w:sz w:val="16"/>
      <w:lang w:val="en-US" w:eastAsia="en-US"/>
    </w:rPr>
  </w:style>
  <w:style w:type="paragraph" w:styleId="List">
    <w:name w:val="List"/>
    <w:basedOn w:val="BodyText"/>
    <w:next w:val="BodyText"/>
    <w:rsid w:val="005857F9"/>
    <w:pPr>
      <w:tabs>
        <w:tab w:val="left" w:pos="340"/>
      </w:tabs>
      <w:spacing w:before="60" w:after="60"/>
      <w:ind w:left="340" w:hanging="340"/>
    </w:pPr>
  </w:style>
  <w:style w:type="paragraph" w:styleId="ListBullet">
    <w:name w:val="List Bullet"/>
    <w:basedOn w:val="List"/>
    <w:rsid w:val="005857F9"/>
    <w:pPr>
      <w:numPr>
        <w:numId w:val="13"/>
      </w:numPr>
      <w:tabs>
        <w:tab w:val="clear" w:pos="340"/>
      </w:tabs>
      <w:spacing w:before="40" w:after="40"/>
    </w:pPr>
  </w:style>
  <w:style w:type="character" w:customStyle="1" w:styleId="SpecialBold">
    <w:name w:val="Special Bold"/>
    <w:rsid w:val="005857F9"/>
    <w:rPr>
      <w:b/>
      <w:spacing w:val="0"/>
    </w:rPr>
  </w:style>
  <w:style w:type="paragraph" w:styleId="ListBullet2">
    <w:name w:val="List Bullet 2"/>
    <w:basedOn w:val="List2"/>
    <w:rsid w:val="005857F9"/>
    <w:pPr>
      <w:numPr>
        <w:numId w:val="14"/>
      </w:numPr>
      <w:tabs>
        <w:tab w:val="clear" w:pos="680"/>
      </w:tabs>
    </w:pPr>
  </w:style>
  <w:style w:type="paragraph" w:styleId="Header">
    <w:name w:val="header"/>
    <w:basedOn w:val="Normal"/>
    <w:link w:val="HeaderChar"/>
    <w:rsid w:val="005857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57F9"/>
    <w:rPr>
      <w:rFonts w:ascii="Times New Roman" w:eastAsia="Times New Roman" w:hAnsi="Times New Roman" w:cs="Times New Roman"/>
      <w:sz w:val="16"/>
      <w:szCs w:val="20"/>
      <w:lang w:val="en-GB" w:eastAsia="en-US"/>
    </w:rPr>
  </w:style>
  <w:style w:type="character" w:styleId="Emphasis">
    <w:name w:val="Emphasis"/>
    <w:qFormat/>
    <w:rsid w:val="005857F9"/>
    <w:rPr>
      <w:i/>
    </w:rPr>
  </w:style>
  <w:style w:type="paragraph" w:customStyle="1" w:styleId="SuperHeading">
    <w:name w:val="SuperHeading"/>
    <w:basedOn w:val="Normal"/>
    <w:rsid w:val="005857F9"/>
    <w:pPr>
      <w:spacing w:before="240" w:after="120"/>
      <w:outlineLvl w:val="0"/>
    </w:pPr>
    <w:rPr>
      <w:rFonts w:ascii="Times New Roman" w:hAnsi="Times New Roman"/>
      <w:b/>
      <w:sz w:val="28"/>
    </w:rPr>
  </w:style>
  <w:style w:type="paragraph" w:customStyle="1" w:styleId="AllowPageBreak">
    <w:name w:val="AllowPageBreak"/>
    <w:rsid w:val="005857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857F9"/>
    <w:rPr>
      <w:rFonts w:ascii="Times New Roman" w:eastAsia="Times New Roman" w:hAnsi="Times New Roman" w:cs="Times New Roman"/>
      <w:b/>
      <w:sz w:val="28"/>
      <w:szCs w:val="40"/>
      <w:lang w:eastAsia="en-US"/>
    </w:rPr>
  </w:style>
  <w:style w:type="character" w:customStyle="1" w:styleId="Heading3Char">
    <w:name w:val="Heading 3 Char"/>
    <w:link w:val="Heading3"/>
    <w:rsid w:val="005857F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57F9"/>
    <w:rPr>
      <w:rFonts w:ascii="Times New Roman" w:eastAsia="Times New Roman" w:hAnsi="Times New Roman" w:cs="Times New Roman"/>
      <w:b/>
      <w:szCs w:val="20"/>
      <w:lang w:eastAsia="en-US"/>
    </w:rPr>
  </w:style>
  <w:style w:type="character" w:customStyle="1" w:styleId="Heading5Char">
    <w:name w:val="Heading 5 Char"/>
    <w:link w:val="Heading5"/>
    <w:rsid w:val="005857F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57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7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57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57F9"/>
    <w:rPr>
      <w:rFonts w:ascii="Courier New" w:eastAsia="Times New Roman" w:hAnsi="Courier New" w:cs="Times New Roman"/>
      <w:i/>
      <w:szCs w:val="20"/>
      <w:lang w:val="en-US" w:eastAsia="en-US"/>
    </w:rPr>
  </w:style>
  <w:style w:type="paragraph" w:customStyle="1" w:styleId="HeadingBase">
    <w:name w:val="Heading Base"/>
    <w:rsid w:val="005857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7F9"/>
    <w:pPr>
      <w:tabs>
        <w:tab w:val="right" w:leader="dot" w:pos="9072"/>
      </w:tabs>
      <w:ind w:left="567"/>
    </w:pPr>
    <w:rPr>
      <w:szCs w:val="22"/>
    </w:rPr>
  </w:style>
  <w:style w:type="paragraph" w:customStyle="1" w:styleId="TOCBase">
    <w:name w:val="TOC Base"/>
    <w:rsid w:val="005857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7F9"/>
    <w:pPr>
      <w:tabs>
        <w:tab w:val="right" w:leader="dot" w:pos="9072"/>
      </w:tabs>
      <w:spacing w:before="40" w:after="40"/>
      <w:ind w:left="284"/>
    </w:pPr>
    <w:rPr>
      <w:rFonts w:ascii="Times New Roman" w:hAnsi="Times New Roman"/>
    </w:rPr>
  </w:style>
  <w:style w:type="paragraph" w:styleId="TOC1">
    <w:name w:val="toc 1"/>
    <w:basedOn w:val="TOCBase"/>
    <w:next w:val="Normal"/>
    <w:rsid w:val="005857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57F9"/>
    <w:pPr>
      <w:spacing w:before="5040"/>
      <w:jc w:val="center"/>
    </w:pPr>
    <w:rPr>
      <w:sz w:val="48"/>
      <w:szCs w:val="72"/>
      <w:lang w:val="en-US"/>
    </w:rPr>
  </w:style>
  <w:style w:type="character" w:customStyle="1" w:styleId="TitleChar">
    <w:name w:val="Title Char"/>
    <w:link w:val="Title"/>
    <w:rsid w:val="005857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7F9"/>
    <w:pPr>
      <w:tabs>
        <w:tab w:val="left" w:pos="3600"/>
        <w:tab w:val="left" w:pos="3958"/>
      </w:tabs>
    </w:pPr>
  </w:style>
  <w:style w:type="paragraph" w:customStyle="1" w:styleId="Note">
    <w:name w:val="Note"/>
    <w:basedOn w:val="BodyText"/>
    <w:rsid w:val="005857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7F9"/>
    <w:pPr>
      <w:framePr w:wrap="auto" w:hAnchor="text" w:y="6049"/>
    </w:pPr>
    <w:rPr>
      <w:color w:val="000000"/>
      <w:sz w:val="40"/>
    </w:rPr>
  </w:style>
  <w:style w:type="paragraph" w:customStyle="1" w:styleId="TOCTitle">
    <w:name w:val="TOCTitle"/>
    <w:basedOn w:val="Heading1"/>
    <w:rsid w:val="005857F9"/>
    <w:pPr>
      <w:spacing w:after="240"/>
      <w:jc w:val="center"/>
      <w:outlineLvl w:val="9"/>
    </w:pPr>
    <w:rPr>
      <w:caps/>
    </w:rPr>
  </w:style>
  <w:style w:type="paragraph" w:customStyle="1" w:styleId="Version">
    <w:name w:val="Version"/>
    <w:rsid w:val="005857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7F9"/>
    <w:pPr>
      <w:keepNext w:val="0"/>
      <w:tabs>
        <w:tab w:val="right" w:pos="4176"/>
      </w:tabs>
      <w:ind w:left="198" w:hanging="198"/>
    </w:pPr>
    <w:rPr>
      <w:rFonts w:ascii="Garamond" w:hAnsi="Garamond"/>
    </w:rPr>
  </w:style>
  <w:style w:type="paragraph" w:styleId="IndexHeading">
    <w:name w:val="index heading"/>
    <w:basedOn w:val="Normal"/>
    <w:next w:val="Index1"/>
    <w:semiHidden/>
    <w:rsid w:val="005857F9"/>
    <w:pPr>
      <w:spacing w:before="120" w:after="120"/>
    </w:pPr>
    <w:rPr>
      <w:rFonts w:ascii="Arial" w:hAnsi="Arial"/>
      <w:b/>
      <w:color w:val="918585"/>
      <w:sz w:val="24"/>
    </w:rPr>
  </w:style>
  <w:style w:type="paragraph" w:customStyle="1" w:styleId="Chapter">
    <w:name w:val="Chapter"/>
    <w:basedOn w:val="Normal"/>
    <w:rsid w:val="005857F9"/>
    <w:pPr>
      <w:spacing w:before="240"/>
    </w:pPr>
    <w:rPr>
      <w:rFonts w:ascii="Times New Roman" w:hAnsi="Times New Roman"/>
      <w:smallCaps/>
      <w:spacing w:val="80"/>
      <w:sz w:val="28"/>
    </w:rPr>
  </w:style>
  <w:style w:type="paragraph" w:customStyle="1" w:styleId="InChapter">
    <w:name w:val="InChapter"/>
    <w:basedOn w:val="Heading3"/>
    <w:rsid w:val="005857F9"/>
    <w:pPr>
      <w:spacing w:after="240"/>
      <w:outlineLvl w:val="9"/>
    </w:pPr>
    <w:rPr>
      <w:noProof/>
    </w:rPr>
  </w:style>
  <w:style w:type="paragraph" w:styleId="Index2">
    <w:name w:val="index 2"/>
    <w:basedOn w:val="Normal"/>
    <w:next w:val="Normal"/>
    <w:semiHidden/>
    <w:rsid w:val="005857F9"/>
    <w:pPr>
      <w:tabs>
        <w:tab w:val="right" w:pos="4176"/>
      </w:tabs>
      <w:ind w:left="568" w:hanging="284"/>
    </w:pPr>
    <w:rPr>
      <w:rFonts w:ascii="Garamond" w:hAnsi="Garamond"/>
    </w:rPr>
  </w:style>
  <w:style w:type="paragraph" w:customStyle="1" w:styleId="Byline">
    <w:name w:val="Byline"/>
    <w:rsid w:val="005857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7F9"/>
    <w:pPr>
      <w:tabs>
        <w:tab w:val="clear" w:pos="3600"/>
        <w:tab w:val="clear" w:pos="3958"/>
      </w:tabs>
      <w:jc w:val="right"/>
    </w:pPr>
  </w:style>
  <w:style w:type="paragraph" w:styleId="Caption">
    <w:name w:val="caption"/>
    <w:basedOn w:val="BodyText"/>
    <w:next w:val="Normal"/>
    <w:qFormat/>
    <w:rsid w:val="005857F9"/>
    <w:pPr>
      <w:framePr w:w="2268" w:hSpace="181" w:vSpace="181" w:wrap="around" w:vAnchor="text" w:hAnchor="page" w:x="1135" w:y="285" w:anchorLock="1"/>
    </w:pPr>
    <w:rPr>
      <w:i/>
    </w:rPr>
  </w:style>
  <w:style w:type="paragraph" w:customStyle="1" w:styleId="MiniTOCTitle">
    <w:name w:val="MiniTOCTitle"/>
    <w:basedOn w:val="Heading4"/>
    <w:rsid w:val="005857F9"/>
    <w:pPr>
      <w:spacing w:before="240"/>
      <w:outlineLvl w:val="9"/>
    </w:pPr>
    <w:rPr>
      <w:noProof/>
      <w:sz w:val="24"/>
    </w:rPr>
  </w:style>
  <w:style w:type="paragraph" w:customStyle="1" w:styleId="MiniTOCItem">
    <w:name w:val="MiniTOCItem"/>
    <w:basedOn w:val="ListBullet"/>
    <w:rsid w:val="005857F9"/>
    <w:pPr>
      <w:numPr>
        <w:numId w:val="0"/>
      </w:numPr>
      <w:tabs>
        <w:tab w:val="right" w:leader="dot" w:pos="6521"/>
      </w:tabs>
      <w:spacing w:before="0" w:after="0"/>
    </w:pPr>
  </w:style>
  <w:style w:type="paragraph" w:customStyle="1" w:styleId="TOFTitle">
    <w:name w:val="TOFTitle"/>
    <w:basedOn w:val="TOCTitle"/>
    <w:rsid w:val="005857F9"/>
  </w:style>
  <w:style w:type="paragraph" w:styleId="TableofFigures">
    <w:name w:val="table of figures"/>
    <w:basedOn w:val="Normal"/>
    <w:next w:val="Normal"/>
    <w:semiHidden/>
    <w:rsid w:val="005857F9"/>
    <w:pPr>
      <w:tabs>
        <w:tab w:val="right" w:leader="dot" w:pos="9072"/>
      </w:tabs>
      <w:ind w:left="970" w:hanging="403"/>
    </w:pPr>
    <w:rPr>
      <w:rFonts w:ascii="Times New Roman" w:hAnsi="Times New Roman"/>
      <w:b/>
    </w:rPr>
  </w:style>
  <w:style w:type="paragraph" w:styleId="ListNumber">
    <w:name w:val="List Number"/>
    <w:basedOn w:val="List"/>
    <w:rsid w:val="005857F9"/>
    <w:pPr>
      <w:numPr>
        <w:numId w:val="11"/>
      </w:numPr>
    </w:pPr>
  </w:style>
  <w:style w:type="character" w:customStyle="1" w:styleId="WingdingSymbols">
    <w:name w:val="Wingding Symbols"/>
    <w:rsid w:val="005857F9"/>
    <w:rPr>
      <w:rFonts w:ascii="Wingdings" w:hAnsi="Wingdings"/>
    </w:rPr>
  </w:style>
  <w:style w:type="paragraph" w:customStyle="1" w:styleId="TableHeading">
    <w:name w:val="Table Heading"/>
    <w:basedOn w:val="HeadingBase"/>
    <w:rsid w:val="005857F9"/>
    <w:pPr>
      <w:keepLines/>
      <w:pBdr>
        <w:bottom w:val="single" w:sz="6" w:space="1" w:color="918585"/>
      </w:pBdr>
      <w:spacing w:before="240"/>
    </w:pPr>
  </w:style>
  <w:style w:type="character" w:customStyle="1" w:styleId="HotSpot">
    <w:name w:val="HotSpot"/>
    <w:rsid w:val="005857F9"/>
    <w:rPr>
      <w:color w:val="0033CC"/>
      <w:u w:val="none"/>
    </w:rPr>
  </w:style>
  <w:style w:type="paragraph" w:customStyle="1" w:styleId="BodyTextRight">
    <w:name w:val="Body Text Right"/>
    <w:basedOn w:val="BodyText"/>
    <w:rsid w:val="005857F9"/>
    <w:pPr>
      <w:spacing w:before="0" w:after="0"/>
      <w:jc w:val="right"/>
    </w:pPr>
  </w:style>
  <w:style w:type="paragraph" w:styleId="Index3">
    <w:name w:val="index 3"/>
    <w:basedOn w:val="ListNumber2"/>
    <w:next w:val="Normal"/>
    <w:semiHidden/>
    <w:rsid w:val="005857F9"/>
    <w:pPr>
      <w:numPr>
        <w:numId w:val="0"/>
      </w:numPr>
      <w:tabs>
        <w:tab w:val="right" w:leader="dot" w:pos="4176"/>
      </w:tabs>
    </w:pPr>
  </w:style>
  <w:style w:type="paragraph" w:styleId="ListNumber2">
    <w:name w:val="List Number 2"/>
    <w:basedOn w:val="List2"/>
    <w:rsid w:val="005857F9"/>
    <w:pPr>
      <w:numPr>
        <w:numId w:val="10"/>
      </w:numPr>
      <w:tabs>
        <w:tab w:val="clear" w:pos="1060"/>
      </w:tabs>
    </w:pPr>
  </w:style>
  <w:style w:type="paragraph" w:customStyle="1" w:styleId="MarginNote">
    <w:name w:val="Margin Note"/>
    <w:basedOn w:val="BodyText"/>
    <w:rsid w:val="005857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7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57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57F9"/>
    <w:rPr>
      <w:sz w:val="32"/>
    </w:rPr>
  </w:style>
  <w:style w:type="paragraph" w:customStyle="1" w:styleId="HeadingProcedure">
    <w:name w:val="Heading Procedure"/>
    <w:basedOn w:val="HeadingBase"/>
    <w:next w:val="Normal"/>
    <w:rsid w:val="005857F9"/>
    <w:pPr>
      <w:tabs>
        <w:tab w:val="left" w:pos="0"/>
      </w:tabs>
      <w:spacing w:before="120" w:after="60"/>
    </w:pPr>
    <w:rPr>
      <w:i/>
      <w:color w:val="918585"/>
      <w:sz w:val="22"/>
    </w:rPr>
  </w:style>
  <w:style w:type="paragraph" w:customStyle="1" w:styleId="TableBodyText">
    <w:name w:val="Table Body Text"/>
    <w:basedOn w:val="BodyText"/>
    <w:rsid w:val="005857F9"/>
    <w:pPr>
      <w:spacing w:before="60" w:after="60"/>
    </w:pPr>
  </w:style>
  <w:style w:type="paragraph" w:styleId="ListContinue">
    <w:name w:val="List Continue"/>
    <w:basedOn w:val="List"/>
    <w:rsid w:val="005857F9"/>
    <w:pPr>
      <w:ind w:firstLine="0"/>
    </w:pPr>
  </w:style>
  <w:style w:type="paragraph" w:customStyle="1" w:styleId="ListNote">
    <w:name w:val="List Note"/>
    <w:basedOn w:val="List"/>
    <w:rsid w:val="005857F9"/>
    <w:pPr>
      <w:pBdr>
        <w:top w:val="single" w:sz="6" w:space="2" w:color="918585"/>
        <w:bottom w:val="single" w:sz="6" w:space="2" w:color="918585"/>
      </w:pBdr>
      <w:tabs>
        <w:tab w:val="left" w:pos="1021"/>
      </w:tabs>
      <w:ind w:firstLine="0"/>
    </w:pPr>
  </w:style>
  <w:style w:type="paragraph" w:customStyle="1" w:styleId="Warning">
    <w:name w:val="Warning"/>
    <w:basedOn w:val="BodyText"/>
    <w:rsid w:val="005857F9"/>
    <w:pPr>
      <w:shd w:val="clear" w:color="auto" w:fill="D9D9D9"/>
      <w:tabs>
        <w:tab w:val="left" w:pos="992"/>
      </w:tabs>
      <w:ind w:left="119" w:right="119"/>
    </w:pPr>
    <w:rPr>
      <w:sz w:val="20"/>
    </w:rPr>
  </w:style>
  <w:style w:type="paragraph" w:customStyle="1" w:styleId="MarginIcons">
    <w:name w:val="Margin Icons"/>
    <w:basedOn w:val="BodyText"/>
    <w:rsid w:val="005857F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57F9"/>
    <w:rPr>
      <w:rFonts w:ascii="Courier New" w:hAnsi="Courier New"/>
    </w:rPr>
  </w:style>
  <w:style w:type="paragraph" w:customStyle="1" w:styleId="NoteBullet">
    <w:name w:val="Note Bullet"/>
    <w:basedOn w:val="Note"/>
    <w:rsid w:val="005857F9"/>
    <w:pPr>
      <w:tabs>
        <w:tab w:val="clear" w:pos="680"/>
      </w:tabs>
      <w:spacing w:before="60" w:after="60"/>
    </w:pPr>
  </w:style>
  <w:style w:type="paragraph" w:customStyle="1" w:styleId="SubHeading2">
    <w:name w:val="SubHeading2"/>
    <w:basedOn w:val="HeadingBase"/>
    <w:rsid w:val="005857F9"/>
    <w:pPr>
      <w:spacing w:before="240" w:after="60"/>
    </w:pPr>
    <w:rPr>
      <w:sz w:val="20"/>
    </w:rPr>
  </w:style>
  <w:style w:type="paragraph" w:customStyle="1" w:styleId="SubHeading1">
    <w:name w:val="SubHeading1"/>
    <w:basedOn w:val="HeadingBase"/>
    <w:rsid w:val="005857F9"/>
    <w:pPr>
      <w:spacing w:before="240" w:after="60"/>
    </w:pPr>
    <w:rPr>
      <w:color w:val="918585"/>
      <w:sz w:val="22"/>
    </w:rPr>
  </w:style>
  <w:style w:type="paragraph" w:customStyle="1" w:styleId="SideHeading">
    <w:name w:val="Side Heading"/>
    <w:basedOn w:val="HeadingBase"/>
    <w:rsid w:val="005857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7F9"/>
    <w:pPr>
      <w:numPr>
        <w:numId w:val="12"/>
      </w:numPr>
    </w:pPr>
  </w:style>
  <w:style w:type="paragraph" w:styleId="PlainText">
    <w:name w:val="Plain Text"/>
    <w:basedOn w:val="Normal"/>
    <w:link w:val="PlainTextChar"/>
    <w:rsid w:val="005857F9"/>
    <w:rPr>
      <w:sz w:val="20"/>
    </w:rPr>
  </w:style>
  <w:style w:type="character" w:customStyle="1" w:styleId="PlainTextChar">
    <w:name w:val="Plain Text Char"/>
    <w:basedOn w:val="DefaultParagraphFont"/>
    <w:link w:val="PlainText"/>
    <w:rsid w:val="005857F9"/>
    <w:rPr>
      <w:rFonts w:ascii="Courier New" w:eastAsia="Times New Roman" w:hAnsi="Courier New" w:cs="Times New Roman"/>
      <w:sz w:val="20"/>
      <w:szCs w:val="20"/>
      <w:lang w:val="en-US" w:eastAsia="en-US"/>
    </w:rPr>
  </w:style>
  <w:style w:type="character" w:customStyle="1" w:styleId="MenuOption">
    <w:name w:val="Menu Option"/>
    <w:rsid w:val="005857F9"/>
    <w:rPr>
      <w:b/>
      <w:smallCaps/>
    </w:rPr>
  </w:style>
  <w:style w:type="paragraph" w:customStyle="1" w:styleId="TableListNumber">
    <w:name w:val="Table List Number"/>
    <w:basedOn w:val="ListNumber"/>
    <w:rsid w:val="005857F9"/>
    <w:pPr>
      <w:numPr>
        <w:numId w:val="0"/>
      </w:numPr>
    </w:pPr>
  </w:style>
  <w:style w:type="paragraph" w:styleId="TOC4">
    <w:name w:val="toc 4"/>
    <w:basedOn w:val="TOCBase"/>
    <w:next w:val="Normal"/>
    <w:semiHidden/>
    <w:rsid w:val="005857F9"/>
    <w:pPr>
      <w:tabs>
        <w:tab w:val="right" w:leader="dot" w:pos="9071"/>
      </w:tabs>
      <w:ind w:left="1701"/>
    </w:pPr>
  </w:style>
  <w:style w:type="paragraph" w:customStyle="1" w:styleId="ListAlpha">
    <w:name w:val="List Alpha"/>
    <w:basedOn w:val="List"/>
    <w:rsid w:val="005857F9"/>
    <w:pPr>
      <w:numPr>
        <w:numId w:val="9"/>
      </w:numPr>
    </w:pPr>
  </w:style>
  <w:style w:type="paragraph" w:customStyle="1" w:styleId="ListAlpha2">
    <w:name w:val="List Alpha 2"/>
    <w:basedOn w:val="List2"/>
    <w:rsid w:val="005857F9"/>
    <w:pPr>
      <w:numPr>
        <w:numId w:val="8"/>
      </w:numPr>
    </w:pPr>
  </w:style>
  <w:style w:type="paragraph" w:styleId="List2">
    <w:name w:val="List 2"/>
    <w:basedOn w:val="BodyText"/>
    <w:rsid w:val="005857F9"/>
    <w:pPr>
      <w:tabs>
        <w:tab w:val="left" w:pos="680"/>
      </w:tabs>
      <w:spacing w:before="60" w:after="60"/>
      <w:ind w:left="680" w:hanging="340"/>
    </w:pPr>
  </w:style>
  <w:style w:type="paragraph" w:styleId="List3">
    <w:name w:val="List 3"/>
    <w:basedOn w:val="BodyText"/>
    <w:rsid w:val="005857F9"/>
    <w:pPr>
      <w:tabs>
        <w:tab w:val="left" w:pos="1021"/>
      </w:tabs>
      <w:spacing w:before="60" w:after="60"/>
      <w:ind w:left="1020" w:hanging="340"/>
    </w:pPr>
  </w:style>
  <w:style w:type="paragraph" w:styleId="List4">
    <w:name w:val="List 4"/>
    <w:basedOn w:val="BodyText"/>
    <w:rsid w:val="005857F9"/>
    <w:pPr>
      <w:tabs>
        <w:tab w:val="left" w:pos="1361"/>
      </w:tabs>
      <w:spacing w:before="60" w:after="60"/>
      <w:ind w:left="1361" w:hanging="340"/>
    </w:pPr>
  </w:style>
  <w:style w:type="paragraph" w:styleId="List5">
    <w:name w:val="List 5"/>
    <w:basedOn w:val="BodyText"/>
    <w:rsid w:val="005857F9"/>
    <w:pPr>
      <w:tabs>
        <w:tab w:val="left" w:pos="1701"/>
      </w:tabs>
      <w:spacing w:before="60" w:after="60"/>
      <w:ind w:left="1701" w:hanging="340"/>
    </w:pPr>
  </w:style>
  <w:style w:type="paragraph" w:styleId="ListBullet3">
    <w:name w:val="List Bullet 3"/>
    <w:basedOn w:val="List3"/>
    <w:rsid w:val="005857F9"/>
    <w:pPr>
      <w:numPr>
        <w:numId w:val="15"/>
      </w:numPr>
      <w:tabs>
        <w:tab w:val="clear" w:pos="1021"/>
      </w:tabs>
      <w:ind w:left="1037" w:hanging="357"/>
    </w:pPr>
  </w:style>
  <w:style w:type="paragraph" w:styleId="ListBullet4">
    <w:name w:val="List Bullet 4"/>
    <w:basedOn w:val="List4"/>
    <w:rsid w:val="005857F9"/>
    <w:pPr>
      <w:numPr>
        <w:numId w:val="3"/>
      </w:numPr>
    </w:pPr>
  </w:style>
  <w:style w:type="paragraph" w:styleId="ListBullet5">
    <w:name w:val="List Bullet 5"/>
    <w:basedOn w:val="List5"/>
    <w:rsid w:val="005857F9"/>
    <w:pPr>
      <w:numPr>
        <w:numId w:val="4"/>
      </w:numPr>
    </w:pPr>
  </w:style>
  <w:style w:type="paragraph" w:styleId="ListContinue2">
    <w:name w:val="List Continue 2"/>
    <w:basedOn w:val="List2"/>
    <w:rsid w:val="005857F9"/>
    <w:pPr>
      <w:ind w:firstLine="0"/>
    </w:pPr>
  </w:style>
  <w:style w:type="paragraph" w:styleId="ListContinue3">
    <w:name w:val="List Continue 3"/>
    <w:basedOn w:val="List3"/>
    <w:rsid w:val="005857F9"/>
    <w:pPr>
      <w:ind w:left="1021" w:firstLine="0"/>
    </w:pPr>
  </w:style>
  <w:style w:type="paragraph" w:styleId="ListContinue4">
    <w:name w:val="List Continue 4"/>
    <w:basedOn w:val="List4"/>
    <w:rsid w:val="005857F9"/>
    <w:pPr>
      <w:ind w:firstLine="0"/>
    </w:pPr>
  </w:style>
  <w:style w:type="paragraph" w:styleId="ListContinue5">
    <w:name w:val="List Continue 5"/>
    <w:basedOn w:val="List5"/>
    <w:rsid w:val="005857F9"/>
    <w:pPr>
      <w:ind w:firstLine="0"/>
    </w:pPr>
  </w:style>
  <w:style w:type="paragraph" w:styleId="ListNumber3">
    <w:name w:val="List Number 3"/>
    <w:basedOn w:val="List3"/>
    <w:rsid w:val="005857F9"/>
    <w:pPr>
      <w:numPr>
        <w:numId w:val="5"/>
      </w:numPr>
    </w:pPr>
  </w:style>
  <w:style w:type="paragraph" w:styleId="ListNumber4">
    <w:name w:val="List Number 4"/>
    <w:basedOn w:val="List4"/>
    <w:rsid w:val="005857F9"/>
    <w:pPr>
      <w:numPr>
        <w:numId w:val="6"/>
      </w:numPr>
    </w:pPr>
  </w:style>
  <w:style w:type="paragraph" w:styleId="ListNumber5">
    <w:name w:val="List Number 5"/>
    <w:basedOn w:val="List5"/>
    <w:rsid w:val="005857F9"/>
    <w:pPr>
      <w:numPr>
        <w:numId w:val="7"/>
      </w:numPr>
    </w:pPr>
  </w:style>
  <w:style w:type="paragraph" w:styleId="BlockText">
    <w:name w:val="Block Text"/>
    <w:basedOn w:val="Normal"/>
    <w:rsid w:val="005857F9"/>
    <w:pPr>
      <w:spacing w:after="120"/>
      <w:ind w:left="1440" w:right="1440"/>
    </w:pPr>
  </w:style>
  <w:style w:type="character" w:customStyle="1" w:styleId="Subscript">
    <w:name w:val="Subscript"/>
    <w:rsid w:val="005857F9"/>
    <w:rPr>
      <w:sz w:val="16"/>
      <w:vertAlign w:val="subscript"/>
    </w:rPr>
  </w:style>
  <w:style w:type="character" w:customStyle="1" w:styleId="Superscript">
    <w:name w:val="Superscript"/>
    <w:rsid w:val="005857F9"/>
    <w:rPr>
      <w:sz w:val="16"/>
      <w:vertAlign w:val="superscript"/>
    </w:rPr>
  </w:style>
  <w:style w:type="character" w:customStyle="1" w:styleId="Symbols">
    <w:name w:val="Symbols"/>
    <w:rsid w:val="005857F9"/>
    <w:rPr>
      <w:rFonts w:ascii="Symbol" w:hAnsi="Symbol"/>
    </w:rPr>
  </w:style>
  <w:style w:type="character" w:customStyle="1" w:styleId="MenuOptions">
    <w:name w:val="Menu Options"/>
    <w:rsid w:val="005857F9"/>
    <w:rPr>
      <w:rFonts w:ascii="Arial Narrow" w:hAnsi="Arial Narrow"/>
      <w:smallCaps/>
    </w:rPr>
  </w:style>
  <w:style w:type="character" w:customStyle="1" w:styleId="Buttons">
    <w:name w:val="Buttons"/>
    <w:rsid w:val="005857F9"/>
    <w:rPr>
      <w:b/>
    </w:rPr>
  </w:style>
  <w:style w:type="character" w:customStyle="1" w:styleId="Underlined">
    <w:name w:val="Underlined"/>
    <w:rsid w:val="005857F9"/>
    <w:rPr>
      <w:u w:val="single"/>
    </w:rPr>
  </w:style>
  <w:style w:type="paragraph" w:customStyle="1" w:styleId="TableBodyTextRight">
    <w:name w:val="Table Body Text Right"/>
    <w:basedOn w:val="TableBodyText"/>
    <w:rsid w:val="005857F9"/>
    <w:pPr>
      <w:widowControl w:val="0"/>
      <w:autoSpaceDE w:val="0"/>
      <w:autoSpaceDN w:val="0"/>
      <w:adjustRightInd w:val="0"/>
      <w:jc w:val="right"/>
    </w:pPr>
    <w:rPr>
      <w:rFonts w:cs="Arial"/>
      <w:szCs w:val="18"/>
    </w:rPr>
  </w:style>
  <w:style w:type="paragraph" w:customStyle="1" w:styleId="CopyrightText">
    <w:name w:val="Copyright Text"/>
    <w:basedOn w:val="BodyText"/>
    <w:rsid w:val="005857F9"/>
    <w:rPr>
      <w:sz w:val="18"/>
    </w:rPr>
  </w:style>
  <w:style w:type="paragraph" w:customStyle="1" w:styleId="BodySmallRight">
    <w:name w:val="Body Small Right"/>
    <w:basedOn w:val="BodyTextRight"/>
    <w:rsid w:val="005857F9"/>
    <w:rPr>
      <w:sz w:val="18"/>
      <w:szCs w:val="18"/>
    </w:rPr>
  </w:style>
  <w:style w:type="paragraph" w:customStyle="1" w:styleId="MarginEdition">
    <w:name w:val="Margin Edition"/>
    <w:basedOn w:val="MarginNote"/>
    <w:rsid w:val="005857F9"/>
    <w:pPr>
      <w:spacing w:before="0" w:after="0"/>
    </w:pPr>
    <w:rPr>
      <w:rFonts w:ascii="Times New Roman" w:hAnsi="Times New Roman"/>
      <w:color w:val="999999"/>
    </w:rPr>
  </w:style>
  <w:style w:type="paragraph" w:customStyle="1" w:styleId="Spacer">
    <w:name w:val="Spacer"/>
    <w:basedOn w:val="Normal"/>
    <w:rsid w:val="005857F9"/>
    <w:rPr>
      <w:sz w:val="2"/>
      <w:szCs w:val="2"/>
    </w:rPr>
  </w:style>
  <w:style w:type="character" w:customStyle="1" w:styleId="Small">
    <w:name w:val="Small"/>
    <w:rsid w:val="005857F9"/>
    <w:rPr>
      <w:sz w:val="16"/>
    </w:rPr>
  </w:style>
  <w:style w:type="paragraph" w:customStyle="1" w:styleId="WideTable">
    <w:name w:val="Wide Table"/>
    <w:basedOn w:val="Normal"/>
    <w:rsid w:val="005857F9"/>
    <w:pPr>
      <w:ind w:left="-1418"/>
    </w:pPr>
    <w:rPr>
      <w:sz w:val="2"/>
      <w:szCs w:val="2"/>
    </w:rPr>
  </w:style>
  <w:style w:type="character" w:styleId="PageNumber">
    <w:name w:val="page number"/>
    <w:rsid w:val="005857F9"/>
  </w:style>
  <w:style w:type="paragraph" w:styleId="Quote">
    <w:name w:val="Quote"/>
    <w:basedOn w:val="Heading1"/>
    <w:link w:val="QuoteChar"/>
    <w:qFormat/>
    <w:rsid w:val="005857F9"/>
    <w:rPr>
      <w:b w:val="0"/>
      <w:sz w:val="72"/>
      <w:szCs w:val="72"/>
      <w:lang w:val="en-NZ"/>
    </w:rPr>
  </w:style>
  <w:style w:type="character" w:customStyle="1" w:styleId="QuoteChar">
    <w:name w:val="Quote Char"/>
    <w:link w:val="Quote"/>
    <w:rsid w:val="005857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7F9"/>
    <w:pPr>
      <w:pageBreakBefore/>
    </w:pPr>
  </w:style>
  <w:style w:type="paragraph" w:customStyle="1" w:styleId="Border">
    <w:name w:val="Border"/>
    <w:basedOn w:val="Normal"/>
    <w:qFormat/>
    <w:rsid w:val="005857F9"/>
    <w:pPr>
      <w:pBdr>
        <w:top w:val="single" w:sz="18" w:space="1" w:color="auto"/>
      </w:pBdr>
    </w:pPr>
    <w:rPr>
      <w:rFonts w:ascii="Times New Roman" w:hAnsi="Times New Roman"/>
      <w:color w:val="FFFFFF"/>
      <w:sz w:val="2"/>
    </w:rPr>
  </w:style>
  <w:style w:type="character" w:styleId="IntenseEmphasis">
    <w:name w:val="Intense Emphasis"/>
    <w:uiPriority w:val="21"/>
    <w:qFormat/>
    <w:rsid w:val="005857F9"/>
    <w:rPr>
      <w:b/>
      <w:bCs/>
      <w:i/>
      <w:iCs/>
      <w:color w:val="auto"/>
    </w:rPr>
  </w:style>
  <w:style w:type="paragraph" w:styleId="IntenseQuote">
    <w:name w:val="Intense Quote"/>
    <w:basedOn w:val="Normal"/>
    <w:next w:val="Normal"/>
    <w:link w:val="IntenseQuoteChar"/>
    <w:uiPriority w:val="30"/>
    <w:qFormat/>
    <w:rsid w:val="005857F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57F9"/>
    <w:rPr>
      <w:rFonts w:ascii="Courier New" w:eastAsia="Times New Roman" w:hAnsi="Courier New" w:cs="Times New Roman"/>
      <w:b/>
      <w:bCs/>
      <w:i/>
      <w:iCs/>
      <w:szCs w:val="20"/>
      <w:lang w:val="en-US" w:eastAsia="en-US"/>
    </w:rPr>
  </w:style>
  <w:style w:type="character" w:styleId="SubtleReference">
    <w:name w:val="Subtle Reference"/>
    <w:uiPriority w:val="31"/>
    <w:qFormat/>
    <w:rsid w:val="005857F9"/>
    <w:rPr>
      <w:smallCaps/>
      <w:color w:val="auto"/>
      <w:u w:val="single"/>
    </w:rPr>
  </w:style>
  <w:style w:type="character" w:styleId="IntenseReference">
    <w:name w:val="Intense Reference"/>
    <w:uiPriority w:val="32"/>
    <w:qFormat/>
    <w:rsid w:val="005857F9"/>
    <w:rPr>
      <w:b/>
      <w:bCs/>
      <w:smallCaps/>
      <w:color w:val="auto"/>
      <w:spacing w:val="5"/>
      <w:u w:val="single"/>
    </w:rPr>
  </w:style>
  <w:style w:type="paragraph" w:customStyle="1" w:styleId="2ColumnHeading">
    <w:name w:val="2Column Heading"/>
    <w:basedOn w:val="BodyText"/>
    <w:qFormat/>
    <w:rsid w:val="005857F9"/>
    <w:pPr>
      <w:spacing w:after="60"/>
      <w:ind w:left="-2268"/>
    </w:pPr>
    <w:rPr>
      <w:b/>
    </w:rPr>
  </w:style>
  <w:style w:type="paragraph" w:customStyle="1" w:styleId="Heading1TOC">
    <w:name w:val="Heading1 TOC"/>
    <w:basedOn w:val="Normal"/>
    <w:qFormat/>
    <w:rsid w:val="005857F9"/>
    <w:pPr>
      <w:spacing w:before="240" w:after="120"/>
    </w:pPr>
    <w:rPr>
      <w:rFonts w:ascii="Times New Roman" w:hAnsi="Times New Roman"/>
      <w:b/>
      <w:sz w:val="32"/>
    </w:rPr>
  </w:style>
  <w:style w:type="paragraph" w:customStyle="1" w:styleId="Heading2TOC">
    <w:name w:val="Heading2 TOC"/>
    <w:basedOn w:val="Normal"/>
    <w:qFormat/>
    <w:rsid w:val="005857F9"/>
    <w:pPr>
      <w:spacing w:before="240" w:after="60"/>
    </w:pPr>
    <w:rPr>
      <w:rFonts w:ascii="Times New Roman" w:hAnsi="Times New Roman"/>
      <w:b/>
      <w:sz w:val="28"/>
    </w:rPr>
  </w:style>
  <w:style w:type="character" w:customStyle="1" w:styleId="Underline">
    <w:name w:val="Underline"/>
    <w:qFormat/>
    <w:rsid w:val="005857F9"/>
    <w:rPr>
      <w:u w:val="single"/>
    </w:rPr>
  </w:style>
  <w:style w:type="character" w:customStyle="1" w:styleId="BoldandItalics">
    <w:name w:val="Bold and Italics"/>
    <w:qFormat/>
    <w:rsid w:val="005857F9"/>
    <w:rPr>
      <w:b/>
      <w:i/>
      <w:u w:val="none"/>
    </w:rPr>
  </w:style>
  <w:style w:type="paragraph" w:styleId="BalloonText">
    <w:name w:val="Balloon Text"/>
    <w:basedOn w:val="Normal"/>
    <w:link w:val="BalloonTextChar"/>
    <w:rsid w:val="005857F9"/>
    <w:rPr>
      <w:rFonts w:ascii="Tahoma" w:hAnsi="Tahoma" w:cs="Tahoma"/>
      <w:sz w:val="16"/>
      <w:szCs w:val="16"/>
    </w:rPr>
  </w:style>
  <w:style w:type="character" w:customStyle="1" w:styleId="BalloonTextChar">
    <w:name w:val="Balloon Text Char"/>
    <w:link w:val="BalloonText"/>
    <w:rsid w:val="005857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57F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57F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1411</Words>
  <Characters>8888</Characters>
  <Application>Microsoft Office Word</Application>
  <DocSecurity>0</DocSecurity>
  <Lines>321</Lines>
  <Paragraphs>163</Paragraphs>
  <ScaleCrop>false</ScaleCrop>
  <Company>Author-it Software Corporation Ltd.</Company>
  <LinksUpToDate>false</LinksUpToDate>
  <CharactersWithSpaces>10230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HLTCC402B Complete highly complex clinical coding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2012-05-27T00:14:00Z</dcterms:created>
  <dcterms:modified xsi:type="dcterms:W3CDTF">2012-05-27T00:14:00Z</dcterms:modified>
</cp:coreProperties>
</file>