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460" w:rsidP="00225460">
      <w:pPr>
        <w:pStyle w:val="Title"/>
      </w:pPr>
      <w:r>
        <w:fldChar w:fldCharType="begin"/>
      </w:r>
      <w:r>
        <w:instrText xml:space="preserve"> TITLE   \* MERGEFORMAT </w:instrText>
      </w:r>
      <w:r>
        <w:fldChar w:fldCharType="separate"/>
      </w:r>
      <w:r>
        <w:t>HLTCC401B Undertake complex clinical coding</w:t>
      </w:r>
      <w:r>
        <w:fldChar w:fldCharType="end"/>
      </w:r>
    </w:p>
    <w:p w:rsidR="00225460" w:rsidP="00225460">
      <w:pPr>
        <w:pStyle w:val="Version"/>
        <w:sectPr w:rsidSect="002F4A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AD7" w:rsidP="002F4AD7">
      <w:pPr>
        <w:pStyle w:val="SuperHeading"/>
      </w:pPr>
      <w:r w:rsidRPr="002F4AD7">
        <w:t>HLTCC401B Undertake complex clinical coding</w:t>
      </w:r>
    </w:p>
    <w:p w:rsidR="00000000" w:rsidRPr="002F4AD7" w:rsidP="002F4AD7">
      <w:pPr>
        <w:pStyle w:val="Heading1"/>
      </w:pPr>
      <w:bookmarkStart w:id="1" w:name="O_271065"/>
      <w:bookmarkEnd w:id="1"/>
      <w:r w:rsidRPr="002F4AD7">
        <w:t>Modification History</w:t>
      </w:r>
    </w:p>
    <w:p w:rsidR="00000000" w:rsidRPr="002F4AD7" w:rsidP="002F4AD7">
      <w:pPr>
        <w:pStyle w:val="BodyText"/>
      </w:pPr>
      <w:r w:rsidRPr="002F4AD7">
        <w:t>Not Applicable</w:t>
      </w:r>
    </w:p>
    <w:p w:rsidR="00000000" w:rsidRPr="002F4AD7" w:rsidP="002F4AD7">
      <w:pPr>
        <w:pStyle w:val="AllowPageBreak"/>
      </w:pPr>
    </w:p>
    <w:p w:rsidR="00000000" w:rsidRPr="002F4AD7" w:rsidP="002F4AD7">
      <w:pPr>
        <w:pStyle w:val="Heading1"/>
      </w:pPr>
      <w:bookmarkStart w:id="2" w:name="O_205487"/>
      <w:bookmarkEnd w:id="2"/>
      <w:r w:rsidRPr="002F4AD7">
        <w:t>Unit Descriptor</w:t>
      </w:r>
    </w:p>
    <w:tbl>
      <w:tblPr>
        <w:tblW w:w="0" w:type="auto"/>
        <w:tblLayout w:type="fixed"/>
        <w:tblCellMar>
          <w:left w:w="62" w:type="dxa"/>
          <w:right w:w="62" w:type="dxa"/>
        </w:tblCellMar>
        <w:tblLook w:val="0000"/>
      </w:tblPr>
      <w:tblGrid>
        <w:gridCol w:w="3339"/>
        <w:gridCol w:w="5217"/>
      </w:tblGrid>
      <w:tr w:rsidTr="0022546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This unit of competency describes the skills and knowledge required to undertake coding of moderately complex disch</w:t>
            </w:r>
            <w:r w:rsidRPr="002F4AD7">
              <w:t>arge summaries, medical reports and medical records, including the selection of the primary diagnosis and sequencing of other diagnoses for coding</w:t>
            </w:r>
          </w:p>
        </w:tc>
      </w:tr>
    </w:tbl>
    <w:p w:rsidR="00225460" w:rsidP="002F4AD7">
      <w:pPr>
        <w:pStyle w:val="BodyText"/>
      </w:pPr>
    </w:p>
    <w:p w:rsidR="00225460" w:rsidP="002F4AD7">
      <w:pPr>
        <w:pStyle w:val="BodyText"/>
      </w:pPr>
    </w:p>
    <w:p w:rsidR="00000000" w:rsidRPr="002F4AD7" w:rsidP="002F4AD7">
      <w:pPr>
        <w:pStyle w:val="Heading1"/>
      </w:pPr>
      <w:bookmarkStart w:id="3" w:name="O_205490"/>
      <w:bookmarkEnd w:id="3"/>
      <w:r w:rsidRPr="002F4AD7">
        <w:t>Application of the Unit</w:t>
      </w:r>
    </w:p>
    <w:tbl>
      <w:tblPr>
        <w:tblW w:w="0" w:type="auto"/>
        <w:tblLayout w:type="fixed"/>
        <w:tblCellMar>
          <w:left w:w="62" w:type="dxa"/>
          <w:right w:w="62" w:type="dxa"/>
        </w:tblCellMar>
        <w:tblLook w:val="0000"/>
      </w:tblPr>
      <w:tblGrid>
        <w:gridCol w:w="3348"/>
        <w:gridCol w:w="5208"/>
      </w:tblGrid>
      <w:tr w:rsidTr="0022546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Work performed requires a range of well developed skills where discretion and judgement is required and individuals will take responsibility for their own outputs</w:t>
            </w:r>
          </w:p>
        </w:tc>
      </w:tr>
    </w:tbl>
    <w:p w:rsidR="00225460" w:rsidP="002F4AD7">
      <w:pPr>
        <w:pStyle w:val="BodyText"/>
      </w:pPr>
    </w:p>
    <w:p w:rsidR="00225460" w:rsidP="002F4AD7">
      <w:pPr>
        <w:pStyle w:val="BodyText"/>
      </w:pPr>
    </w:p>
    <w:p w:rsidR="00000000" w:rsidRPr="002F4AD7" w:rsidP="002F4AD7">
      <w:pPr>
        <w:pStyle w:val="Heading1"/>
      </w:pPr>
      <w:bookmarkStart w:id="4" w:name="O_279325"/>
      <w:bookmarkEnd w:id="4"/>
      <w:r w:rsidRPr="002F4AD7">
        <w:t>Licensing/Regulatory Information</w:t>
      </w:r>
    </w:p>
    <w:p w:rsidR="00000000" w:rsidRPr="002F4AD7" w:rsidP="002F4AD7">
      <w:pPr>
        <w:pStyle w:val="BodyText"/>
      </w:pPr>
      <w:r w:rsidRPr="002F4AD7">
        <w:t>Not Applicable</w:t>
      </w:r>
    </w:p>
    <w:p w:rsidR="00000000" w:rsidRPr="002F4AD7" w:rsidP="002F4AD7">
      <w:pPr>
        <w:pStyle w:val="AllowPageBreak"/>
      </w:pPr>
    </w:p>
    <w:p w:rsidR="00000000" w:rsidRPr="002F4AD7" w:rsidP="002F4AD7">
      <w:pPr>
        <w:pStyle w:val="Heading1"/>
      </w:pPr>
      <w:bookmarkStart w:id="5" w:name="O_205489"/>
      <w:bookmarkEnd w:id="5"/>
      <w:r w:rsidRPr="002F4AD7">
        <w:t>Pre-Requisites</w:t>
      </w:r>
    </w:p>
    <w:tbl>
      <w:tblPr>
        <w:tblW w:w="0" w:type="auto"/>
        <w:tblLayout w:type="fixed"/>
        <w:tblCellMar>
          <w:left w:w="62" w:type="dxa"/>
          <w:right w:w="62" w:type="dxa"/>
        </w:tblCellMar>
        <w:tblLook w:val="0000"/>
      </w:tblPr>
      <w:tblGrid>
        <w:gridCol w:w="3219"/>
        <w:gridCol w:w="5337"/>
      </w:tblGrid>
      <w:tr w:rsidTr="00225460">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Pre-requisite unit</w:t>
            </w:r>
          </w:p>
        </w:tc>
        <w:tc>
          <w:tcPr>
            <w:tcW w:w="5337"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This unit must be assessed after successful achievement of pre-requisite:</w:t>
            </w:r>
          </w:p>
          <w:p w:rsidR="00000000" w:rsidRPr="002F4AD7" w:rsidP="002F4AD7">
            <w:pPr>
              <w:pStyle w:val="ListBullet"/>
            </w:pPr>
            <w:r w:rsidRPr="002F4AD7">
              <w:t>HLTCC301B Produce coded clinical data</w:t>
            </w:r>
          </w:p>
        </w:tc>
      </w:tr>
    </w:tbl>
    <w:p w:rsidR="00225460" w:rsidP="002F4AD7">
      <w:pPr>
        <w:pStyle w:val="BodyText"/>
      </w:pPr>
    </w:p>
    <w:p w:rsidR="00225460" w:rsidP="002F4AD7">
      <w:pPr>
        <w:pStyle w:val="BodyText"/>
      </w:pPr>
    </w:p>
    <w:p w:rsidR="00000000" w:rsidRPr="002F4AD7" w:rsidP="002F4AD7">
      <w:pPr>
        <w:pStyle w:val="Heading1"/>
      </w:pPr>
      <w:bookmarkStart w:id="6" w:name="O_205488"/>
      <w:bookmarkEnd w:id="6"/>
      <w:r w:rsidRPr="002F4AD7">
        <w:t>Employability Skills Information</w:t>
      </w:r>
    </w:p>
    <w:tbl>
      <w:tblPr>
        <w:tblW w:w="0" w:type="auto"/>
        <w:tblLayout w:type="fixed"/>
        <w:tblCellMar>
          <w:left w:w="62" w:type="dxa"/>
          <w:right w:w="62" w:type="dxa"/>
        </w:tblCellMar>
        <w:tblLook w:val="0000"/>
      </w:tblPr>
      <w:tblGrid>
        <w:gridCol w:w="3320"/>
        <w:gridCol w:w="5236"/>
      </w:tblGrid>
      <w:tr w:rsidTr="0022546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This unit contains Employability Sk</w:t>
            </w:r>
            <w:r w:rsidRPr="002F4AD7">
              <w:t>ills</w:t>
            </w:r>
          </w:p>
        </w:tc>
      </w:tr>
    </w:tbl>
    <w:p w:rsidR="00225460" w:rsidP="002F4AD7">
      <w:pPr>
        <w:pStyle w:val="BodyText"/>
      </w:pPr>
    </w:p>
    <w:p w:rsidR="00225460" w:rsidP="002F4AD7">
      <w:pPr>
        <w:pStyle w:val="BodyText"/>
      </w:pPr>
    </w:p>
    <w:p w:rsidR="00000000" w:rsidRPr="002F4AD7" w:rsidP="002F4AD7">
      <w:pPr>
        <w:pStyle w:val="Heading1"/>
      </w:pPr>
      <w:bookmarkStart w:id="7" w:name="O_289111"/>
      <w:bookmarkEnd w:id="7"/>
      <w:r w:rsidRPr="002F4AD7">
        <w:t>Elements and Performance Criteria Pre-Content</w:t>
      </w:r>
    </w:p>
    <w:tbl>
      <w:tblPr>
        <w:tblW w:w="0" w:type="auto"/>
        <w:tblLayout w:type="fixed"/>
        <w:tblCellMar>
          <w:left w:w="62" w:type="dxa"/>
          <w:right w:w="62" w:type="dxa"/>
        </w:tblCellMar>
        <w:tblLook w:val="0000"/>
      </w:tblPr>
      <w:tblGrid>
        <w:gridCol w:w="3369"/>
        <w:gridCol w:w="5702"/>
      </w:tblGrid>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 xml:space="preserve">The Performance Criteria specify the level of performance required to demonstrate achievement of the Element. Terms in italics are elaborated in the Range Statement. </w:t>
            </w:r>
          </w:p>
        </w:tc>
      </w:tr>
    </w:tbl>
    <w:p w:rsidR="00000000" w:rsidRPr="002F4AD7" w:rsidP="002F4AD7">
      <w:pPr>
        <w:pStyle w:val="BodyText"/>
      </w:pPr>
    </w:p>
    <w:p w:rsidR="00000000" w:rsidRPr="002F4AD7" w:rsidP="002F4AD7">
      <w:pPr>
        <w:pStyle w:val="AllowPageBreak"/>
      </w:pPr>
    </w:p>
    <w:p w:rsidR="00000000" w:rsidRPr="002F4AD7" w:rsidP="002F4AD7">
      <w:pPr>
        <w:pStyle w:val="Heading1"/>
      </w:pPr>
      <w:bookmarkStart w:id="8" w:name="O_235778"/>
      <w:bookmarkEnd w:id="8"/>
      <w:r w:rsidRPr="002F4AD7">
        <w:t>Elements and Performance Criteria</w:t>
      </w:r>
    </w:p>
    <w:tbl>
      <w:tblPr>
        <w:tblW w:w="0" w:type="auto"/>
        <w:tblLayout w:type="fixed"/>
        <w:tblCellMar>
          <w:left w:w="62" w:type="dxa"/>
          <w:right w:w="62" w:type="dxa"/>
        </w:tblCellMar>
        <w:tblLook w:val="0000"/>
      </w:tblPr>
      <w:tblGrid>
        <w:gridCol w:w="3369"/>
        <w:gridCol w:w="5702"/>
      </w:tblGrid>
      <w:tr w:rsidTr="0022546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PERFORMANCE CRITERIA</w:t>
            </w:r>
          </w:p>
        </w:tc>
      </w:tr>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AD7">
            <w:pPr>
              <w:pStyle w:val="List"/>
              <w:rPr>
                <w:lang w:val="en-NZ"/>
              </w:rPr>
            </w:pPr>
            <w:r w:rsidRPr="002F4AD7">
              <w:t>1.</w:t>
            </w:r>
            <w:r w:rsidRPr="002F4AD7">
              <w:tab/>
            </w:r>
            <w:r w:rsidRPr="002F4AD7">
              <w:t xml:space="preserve">Abstract clinical data from </w:t>
            </w:r>
            <w:r w:rsidRPr="002F4AD7">
              <w:rPr>
                <w:rStyle w:val="Emphasis"/>
              </w:rPr>
              <w:t>moderately complex medical records</w:t>
            </w:r>
          </w:p>
        </w:tc>
        <w:tc>
          <w:tcPr>
            <w:tcW w:w="5702"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1.1</w:t>
            </w:r>
            <w:r w:rsidRPr="002F4AD7">
              <w:tab/>
              <w:t>Interpret and apply the Australian National Coding Standards to identify clinical data from moderately complex discharge summaries, medical reports and medical records</w:t>
            </w:r>
          </w:p>
          <w:p w:rsidR="00000000" w:rsidRPr="002F4AD7" w:rsidP="002F4AD7">
            <w:pPr>
              <w:pStyle w:val="BodyText"/>
            </w:pPr>
            <w:r w:rsidRPr="002F4AD7">
              <w:t>1.2</w:t>
            </w:r>
            <w:r w:rsidRPr="002F4AD7">
              <w:tab/>
              <w:t>Select appropriat</w:t>
            </w:r>
            <w:r w:rsidRPr="002F4AD7">
              <w:t>e conditions/diseases and procedures for coding from moderately complex medical records</w:t>
            </w:r>
          </w:p>
          <w:p w:rsidR="00000000" w:rsidRPr="002F4AD7" w:rsidP="002F4AD7">
            <w:pPr>
              <w:pStyle w:val="BodyText"/>
            </w:pPr>
            <w:r w:rsidRPr="002F4AD7">
              <w:t>1.3</w:t>
            </w:r>
            <w:r w:rsidRPr="002F4AD7">
              <w:tab/>
              <w:t>Identify the principal diagnosis and principal procedure for an admission when coding from moderately complex medical records</w:t>
            </w:r>
          </w:p>
          <w:p w:rsidR="00000000" w:rsidRPr="002F4AD7" w:rsidP="002F4AD7">
            <w:pPr>
              <w:pStyle w:val="BodyText"/>
            </w:pPr>
            <w:r w:rsidRPr="002F4AD7">
              <w:t>1.4</w:t>
            </w:r>
            <w:r w:rsidRPr="002F4AD7">
              <w:tab/>
              <w:t xml:space="preserve">Identify additional diagnoses and </w:t>
            </w:r>
            <w:r w:rsidRPr="002F4AD7">
              <w:t xml:space="preserve">procedures </w:t>
            </w:r>
          </w:p>
          <w:p w:rsidR="00000000" w:rsidP="002F4AD7">
            <w:pPr>
              <w:pStyle w:val="BodyText"/>
              <w:rPr>
                <w:lang w:val="en-NZ"/>
              </w:rPr>
            </w:pPr>
            <w:r w:rsidRPr="002F4AD7">
              <w:t>1.5</w:t>
            </w:r>
            <w:r w:rsidRPr="002F4AD7">
              <w:tab/>
              <w:t>Establish the correct sequencing of diagnoses and procedures</w:t>
            </w:r>
          </w:p>
        </w:tc>
      </w:tr>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AD7">
            <w:pPr>
              <w:pStyle w:val="List"/>
              <w:rPr>
                <w:lang w:val="en-NZ"/>
              </w:rPr>
            </w:pPr>
            <w:r w:rsidRPr="002F4AD7">
              <w:t>2.</w:t>
            </w:r>
            <w:r w:rsidRPr="002F4AD7">
              <w:tab/>
              <w:t>Assign codes relating to moderately complex medical records</w:t>
            </w:r>
          </w:p>
        </w:tc>
        <w:tc>
          <w:tcPr>
            <w:tcW w:w="5702"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2.1</w:t>
            </w:r>
            <w:r w:rsidRPr="002F4AD7">
              <w:tab/>
              <w:t>Apply Australian National Coding Standards where appropriate, to ensure the correct assignment of codes when</w:t>
            </w:r>
            <w:r w:rsidRPr="002F4AD7">
              <w:t xml:space="preserve"> coding from moderately complex medical records for a range of specialties</w:t>
            </w:r>
          </w:p>
          <w:p w:rsidR="00000000" w:rsidRPr="002F4AD7" w:rsidP="002F4AD7">
            <w:pPr>
              <w:pStyle w:val="BodyText"/>
            </w:pPr>
            <w:r w:rsidRPr="002F4AD7">
              <w:t>2.2</w:t>
            </w:r>
            <w:r w:rsidRPr="002F4AD7">
              <w:tab/>
              <w:t xml:space="preserve">Assign complete and accurate ICD-10-AM </w:t>
            </w:r>
            <w:r w:rsidRPr="002F4AD7">
              <w:rPr>
                <w:rStyle w:val="Emphasis"/>
              </w:rPr>
              <w:t>disease and ACHI procedure codes</w:t>
            </w:r>
          </w:p>
          <w:p w:rsidR="00000000" w:rsidRPr="002F4AD7" w:rsidP="002F4AD7">
            <w:pPr>
              <w:pStyle w:val="BodyText"/>
            </w:pPr>
            <w:r w:rsidRPr="002F4AD7">
              <w:t>2.3</w:t>
            </w:r>
            <w:r w:rsidRPr="002F4AD7">
              <w:tab/>
              <w:t xml:space="preserve">Utilise </w:t>
            </w:r>
            <w:r w:rsidRPr="002F4AD7">
              <w:rPr>
                <w:rStyle w:val="Emphasis"/>
              </w:rPr>
              <w:t>resources</w:t>
            </w:r>
            <w:r w:rsidRPr="002F4AD7">
              <w:t xml:space="preserve"> where appropriate to assist in making coding decisions</w:t>
            </w:r>
          </w:p>
          <w:p w:rsidR="00000000" w:rsidRPr="002F4AD7" w:rsidP="002F4AD7">
            <w:pPr>
              <w:pStyle w:val="BodyText"/>
            </w:pPr>
            <w:r w:rsidRPr="002F4AD7">
              <w:t>2.4</w:t>
            </w:r>
            <w:r w:rsidRPr="002F4AD7">
              <w:tab/>
            </w:r>
            <w:r w:rsidRPr="002F4AD7">
              <w:t>Recognise problems relating to privacy and confidentiality of client information</w:t>
            </w:r>
          </w:p>
          <w:p w:rsidR="00000000" w:rsidRPr="002F4AD7" w:rsidP="002F4AD7">
            <w:pPr>
              <w:pStyle w:val="BodyText"/>
            </w:pPr>
            <w:r w:rsidRPr="002F4AD7">
              <w:t>2.5</w:t>
            </w:r>
            <w:r w:rsidRPr="002F4AD7">
              <w:tab/>
              <w:t>Maintain confidentiality of medical records and client information at all times</w:t>
            </w:r>
          </w:p>
          <w:p w:rsidR="00000000" w:rsidRPr="002F4AD7" w:rsidP="002F4AD7">
            <w:pPr>
              <w:pStyle w:val="BodyText"/>
            </w:pPr>
            <w:r w:rsidRPr="002F4AD7">
              <w:t>2.6</w:t>
            </w:r>
            <w:r w:rsidRPr="002F4AD7">
              <w:tab/>
              <w:t>Complete the process of assigning the correct codes from moderately complex medical rec</w:t>
            </w:r>
            <w:r w:rsidRPr="002F4AD7">
              <w:t>ords within appropriate timeframes</w:t>
            </w:r>
          </w:p>
          <w:p w:rsidR="00000000" w:rsidP="002F4AD7">
            <w:pPr>
              <w:pStyle w:val="BodyText"/>
              <w:rPr>
                <w:lang w:val="en-NZ"/>
              </w:rPr>
            </w:pPr>
            <w:r w:rsidRPr="002F4AD7">
              <w:t>2.7</w:t>
            </w:r>
            <w:r w:rsidRPr="002F4AD7">
              <w:tab/>
              <w:t>Meet occupational health and safety duty of care requirements</w:t>
            </w:r>
          </w:p>
        </w:tc>
      </w:tr>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4AD7">
            <w:pPr>
              <w:pStyle w:val="List"/>
              <w:rPr>
                <w:lang w:val="en-NZ"/>
              </w:rPr>
            </w:pPr>
            <w:r w:rsidRPr="002F4AD7">
              <w:t>3.</w:t>
            </w:r>
            <w:r w:rsidRPr="002F4AD7">
              <w:tab/>
              <w:t>Maintain clinical coding records</w:t>
            </w:r>
          </w:p>
        </w:tc>
        <w:tc>
          <w:tcPr>
            <w:tcW w:w="5702"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t>3.1</w:t>
            </w:r>
            <w:r w:rsidRPr="002F4AD7">
              <w:tab/>
              <w:t xml:space="preserve">Record, enter, edit and maintain a </w:t>
            </w:r>
            <w:r w:rsidRPr="002F4AD7">
              <w:rPr>
                <w:rStyle w:val="Emphasis"/>
              </w:rPr>
              <w:t>client information system</w:t>
            </w:r>
            <w:r w:rsidRPr="002F4AD7">
              <w:t xml:space="preserve"> of coded data (disease index)</w:t>
            </w:r>
          </w:p>
          <w:p w:rsidR="00000000" w:rsidRPr="002F4AD7" w:rsidP="002F4AD7">
            <w:pPr>
              <w:pStyle w:val="BodyText"/>
            </w:pPr>
            <w:r w:rsidRPr="002F4AD7">
              <w:t>3.2</w:t>
            </w:r>
            <w:r w:rsidRPr="002F4AD7">
              <w:tab/>
              <w:t xml:space="preserve">Address changes </w:t>
            </w:r>
            <w:r w:rsidRPr="002F4AD7">
              <w:t>to data collection and coding requirements, according to relevant standards, protocols and legislation</w:t>
            </w:r>
          </w:p>
          <w:p w:rsidR="00000000" w:rsidRPr="002F4AD7" w:rsidP="002F4AD7">
            <w:pPr>
              <w:pStyle w:val="BodyText"/>
            </w:pPr>
            <w:r w:rsidRPr="002F4AD7">
              <w:t>3.3</w:t>
            </w:r>
            <w:r w:rsidRPr="002F4AD7">
              <w:tab/>
              <w:t>Make amendments to data collection and coding activities in line with organisation requirements</w:t>
            </w:r>
          </w:p>
          <w:p w:rsidR="00000000" w:rsidP="002F4AD7">
            <w:pPr>
              <w:pStyle w:val="BodyText"/>
              <w:rPr>
                <w:lang w:val="en-NZ"/>
              </w:rPr>
            </w:pPr>
            <w:r w:rsidRPr="002F4AD7">
              <w:t>3.4</w:t>
            </w:r>
            <w:r w:rsidRPr="002F4AD7">
              <w:tab/>
              <w:t>Maintain and update own knowledge and skills to e</w:t>
            </w:r>
            <w:r w:rsidRPr="002F4AD7">
              <w:t>nsure that amendments are addressed as required</w:t>
            </w:r>
          </w:p>
        </w:tc>
      </w:tr>
      <w:tr w:rsidTr="002254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F4AD7" w:rsidP="002F4AD7">
            <w:pPr>
              <w:pStyle w:val="BodyText"/>
            </w:pPr>
          </w:p>
        </w:tc>
      </w:tr>
    </w:tbl>
    <w:p w:rsidR="00225460" w:rsidP="002F4AD7">
      <w:pPr>
        <w:pStyle w:val="BodyText"/>
      </w:pPr>
    </w:p>
    <w:p w:rsidR="00225460" w:rsidP="002F4AD7">
      <w:pPr>
        <w:pStyle w:val="BodyText"/>
      </w:pPr>
    </w:p>
    <w:p w:rsidR="00000000" w:rsidRPr="002F4AD7" w:rsidP="002F4AD7">
      <w:pPr>
        <w:pStyle w:val="Heading1"/>
      </w:pPr>
      <w:bookmarkStart w:id="9" w:name="O_259728"/>
      <w:bookmarkEnd w:id="9"/>
      <w:r w:rsidRPr="002F4AD7">
        <w:t>Required Skills and Knowledge</w:t>
      </w:r>
    </w:p>
    <w:tbl>
      <w:tblPr>
        <w:tblW w:w="0" w:type="auto"/>
        <w:tblLayout w:type="fixed"/>
        <w:tblCellMar>
          <w:left w:w="62" w:type="dxa"/>
          <w:right w:w="62" w:type="dxa"/>
        </w:tblCellMar>
        <w:tblLook w:val="0000"/>
      </w:tblPr>
      <w:tblGrid>
        <w:gridCol w:w="9072"/>
      </w:tblGrid>
      <w:tr w:rsidTr="0022546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REQUIRED SKILLS AND KNOWLEDGE</w:t>
            </w:r>
          </w:p>
        </w:tc>
      </w:tr>
      <w:tr w:rsidTr="002254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t>This describes the essential skills and knowledge and their level required for this unit.</w:t>
            </w:r>
          </w:p>
        </w:tc>
      </w:tr>
      <w:tr w:rsidTr="002254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rPr>
                <w:rStyle w:val="Emphasis"/>
              </w:rPr>
              <w:t>Essential knowledge</w:t>
            </w:r>
            <w:r w:rsidRPr="002F4AD7">
              <w:t>:</w:t>
            </w:r>
          </w:p>
          <w:p w:rsidR="00000000" w:rsidRPr="002F4AD7" w:rsidP="002F4AD7">
            <w:pPr>
              <w:pStyle w:val="BodyText"/>
            </w:pPr>
            <w:r w:rsidRPr="002F4AD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F4AD7" w:rsidP="002F4AD7">
            <w:pPr>
              <w:pStyle w:val="BodyText"/>
            </w:pPr>
            <w:r w:rsidRPr="002F4AD7">
              <w:t xml:space="preserve">This includes </w:t>
            </w:r>
            <w:r w:rsidRPr="002F4AD7">
              <w:t>knowledge of:</w:t>
            </w:r>
          </w:p>
          <w:p w:rsidR="00000000" w:rsidRPr="002F4AD7" w:rsidP="002F4AD7">
            <w:pPr>
              <w:pStyle w:val="ListBullet"/>
            </w:pPr>
            <w:r w:rsidRPr="002F4AD7">
              <w:t>Australian and relevant State/Territory clinical coding standards and protocols</w:t>
            </w:r>
          </w:p>
          <w:p w:rsidR="00000000" w:rsidRPr="002F4AD7" w:rsidP="002F4AD7">
            <w:pPr>
              <w:pStyle w:val="ListBullet"/>
            </w:pPr>
            <w:r w:rsidRPr="002F4AD7">
              <w:t>Appropriate legislation</w:t>
            </w:r>
          </w:p>
          <w:p w:rsidR="00000000" w:rsidRPr="002F4AD7" w:rsidP="002F4AD7">
            <w:pPr>
              <w:pStyle w:val="ListBullet"/>
            </w:pPr>
            <w:r w:rsidRPr="002F4AD7">
              <w:t>Definition of a clinical coder and clinical coding, and the purpose of coded data</w:t>
            </w:r>
          </w:p>
          <w:p w:rsidR="00000000" w:rsidRPr="002F4AD7" w:rsidP="002F4AD7">
            <w:pPr>
              <w:pStyle w:val="ListBullet"/>
            </w:pPr>
            <w:r w:rsidRPr="002F4AD7">
              <w:t>Professional ethics in clinical coding</w:t>
            </w:r>
          </w:p>
          <w:p w:rsidR="00000000" w:rsidRPr="002F4AD7" w:rsidP="002F4AD7">
            <w:pPr>
              <w:pStyle w:val="ListBullet"/>
            </w:pPr>
            <w:r w:rsidRPr="002F4AD7">
              <w:t>Classifications and nomenclature used to achieve accurate clinical coding</w:t>
            </w:r>
          </w:p>
          <w:p w:rsidR="00000000" w:rsidRPr="002F4AD7" w:rsidP="002F4AD7">
            <w:pPr>
              <w:pStyle w:val="ListBullet"/>
            </w:pPr>
            <w:r w:rsidRPr="002F4AD7">
              <w:t>Clinical data indexing, storage and mapping from clinical terms of classifications</w:t>
            </w:r>
          </w:p>
          <w:p w:rsidR="00000000" w:rsidRPr="002F4AD7" w:rsidP="002F4AD7">
            <w:pPr>
              <w:pStyle w:val="ListBullet"/>
            </w:pPr>
            <w:r w:rsidRPr="002F4AD7">
              <w:t>Coding diseases and procedures with ICD-10-AM, ACHI and ACS coding manuals</w:t>
            </w:r>
          </w:p>
          <w:p w:rsidR="00000000" w:rsidRPr="002F4AD7" w:rsidP="002F4AD7">
            <w:pPr>
              <w:pStyle w:val="ListBullet"/>
            </w:pPr>
            <w:r w:rsidRPr="002F4AD7">
              <w:t>Coding factors influenci</w:t>
            </w:r>
            <w:r w:rsidRPr="002F4AD7">
              <w:t>ng health status</w:t>
            </w:r>
          </w:p>
          <w:p w:rsidR="00000000" w:rsidRPr="002F4AD7" w:rsidP="002F4AD7">
            <w:pPr>
              <w:pStyle w:val="ListBullet"/>
            </w:pPr>
            <w:r w:rsidRPr="002F4AD7">
              <w:t>Coding relating to:</w:t>
            </w:r>
          </w:p>
          <w:p w:rsidR="00000000" w:rsidRPr="002F4AD7" w:rsidP="002F4AD7">
            <w:pPr>
              <w:pStyle w:val="ListBullet2"/>
            </w:pPr>
            <w:r w:rsidRPr="002F4AD7">
              <w:t>infectious and blood diseases</w:t>
            </w:r>
          </w:p>
          <w:p w:rsidR="00000000" w:rsidRPr="002F4AD7" w:rsidP="002F4AD7">
            <w:pPr>
              <w:pStyle w:val="ListBullet2"/>
            </w:pPr>
            <w:r w:rsidRPr="002F4AD7">
              <w:t>mental health</w:t>
            </w:r>
          </w:p>
          <w:p w:rsidR="00000000" w:rsidRPr="002F4AD7" w:rsidP="002F4AD7">
            <w:pPr>
              <w:pStyle w:val="ListBullet2"/>
            </w:pPr>
            <w:r w:rsidRPr="002F4AD7">
              <w:t>endocrine and musculoskeletal diseases</w:t>
            </w:r>
          </w:p>
          <w:p w:rsidR="00000000" w:rsidRPr="002F4AD7" w:rsidP="002F4AD7">
            <w:pPr>
              <w:pStyle w:val="ListBullet2"/>
            </w:pPr>
            <w:r w:rsidRPr="002F4AD7">
              <w:t>injuries and poisonings</w:t>
            </w:r>
          </w:p>
          <w:p w:rsidR="00000000" w:rsidRPr="002F4AD7" w:rsidP="002F4AD7">
            <w:pPr>
              <w:pStyle w:val="ListBullet2"/>
            </w:pPr>
            <w:r w:rsidRPr="002F4AD7">
              <w:t>neoplasms, digestive and skin diseases</w:t>
            </w:r>
          </w:p>
          <w:p w:rsidR="00000000" w:rsidRPr="002F4AD7" w:rsidP="002F4AD7">
            <w:pPr>
              <w:pStyle w:val="ListBullet2"/>
            </w:pPr>
            <w:r w:rsidRPr="002F4AD7">
              <w:t>respiratory and circulatory diseases</w:t>
            </w:r>
          </w:p>
          <w:p w:rsidR="00000000" w:rsidRPr="002F4AD7" w:rsidP="002F4AD7">
            <w:pPr>
              <w:pStyle w:val="ListBullet2"/>
            </w:pPr>
            <w:r w:rsidRPr="002F4AD7">
              <w:t>nervous system, eye, ear, nose and mouth diseases</w:t>
            </w:r>
          </w:p>
          <w:p w:rsidR="00000000" w:rsidRPr="002F4AD7" w:rsidP="002F4AD7">
            <w:pPr>
              <w:pStyle w:val="ListBullet2"/>
            </w:pPr>
            <w:r w:rsidRPr="002F4AD7">
              <w:t>genitourinary, pregnancy, childbirth, the puerperium, the perinatal period and congenital conditions</w:t>
            </w:r>
          </w:p>
          <w:p w:rsidR="00000000" w:rsidRPr="002F4AD7" w:rsidP="002F4AD7">
            <w:pPr>
              <w:pStyle w:val="ListBullet"/>
            </w:pPr>
            <w:r w:rsidRPr="002F4AD7">
              <w:t>Comprehensive knowledge of medical terminology and body systems</w:t>
            </w:r>
          </w:p>
          <w:p w:rsidR="00000000" w:rsidRPr="002F4AD7" w:rsidP="002F4AD7">
            <w:pPr>
              <w:pStyle w:val="ListBullet"/>
            </w:pPr>
            <w:r w:rsidRPr="002F4AD7">
              <w:t>Current codes of practice and guidelines</w:t>
            </w:r>
            <w:r w:rsidRPr="002F4AD7">
              <w:t xml:space="preserve"> in relation to clinical coding</w:t>
            </w:r>
          </w:p>
          <w:p w:rsidR="00000000" w:rsidRPr="002F4AD7" w:rsidP="002F4AD7">
            <w:pPr>
              <w:pStyle w:val="ListBullet"/>
            </w:pPr>
            <w:r w:rsidRPr="002F4AD7">
              <w:t>Sequencing of primary and additional diagnoses</w:t>
            </w:r>
          </w:p>
          <w:p w:rsidR="00000000" w:rsidRPr="002F4AD7" w:rsidP="002F4AD7">
            <w:pPr>
              <w:pStyle w:val="ListBullet"/>
            </w:pPr>
            <w:r w:rsidRPr="002F4AD7">
              <w:t>Sequencing protocols for clinical coding</w:t>
            </w:r>
          </w:p>
          <w:p w:rsidR="00000000" w:rsidRPr="002F4AD7" w:rsidP="002F4AD7">
            <w:pPr>
              <w:pStyle w:val="ListBullet"/>
            </w:pPr>
            <w:r w:rsidRPr="002F4AD7">
              <w:t>Sources of information relating to changes to clinical coding requirements</w:t>
            </w:r>
          </w:p>
          <w:p w:rsidR="00000000" w:rsidP="002F4AD7">
            <w:pPr>
              <w:pStyle w:val="ListBullet"/>
              <w:rPr>
                <w:lang w:val="en-NZ"/>
              </w:rPr>
            </w:pPr>
            <w:r w:rsidRPr="002F4AD7">
              <w:t xml:space="preserve">Timeframes for completing clinical coding </w:t>
            </w:r>
          </w:p>
        </w:tc>
      </w:tr>
      <w:tr w:rsidTr="002254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4AD7" w:rsidP="002F4AD7">
            <w:pPr>
              <w:pStyle w:val="BodyText"/>
            </w:pPr>
            <w:r w:rsidRPr="002F4AD7">
              <w:rPr>
                <w:rStyle w:val="Emphasis"/>
              </w:rPr>
              <w:t>Essential skills</w:t>
            </w:r>
            <w:r w:rsidRPr="002F4AD7">
              <w:t>:</w:t>
            </w:r>
          </w:p>
          <w:p w:rsidR="00000000" w:rsidRPr="002F4AD7" w:rsidP="002F4AD7">
            <w:pPr>
              <w:pStyle w:val="BodyText"/>
            </w:pPr>
            <w:r w:rsidRPr="002F4AD7">
              <w:t>It is critical that the candidate demonstrate the ability to effectively do the task outlined in elements and performance criteria of this unit, manage the task and manage contingencies in the context of the identified work role</w:t>
            </w:r>
          </w:p>
          <w:p w:rsidR="00000000" w:rsidRPr="002F4AD7" w:rsidP="002F4AD7">
            <w:pPr>
              <w:pStyle w:val="BodyText"/>
            </w:pPr>
            <w:r w:rsidRPr="002F4AD7">
              <w:t>This incl</w:t>
            </w:r>
            <w:r w:rsidRPr="002F4AD7">
              <w:t>udes the ability to:</w:t>
            </w:r>
          </w:p>
          <w:p w:rsidR="00000000" w:rsidRPr="002F4AD7" w:rsidP="002F4AD7">
            <w:pPr>
              <w:pStyle w:val="ListBullet"/>
            </w:pPr>
            <w:r w:rsidRPr="002F4AD7">
              <w:t>Analyse moderately complex medical records from a range of specialties to produce coded clinical data</w:t>
            </w:r>
          </w:p>
          <w:p w:rsidR="00000000" w:rsidRPr="002F4AD7" w:rsidP="002F4AD7">
            <w:pPr>
              <w:pStyle w:val="ListBullet"/>
            </w:pPr>
            <w:r w:rsidRPr="002F4AD7">
              <w:t xml:space="preserve">Apply Australian National Coding Standards to code moderately complex medical records </w:t>
            </w:r>
          </w:p>
          <w:p w:rsidR="00000000" w:rsidRPr="002F4AD7" w:rsidP="002F4AD7">
            <w:pPr>
              <w:pStyle w:val="ListBullet"/>
            </w:pPr>
            <w:r w:rsidRPr="002F4AD7">
              <w:t>Complete coding of an average of four moderat</w:t>
            </w:r>
            <w:r w:rsidRPr="002F4AD7">
              <w:t>ely complex medical records per hour</w:t>
            </w:r>
          </w:p>
          <w:p w:rsidR="00000000" w:rsidRPr="002F4AD7" w:rsidP="002F4AD7">
            <w:pPr>
              <w:pStyle w:val="ListBullet"/>
            </w:pPr>
            <w:r w:rsidRPr="002F4AD7">
              <w:t>Enter data to at least 80%accuracy from moderately complex medical records</w:t>
            </w:r>
          </w:p>
          <w:p w:rsidR="00000000" w:rsidRPr="002F4AD7" w:rsidP="002F4AD7">
            <w:pPr>
              <w:pStyle w:val="ListBullet"/>
            </w:pPr>
            <w:r w:rsidRPr="002F4AD7">
              <w:t>Identify necessary amendments to data collection and coding activities</w:t>
            </w:r>
          </w:p>
          <w:p w:rsidR="00000000" w:rsidRPr="002F4AD7" w:rsidP="002F4AD7">
            <w:pPr>
              <w:pStyle w:val="ListBullet"/>
            </w:pPr>
            <w:r w:rsidRPr="002F4AD7">
              <w:t>Identify sequencing requirements in moderately complex medical records</w:t>
            </w:r>
          </w:p>
          <w:p w:rsidR="00000000" w:rsidRPr="002F4AD7" w:rsidP="002F4AD7">
            <w:pPr>
              <w:pStyle w:val="ListBullet"/>
            </w:pPr>
            <w:r w:rsidRPr="002F4AD7">
              <w:t>Us</w:t>
            </w:r>
            <w:r w:rsidRPr="002F4AD7">
              <w:t>e appropriate resources to assist with moderately complex clinical coding requirements</w:t>
            </w:r>
          </w:p>
          <w:p w:rsidR="00000000" w:rsidRPr="002F4AD7" w:rsidP="002F4AD7">
            <w:pPr>
              <w:pStyle w:val="ListBullet"/>
            </w:pPr>
            <w:r w:rsidRPr="002F4AD7">
              <w:t xml:space="preserve">Use ICD-10-AM, ACHI and ACS coding manuals </w:t>
            </w:r>
          </w:p>
          <w:p w:rsidR="00000000" w:rsidRPr="002F4AD7" w:rsidP="002F4AD7">
            <w:pPr>
              <w:pStyle w:val="ListBullet"/>
            </w:pPr>
            <w:r w:rsidRPr="002F4AD7">
              <w:t>Use manual or an interfaced computerised coding system to submit data or disease index</w:t>
            </w:r>
          </w:p>
        </w:tc>
      </w:tr>
    </w:tbl>
    <w:p w:rsidR="00225460" w:rsidP="002F4AD7">
      <w:pPr>
        <w:pStyle w:val="BodyText"/>
      </w:pPr>
    </w:p>
    <w:p w:rsidR="00225460" w:rsidP="002F4AD7">
      <w:pPr>
        <w:pStyle w:val="BodyText"/>
      </w:pPr>
    </w:p>
    <w:p w:rsidR="00000000" w:rsidRPr="002F4AD7" w:rsidP="002F4AD7">
      <w:pPr>
        <w:pStyle w:val="Heading1"/>
      </w:pPr>
      <w:bookmarkStart w:id="10" w:name="O_243762"/>
      <w:bookmarkEnd w:id="10"/>
      <w:r w:rsidRPr="002F4AD7">
        <w:t>Evidence Guide</w:t>
      </w:r>
    </w:p>
    <w:tbl>
      <w:tblPr>
        <w:tblW w:w="0" w:type="auto"/>
        <w:tblLayout w:type="fixed"/>
        <w:tblCellMar>
          <w:left w:w="62" w:type="dxa"/>
          <w:right w:w="62" w:type="dxa"/>
        </w:tblCellMar>
        <w:tblLook w:val="0000"/>
      </w:tblPr>
      <w:tblGrid>
        <w:gridCol w:w="3402"/>
        <w:gridCol w:w="5670"/>
      </w:tblGrid>
      <w:tr w:rsidTr="002254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EVIDENCE GUIDE</w:t>
            </w:r>
          </w:p>
        </w:tc>
      </w:tr>
      <w:tr w:rsidTr="002254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t>The evidence guide provides advice on assessment and must be read in conjunction with the Performance Criteria, Required Skills and Knowledge, the Range Statement and the Assessment Guidelines for this Training Package.</w:t>
            </w:r>
          </w:p>
        </w:tc>
      </w:tr>
      <w:tr w:rsidTr="002254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Critical aspects for assessment and evidence required to demonstrate this competency unit</w:t>
            </w:r>
            <w:r w:rsidRPr="002F4AD7">
              <w:t xml:space="preserve">: </w:t>
            </w:r>
            <w:r w:rsidRPr="002F4AD7">
              <w:br/>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The individual being assessed must provide evidence of specified essential knowledge as well as skills</w:t>
            </w:r>
          </w:p>
          <w:p w:rsidR="00000000" w:rsidP="002F4AD7">
            <w:pPr>
              <w:pStyle w:val="ListBullet"/>
              <w:rPr>
                <w:lang w:val="en-NZ"/>
              </w:rPr>
            </w:pPr>
            <w:r w:rsidRPr="002F4AD7">
              <w:t xml:space="preserve">Consistency of performance should be demonstrated over the </w:t>
            </w:r>
            <w:r w:rsidRPr="002F4AD7">
              <w:t>required range of situations relevant to the workplace</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Access and equity considerations</w:t>
            </w:r>
            <w:r w:rsidRPr="002F4AD7">
              <w:t>:</w:t>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All workers in the health industry should be aware of access and equity issues in relation to their own area of work</w:t>
            </w:r>
          </w:p>
          <w:p w:rsidR="00000000" w:rsidRPr="002F4AD7" w:rsidP="002F4AD7">
            <w:pPr>
              <w:pStyle w:val="ListBullet"/>
            </w:pPr>
            <w:r w:rsidRPr="002F4AD7">
              <w:t xml:space="preserve">All workers should develop their ability to work in a culturally diverse environment </w:t>
            </w:r>
          </w:p>
          <w:p w:rsidR="00000000" w:rsidRPr="002F4AD7" w:rsidP="002F4AD7">
            <w:pPr>
              <w:pStyle w:val="ListBullet"/>
            </w:pPr>
            <w:r w:rsidRPr="002F4AD7">
              <w:t>In recognition of particular health issues facing Aboriginal and Torres Strait Islander communities, workers should be aware of cultural, historical and current issues im</w:t>
            </w:r>
            <w:r w:rsidRPr="002F4AD7">
              <w:t>pacting on health of Aboriginal and Torres Strait Islander people</w:t>
            </w:r>
          </w:p>
          <w:p w:rsidR="00000000" w:rsidP="002F4AD7">
            <w:pPr>
              <w:pStyle w:val="ListBullet"/>
              <w:rPr>
                <w:lang w:val="en-NZ"/>
              </w:rPr>
            </w:pPr>
            <w:r w:rsidRPr="002F4AD7">
              <w:t>Assessors and trainers must take into account relevant access and equity issues, in particular relating to factors impacting on health of Aboriginal and/or Torres Strait Islander clients and</w:t>
            </w:r>
            <w:r w:rsidRPr="002F4AD7">
              <w:t xml:space="preserve"> communities</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Context of and specific resources for assessment</w:t>
            </w:r>
            <w:r w:rsidRPr="002F4AD7">
              <w:t xml:space="preserve">: </w:t>
            </w:r>
            <w:r w:rsidRPr="002F4AD7">
              <w:br/>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Assessment must be completed in the workplace</w:t>
            </w:r>
          </w:p>
          <w:p w:rsidR="00000000" w:rsidRPr="002F4AD7" w:rsidP="002F4AD7">
            <w:pPr>
              <w:pStyle w:val="ListBullet"/>
            </w:pPr>
            <w:r w:rsidRPr="002F4AD7">
              <w:t xml:space="preserve">Relevant guidelines, standards and procedures </w:t>
            </w:r>
          </w:p>
          <w:p w:rsidR="00000000" w:rsidRPr="002F4AD7" w:rsidP="002F4AD7">
            <w:pPr>
              <w:pStyle w:val="ListBullet"/>
            </w:pPr>
            <w:r w:rsidRPr="002F4AD7">
              <w:t>Resources essential for assessment include:</w:t>
            </w:r>
          </w:p>
          <w:p w:rsidR="00000000" w:rsidRPr="002F4AD7" w:rsidP="002F4AD7">
            <w:pPr>
              <w:pStyle w:val="ListBullet2"/>
            </w:pPr>
            <w:r w:rsidRPr="002F4AD7">
              <w:t>ICD-10-AM, ACHI and ACS and relevant local coding requirements</w:t>
            </w:r>
          </w:p>
          <w:p w:rsidR="00000000" w:rsidRPr="002F4AD7" w:rsidP="002F4AD7">
            <w:pPr>
              <w:pStyle w:val="ListBullet2"/>
            </w:pPr>
            <w:r w:rsidRPr="002F4AD7">
              <w:t>a range of complex medical records</w:t>
            </w:r>
          </w:p>
          <w:p w:rsidR="00000000" w:rsidP="002F4AD7">
            <w:pPr>
              <w:pStyle w:val="ListBullet2"/>
              <w:rPr>
                <w:lang w:val="en-NZ"/>
              </w:rPr>
            </w:pPr>
            <w:r w:rsidRPr="002F4AD7">
              <w:t>resources material</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BodyText"/>
            </w:pPr>
          </w:p>
        </w:tc>
      </w:tr>
    </w:tbl>
    <w:p w:rsidR="00225460" w:rsidP="002F4AD7">
      <w:pPr>
        <w:pStyle w:val="BodyText"/>
      </w:pPr>
    </w:p>
    <w:p w:rsidR="00225460" w:rsidP="002F4AD7">
      <w:pPr>
        <w:pStyle w:val="BodyText"/>
      </w:pPr>
    </w:p>
    <w:p w:rsidR="00000000" w:rsidRPr="002F4AD7" w:rsidP="002F4AD7">
      <w:pPr>
        <w:pStyle w:val="Heading1"/>
      </w:pPr>
      <w:bookmarkStart w:id="11" w:name="O_251745"/>
      <w:bookmarkEnd w:id="11"/>
      <w:r w:rsidRPr="002F4AD7">
        <w:t>Range Statement</w:t>
      </w:r>
    </w:p>
    <w:tbl>
      <w:tblPr>
        <w:tblW w:w="0" w:type="auto"/>
        <w:tblLayout w:type="fixed"/>
        <w:tblCellMar>
          <w:left w:w="62" w:type="dxa"/>
          <w:right w:w="62" w:type="dxa"/>
        </w:tblCellMar>
        <w:tblLook w:val="0000"/>
      </w:tblPr>
      <w:tblGrid>
        <w:gridCol w:w="3402"/>
        <w:gridCol w:w="5670"/>
      </w:tblGrid>
      <w:tr w:rsidTr="002254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SpecialBold"/>
              </w:rPr>
              <w:t>RANGE STATEMENT</w:t>
            </w:r>
          </w:p>
        </w:tc>
      </w:tr>
      <w:tr w:rsidTr="002254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t>The Range Statement relates to the unit of competency as a whole. It allows for different work environments and situations that may affect performance. Add any essential operating conditions that may be present with training and assessment depending on the</w:t>
            </w:r>
            <w:r w:rsidRPr="002F4AD7">
              <w:t xml:space="preserve"> work situation, needs of the candidate, accessibility of the item, and local industry and regional contexts.</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Moderately complex medical records refer to</w:t>
            </w:r>
            <w:r w:rsidRPr="002F4AD7">
              <w:t>:</w:t>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Medical records resulting from an episode of care generally seen in health care facilities rang</w:t>
            </w:r>
            <w:r w:rsidRPr="002F4AD7">
              <w:t>ing from large to small size hospitals (AIHW National Hospital Peer Group Classifications A1-D1)</w:t>
            </w:r>
          </w:p>
          <w:p w:rsidR="00000000" w:rsidRPr="002F4AD7" w:rsidP="002F4AD7">
            <w:pPr>
              <w:pStyle w:val="ListBullet"/>
            </w:pPr>
            <w:r w:rsidRPr="002F4AD7">
              <w:t>Medical information may be obtained from:</w:t>
            </w:r>
          </w:p>
          <w:p w:rsidR="00000000" w:rsidRPr="002F4AD7" w:rsidP="002F4AD7">
            <w:pPr>
              <w:pStyle w:val="ListBullet2"/>
            </w:pPr>
            <w:r w:rsidRPr="002F4AD7">
              <w:t>discharge summaries</w:t>
            </w:r>
          </w:p>
          <w:p w:rsidR="00000000" w:rsidRPr="002F4AD7" w:rsidP="002F4AD7">
            <w:pPr>
              <w:pStyle w:val="ListBullet2"/>
            </w:pPr>
            <w:r w:rsidRPr="002F4AD7">
              <w:t xml:space="preserve">medical reports </w:t>
            </w:r>
          </w:p>
          <w:p w:rsidR="00000000" w:rsidP="002F4AD7">
            <w:pPr>
              <w:pStyle w:val="ListBullet2"/>
              <w:rPr>
                <w:lang w:val="en-NZ"/>
              </w:rPr>
            </w:pPr>
            <w:r w:rsidRPr="002F4AD7">
              <w:t>medical records</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Resources may include</w:t>
            </w:r>
            <w:r w:rsidRPr="002F4AD7">
              <w:t>:</w:t>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MIMS</w:t>
            </w:r>
          </w:p>
          <w:p w:rsidR="00000000" w:rsidP="002F4AD7">
            <w:pPr>
              <w:pStyle w:val="ListBullet"/>
              <w:rPr>
                <w:lang w:val="en-NZ"/>
              </w:rPr>
            </w:pPr>
            <w:r w:rsidRPr="002F4AD7">
              <w:t>Medical abbreviations dictionary</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Disease and procedure codes may include</w:t>
            </w:r>
            <w:r w:rsidRPr="002F4AD7">
              <w:t>:</w:t>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Coding for:</w:t>
            </w:r>
          </w:p>
          <w:p w:rsidR="00000000" w:rsidRPr="002F4AD7" w:rsidP="002F4AD7">
            <w:pPr>
              <w:pStyle w:val="ListBullet2"/>
            </w:pPr>
            <w:r w:rsidRPr="002F4AD7">
              <w:t>endocrine and musculoskeletal diseases</w:t>
            </w:r>
          </w:p>
          <w:p w:rsidR="00000000" w:rsidRPr="002F4AD7" w:rsidP="002F4AD7">
            <w:pPr>
              <w:pStyle w:val="ListBullet2"/>
            </w:pPr>
            <w:r w:rsidRPr="002F4AD7">
              <w:t>genitourinary, pregnancy, childbirth, the puerperium, the perinatal period and congenital conditions</w:t>
            </w:r>
          </w:p>
          <w:p w:rsidR="00000000" w:rsidRPr="002F4AD7" w:rsidP="002F4AD7">
            <w:pPr>
              <w:pStyle w:val="ListBullet2"/>
            </w:pPr>
            <w:r w:rsidRPr="002F4AD7">
              <w:t>infectious and blood diseases</w:t>
            </w:r>
          </w:p>
          <w:p w:rsidR="00000000" w:rsidRPr="002F4AD7" w:rsidP="002F4AD7">
            <w:pPr>
              <w:pStyle w:val="ListBullet2"/>
            </w:pPr>
            <w:r w:rsidRPr="002F4AD7">
              <w:t>injuries and poisonings</w:t>
            </w:r>
          </w:p>
          <w:p w:rsidR="00000000" w:rsidRPr="002F4AD7" w:rsidP="002F4AD7">
            <w:pPr>
              <w:pStyle w:val="ListBullet2"/>
            </w:pPr>
            <w:r w:rsidRPr="002F4AD7">
              <w:t>mental health</w:t>
            </w:r>
          </w:p>
          <w:p w:rsidR="00000000" w:rsidRPr="002F4AD7" w:rsidP="002F4AD7">
            <w:pPr>
              <w:pStyle w:val="ListBullet2"/>
            </w:pPr>
            <w:r w:rsidRPr="002F4AD7">
              <w:t>neoplasms, digestive and skin diseases</w:t>
            </w:r>
          </w:p>
          <w:p w:rsidR="00000000" w:rsidRPr="002F4AD7" w:rsidP="002F4AD7">
            <w:pPr>
              <w:pStyle w:val="ListBullet2"/>
            </w:pPr>
            <w:r w:rsidRPr="002F4AD7">
              <w:t>nervous system, eye, ear, nose and mouth diseases</w:t>
            </w:r>
          </w:p>
          <w:p w:rsidR="00000000" w:rsidP="002F4AD7">
            <w:pPr>
              <w:pStyle w:val="ListBullet2"/>
              <w:rPr>
                <w:lang w:val="en-NZ"/>
              </w:rPr>
            </w:pPr>
            <w:r w:rsidRPr="002F4AD7">
              <w:t>respiratory and circulatory diseases</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4AD7">
            <w:pPr>
              <w:pStyle w:val="BodyText"/>
              <w:rPr>
                <w:lang w:val="en-NZ"/>
              </w:rPr>
            </w:pPr>
            <w:r w:rsidRPr="002F4AD7">
              <w:rPr>
                <w:rStyle w:val="Emphasis"/>
              </w:rPr>
              <w:t>Client information systems may include</w:t>
            </w:r>
            <w:r w:rsidRPr="002F4AD7">
              <w:t>:</w:t>
            </w: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ListBullet"/>
            </w:pPr>
            <w:r w:rsidRPr="002F4AD7">
              <w:t>Computerised syst</w:t>
            </w:r>
            <w:r w:rsidRPr="002F4AD7">
              <w:t>ems</w:t>
            </w:r>
          </w:p>
          <w:p w:rsidR="00000000" w:rsidP="002F4AD7">
            <w:pPr>
              <w:pStyle w:val="ListBullet"/>
              <w:rPr>
                <w:lang w:val="en-NZ"/>
              </w:rPr>
            </w:pPr>
            <w:r w:rsidRPr="002F4AD7">
              <w:t>Manual systems</w:t>
            </w:r>
          </w:p>
        </w:tc>
      </w:tr>
      <w:tr w:rsidTr="002254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4AD7" w:rsidP="002F4AD7">
            <w:pPr>
              <w:pStyle w:val="BodyText"/>
            </w:pPr>
          </w:p>
        </w:tc>
      </w:tr>
    </w:tbl>
    <w:p w:rsidR="00225460" w:rsidP="002F4AD7">
      <w:pPr>
        <w:pStyle w:val="BodyText"/>
      </w:pPr>
    </w:p>
    <w:p w:rsidR="00225460" w:rsidP="002F4AD7">
      <w:pPr>
        <w:pStyle w:val="BodyText"/>
      </w:pPr>
    </w:p>
    <w:p w:rsidR="00000000" w:rsidRPr="002F4AD7" w:rsidP="002F4AD7">
      <w:pPr>
        <w:pStyle w:val="Heading1"/>
      </w:pPr>
      <w:bookmarkStart w:id="12" w:name="O_294971"/>
      <w:bookmarkEnd w:id="12"/>
      <w:r w:rsidRPr="002F4AD7">
        <w:t>Unit Sector(s)</w:t>
      </w:r>
    </w:p>
    <w:p w:rsidR="00000000" w:rsidRPr="002F4AD7" w:rsidP="002F4AD7">
      <w:pPr>
        <w:pStyle w:val="BodyText"/>
      </w:pPr>
      <w:r w:rsidRPr="002F4AD7">
        <w:t>Not Applicable</w:t>
      </w:r>
    </w:p>
    <w:p w:rsidR="00000000" w:rsidRPr="002F4AD7" w:rsidP="002F4AD7"/>
    <w:sectPr w:rsidSect="002F4A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460" w:rsidP="00225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60" w:rsidP="002F4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5460" w:rsidP="002F4A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5460" w:rsidP="002F4A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460" w:rsidP="002254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60" w:rsidP="002F4AD7">
    <w:pPr>
      <w:pStyle w:val="Header"/>
      <w:framePr w:wrap="around"/>
    </w:pPr>
    <w:r>
      <w:fldChar w:fldCharType="begin"/>
    </w:r>
    <w:r>
      <w:instrText xml:space="preserve"> TITLE   \* MERGEFORMAT </w:instrText>
    </w:r>
    <w:r>
      <w:fldChar w:fldCharType="separate"/>
    </w:r>
    <w:r>
      <w:t>HLTCC401B Undertake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5460" w:rsidP="002F4A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05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0F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63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A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AD7"/>
    <w:pPr>
      <w:spacing w:before="360" w:after="60"/>
      <w:outlineLvl w:val="0"/>
    </w:pPr>
    <w:rPr>
      <w:sz w:val="32"/>
    </w:rPr>
  </w:style>
  <w:style w:type="paragraph" w:styleId="Heading2">
    <w:name w:val="heading 2"/>
    <w:basedOn w:val="HeadingBase"/>
    <w:next w:val="BodyText"/>
    <w:link w:val="Heading2Char"/>
    <w:qFormat/>
    <w:rsid w:val="002F4AD7"/>
    <w:pPr>
      <w:keepLines/>
      <w:spacing w:before="240" w:after="120"/>
      <w:outlineLvl w:val="1"/>
    </w:pPr>
    <w:rPr>
      <w:sz w:val="28"/>
      <w:szCs w:val="40"/>
    </w:rPr>
  </w:style>
  <w:style w:type="paragraph" w:styleId="Heading3">
    <w:name w:val="heading 3"/>
    <w:basedOn w:val="HeadingBase"/>
    <w:next w:val="BodyText"/>
    <w:link w:val="Heading3Char"/>
    <w:qFormat/>
    <w:rsid w:val="002F4AD7"/>
    <w:pPr>
      <w:spacing w:before="180" w:after="120"/>
      <w:outlineLvl w:val="2"/>
    </w:pPr>
    <w:rPr>
      <w:spacing w:val="-10"/>
      <w:kern w:val="32"/>
    </w:rPr>
  </w:style>
  <w:style w:type="paragraph" w:styleId="Heading4">
    <w:name w:val="heading 4"/>
    <w:basedOn w:val="HeadingBase"/>
    <w:next w:val="BodyText"/>
    <w:link w:val="Heading4Char"/>
    <w:qFormat/>
    <w:rsid w:val="002F4AD7"/>
    <w:pPr>
      <w:spacing w:before="160" w:after="120"/>
      <w:outlineLvl w:val="3"/>
    </w:pPr>
    <w:rPr>
      <w:sz w:val="22"/>
    </w:rPr>
  </w:style>
  <w:style w:type="paragraph" w:styleId="Heading5">
    <w:name w:val="heading 5"/>
    <w:basedOn w:val="HeadingBase"/>
    <w:next w:val="Normal"/>
    <w:link w:val="Heading5Char"/>
    <w:qFormat/>
    <w:rsid w:val="002F4AD7"/>
    <w:pPr>
      <w:spacing w:before="80"/>
      <w:outlineLvl w:val="4"/>
    </w:pPr>
    <w:rPr>
      <w:color w:val="918585"/>
      <w:sz w:val="20"/>
    </w:rPr>
  </w:style>
  <w:style w:type="paragraph" w:styleId="Heading6">
    <w:name w:val="heading 6"/>
    <w:basedOn w:val="HeadingBase"/>
    <w:next w:val="Normal"/>
    <w:link w:val="Heading6Char"/>
    <w:qFormat/>
    <w:rsid w:val="002F4AD7"/>
    <w:pPr>
      <w:spacing w:before="60"/>
      <w:outlineLvl w:val="5"/>
    </w:pPr>
    <w:rPr>
      <w:color w:val="918585"/>
      <w:sz w:val="20"/>
    </w:rPr>
  </w:style>
  <w:style w:type="paragraph" w:styleId="Heading7">
    <w:name w:val="heading 7"/>
    <w:basedOn w:val="Normal"/>
    <w:next w:val="Normal"/>
    <w:link w:val="Heading7Char"/>
    <w:qFormat/>
    <w:rsid w:val="002F4AD7"/>
    <w:pPr>
      <w:ind w:left="720"/>
      <w:outlineLvl w:val="6"/>
    </w:pPr>
    <w:rPr>
      <w:i/>
    </w:rPr>
  </w:style>
  <w:style w:type="paragraph" w:styleId="Heading8">
    <w:name w:val="heading 8"/>
    <w:basedOn w:val="Normal"/>
    <w:next w:val="Normal"/>
    <w:link w:val="Heading8Char"/>
    <w:qFormat/>
    <w:rsid w:val="002F4AD7"/>
    <w:pPr>
      <w:ind w:left="720"/>
      <w:outlineLvl w:val="7"/>
    </w:pPr>
    <w:rPr>
      <w:i/>
    </w:rPr>
  </w:style>
  <w:style w:type="paragraph" w:styleId="Heading9">
    <w:name w:val="heading 9"/>
    <w:basedOn w:val="Normal"/>
    <w:next w:val="Normal"/>
    <w:link w:val="Heading9Char"/>
    <w:qFormat/>
    <w:rsid w:val="002F4AD7"/>
    <w:pPr>
      <w:ind w:left="720"/>
      <w:outlineLvl w:val="8"/>
    </w:pPr>
    <w:rPr>
      <w:i/>
    </w:rPr>
  </w:style>
  <w:style w:type="character" w:default="1" w:styleId="DefaultParagraphFont">
    <w:name w:val="Default Paragraph Font"/>
    <w:uiPriority w:val="1"/>
    <w:unhideWhenUsed/>
    <w:rsid w:val="002F4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AD7"/>
  </w:style>
  <w:style w:type="character" w:customStyle="1" w:styleId="Heading1Char">
    <w:name w:val="Heading 1 Char"/>
    <w:link w:val="Heading1"/>
    <w:rsid w:val="002F4AD7"/>
    <w:rPr>
      <w:rFonts w:ascii="Times New Roman" w:eastAsia="Times New Roman" w:hAnsi="Times New Roman" w:cs="Times New Roman"/>
      <w:b/>
      <w:sz w:val="32"/>
      <w:szCs w:val="20"/>
      <w:lang w:eastAsia="en-US"/>
    </w:rPr>
  </w:style>
  <w:style w:type="paragraph" w:styleId="BodyText">
    <w:name w:val="Body Text"/>
    <w:basedOn w:val="Normal"/>
    <w:link w:val="BodyTextChar"/>
    <w:rsid w:val="002F4AD7"/>
    <w:pPr>
      <w:spacing w:before="120" w:after="120"/>
      <w:contextualSpacing/>
    </w:pPr>
    <w:rPr>
      <w:rFonts w:ascii="Times New Roman" w:hAnsi="Times New Roman"/>
      <w:sz w:val="24"/>
      <w:szCs w:val="22"/>
    </w:rPr>
  </w:style>
  <w:style w:type="character" w:customStyle="1" w:styleId="BodyTextChar">
    <w:name w:val="Body Text Char"/>
    <w:link w:val="BodyText"/>
    <w:rsid w:val="002F4AD7"/>
    <w:rPr>
      <w:rFonts w:ascii="Times New Roman" w:eastAsia="Times New Roman" w:hAnsi="Times New Roman" w:cs="Times New Roman"/>
      <w:sz w:val="24"/>
      <w:lang w:val="en-US" w:eastAsia="en-US"/>
    </w:rPr>
  </w:style>
  <w:style w:type="paragraph" w:styleId="Footer">
    <w:name w:val="footer"/>
    <w:basedOn w:val="Normal"/>
    <w:link w:val="FooterChar"/>
    <w:rsid w:val="002F4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4AD7"/>
    <w:rPr>
      <w:rFonts w:ascii="Times New Roman" w:eastAsia="Times New Roman" w:hAnsi="Times New Roman" w:cs="Times New Roman"/>
      <w:sz w:val="16"/>
      <w:lang w:val="en-US" w:eastAsia="en-US"/>
    </w:rPr>
  </w:style>
  <w:style w:type="paragraph" w:styleId="List">
    <w:name w:val="List"/>
    <w:basedOn w:val="BodyText"/>
    <w:next w:val="BodyText"/>
    <w:rsid w:val="002F4AD7"/>
    <w:pPr>
      <w:tabs>
        <w:tab w:val="left" w:pos="340"/>
      </w:tabs>
      <w:spacing w:before="60" w:after="60"/>
      <w:ind w:left="340" w:hanging="340"/>
    </w:pPr>
  </w:style>
  <w:style w:type="paragraph" w:styleId="ListBullet">
    <w:name w:val="List Bullet"/>
    <w:basedOn w:val="List"/>
    <w:rsid w:val="002F4AD7"/>
    <w:pPr>
      <w:numPr>
        <w:numId w:val="13"/>
      </w:numPr>
      <w:tabs>
        <w:tab w:val="clear" w:pos="340"/>
      </w:tabs>
      <w:spacing w:before="40" w:after="40"/>
    </w:pPr>
  </w:style>
  <w:style w:type="character" w:customStyle="1" w:styleId="SpecialBold">
    <w:name w:val="Special Bold"/>
    <w:rsid w:val="002F4AD7"/>
    <w:rPr>
      <w:b/>
      <w:spacing w:val="0"/>
    </w:rPr>
  </w:style>
  <w:style w:type="paragraph" w:styleId="ListBullet2">
    <w:name w:val="List Bullet 2"/>
    <w:basedOn w:val="List2"/>
    <w:rsid w:val="002F4AD7"/>
    <w:pPr>
      <w:numPr>
        <w:numId w:val="14"/>
      </w:numPr>
      <w:tabs>
        <w:tab w:val="clear" w:pos="680"/>
      </w:tabs>
    </w:pPr>
  </w:style>
  <w:style w:type="paragraph" w:styleId="Header">
    <w:name w:val="header"/>
    <w:basedOn w:val="Normal"/>
    <w:link w:val="HeaderChar"/>
    <w:rsid w:val="002F4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4AD7"/>
    <w:rPr>
      <w:rFonts w:ascii="Times New Roman" w:eastAsia="Times New Roman" w:hAnsi="Times New Roman" w:cs="Times New Roman"/>
      <w:sz w:val="16"/>
      <w:szCs w:val="20"/>
      <w:lang w:val="en-GB" w:eastAsia="en-US"/>
    </w:rPr>
  </w:style>
  <w:style w:type="character" w:styleId="Emphasis">
    <w:name w:val="Emphasis"/>
    <w:qFormat/>
    <w:rsid w:val="002F4AD7"/>
    <w:rPr>
      <w:i/>
    </w:rPr>
  </w:style>
  <w:style w:type="paragraph" w:customStyle="1" w:styleId="SuperHeading">
    <w:name w:val="SuperHeading"/>
    <w:basedOn w:val="Normal"/>
    <w:rsid w:val="002F4AD7"/>
    <w:pPr>
      <w:spacing w:before="240" w:after="120"/>
      <w:outlineLvl w:val="0"/>
    </w:pPr>
    <w:rPr>
      <w:rFonts w:ascii="Times New Roman" w:hAnsi="Times New Roman"/>
      <w:b/>
      <w:sz w:val="28"/>
    </w:rPr>
  </w:style>
  <w:style w:type="paragraph" w:customStyle="1" w:styleId="AllowPageBreak">
    <w:name w:val="AllowPageBreak"/>
    <w:rsid w:val="002F4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F4AD7"/>
    <w:rPr>
      <w:rFonts w:ascii="Times New Roman" w:eastAsia="Times New Roman" w:hAnsi="Times New Roman" w:cs="Times New Roman"/>
      <w:b/>
      <w:sz w:val="28"/>
      <w:szCs w:val="40"/>
      <w:lang w:eastAsia="en-US"/>
    </w:rPr>
  </w:style>
  <w:style w:type="character" w:customStyle="1" w:styleId="Heading3Char">
    <w:name w:val="Heading 3 Char"/>
    <w:link w:val="Heading3"/>
    <w:rsid w:val="002F4A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4AD7"/>
    <w:rPr>
      <w:rFonts w:ascii="Times New Roman" w:eastAsia="Times New Roman" w:hAnsi="Times New Roman" w:cs="Times New Roman"/>
      <w:b/>
      <w:szCs w:val="20"/>
      <w:lang w:eastAsia="en-US"/>
    </w:rPr>
  </w:style>
  <w:style w:type="character" w:customStyle="1" w:styleId="Heading5Char">
    <w:name w:val="Heading 5 Char"/>
    <w:link w:val="Heading5"/>
    <w:rsid w:val="002F4A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4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A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A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AD7"/>
    <w:rPr>
      <w:rFonts w:ascii="Courier New" w:eastAsia="Times New Roman" w:hAnsi="Courier New" w:cs="Times New Roman"/>
      <w:i/>
      <w:szCs w:val="20"/>
      <w:lang w:val="en-US" w:eastAsia="en-US"/>
    </w:rPr>
  </w:style>
  <w:style w:type="paragraph" w:customStyle="1" w:styleId="HeadingBase">
    <w:name w:val="Heading Base"/>
    <w:rsid w:val="002F4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AD7"/>
    <w:pPr>
      <w:tabs>
        <w:tab w:val="right" w:leader="dot" w:pos="9072"/>
      </w:tabs>
      <w:ind w:left="567"/>
    </w:pPr>
    <w:rPr>
      <w:szCs w:val="22"/>
    </w:rPr>
  </w:style>
  <w:style w:type="paragraph" w:customStyle="1" w:styleId="TOCBase">
    <w:name w:val="TOC Base"/>
    <w:rsid w:val="002F4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AD7"/>
    <w:pPr>
      <w:tabs>
        <w:tab w:val="right" w:leader="dot" w:pos="9072"/>
      </w:tabs>
      <w:spacing w:before="40" w:after="40"/>
      <w:ind w:left="284"/>
    </w:pPr>
    <w:rPr>
      <w:rFonts w:ascii="Times New Roman" w:hAnsi="Times New Roman"/>
    </w:rPr>
  </w:style>
  <w:style w:type="paragraph" w:styleId="TOC1">
    <w:name w:val="toc 1"/>
    <w:basedOn w:val="TOCBase"/>
    <w:next w:val="Normal"/>
    <w:rsid w:val="002F4A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AD7"/>
    <w:pPr>
      <w:spacing w:before="5040"/>
      <w:jc w:val="center"/>
    </w:pPr>
    <w:rPr>
      <w:sz w:val="48"/>
      <w:szCs w:val="72"/>
      <w:lang w:val="en-US"/>
    </w:rPr>
  </w:style>
  <w:style w:type="character" w:customStyle="1" w:styleId="TitleChar">
    <w:name w:val="Title Char"/>
    <w:link w:val="Title"/>
    <w:rsid w:val="002F4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AD7"/>
    <w:pPr>
      <w:tabs>
        <w:tab w:val="left" w:pos="3600"/>
        <w:tab w:val="left" w:pos="3958"/>
      </w:tabs>
    </w:pPr>
  </w:style>
  <w:style w:type="paragraph" w:customStyle="1" w:styleId="Note">
    <w:name w:val="Note"/>
    <w:basedOn w:val="BodyText"/>
    <w:rsid w:val="002F4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AD7"/>
    <w:pPr>
      <w:framePr w:wrap="auto" w:hAnchor="text" w:y="6049"/>
    </w:pPr>
    <w:rPr>
      <w:color w:val="000000"/>
      <w:sz w:val="40"/>
    </w:rPr>
  </w:style>
  <w:style w:type="paragraph" w:customStyle="1" w:styleId="TOCTitle">
    <w:name w:val="TOCTitle"/>
    <w:basedOn w:val="Heading1"/>
    <w:rsid w:val="002F4AD7"/>
    <w:pPr>
      <w:spacing w:after="240"/>
      <w:jc w:val="center"/>
      <w:outlineLvl w:val="9"/>
    </w:pPr>
    <w:rPr>
      <w:caps/>
    </w:rPr>
  </w:style>
  <w:style w:type="paragraph" w:customStyle="1" w:styleId="Version">
    <w:name w:val="Version"/>
    <w:rsid w:val="002F4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AD7"/>
    <w:pPr>
      <w:keepNext w:val="0"/>
      <w:tabs>
        <w:tab w:val="right" w:pos="4176"/>
      </w:tabs>
      <w:ind w:left="198" w:hanging="198"/>
    </w:pPr>
    <w:rPr>
      <w:rFonts w:ascii="Garamond" w:hAnsi="Garamond"/>
    </w:rPr>
  </w:style>
  <w:style w:type="paragraph" w:styleId="IndexHeading">
    <w:name w:val="index heading"/>
    <w:basedOn w:val="Normal"/>
    <w:next w:val="Index1"/>
    <w:semiHidden/>
    <w:rsid w:val="002F4AD7"/>
    <w:pPr>
      <w:spacing w:before="120" w:after="120"/>
    </w:pPr>
    <w:rPr>
      <w:rFonts w:ascii="Arial" w:hAnsi="Arial"/>
      <w:b/>
      <w:color w:val="918585"/>
      <w:sz w:val="24"/>
    </w:rPr>
  </w:style>
  <w:style w:type="paragraph" w:customStyle="1" w:styleId="Chapter">
    <w:name w:val="Chapter"/>
    <w:basedOn w:val="Normal"/>
    <w:rsid w:val="002F4AD7"/>
    <w:pPr>
      <w:spacing w:before="240"/>
    </w:pPr>
    <w:rPr>
      <w:rFonts w:ascii="Times New Roman" w:hAnsi="Times New Roman"/>
      <w:smallCaps/>
      <w:spacing w:val="80"/>
      <w:sz w:val="28"/>
    </w:rPr>
  </w:style>
  <w:style w:type="paragraph" w:customStyle="1" w:styleId="InChapter">
    <w:name w:val="InChapter"/>
    <w:basedOn w:val="Heading3"/>
    <w:rsid w:val="002F4AD7"/>
    <w:pPr>
      <w:spacing w:after="240"/>
      <w:outlineLvl w:val="9"/>
    </w:pPr>
    <w:rPr>
      <w:noProof/>
    </w:rPr>
  </w:style>
  <w:style w:type="paragraph" w:styleId="Index2">
    <w:name w:val="index 2"/>
    <w:basedOn w:val="Normal"/>
    <w:next w:val="Normal"/>
    <w:semiHidden/>
    <w:rsid w:val="002F4AD7"/>
    <w:pPr>
      <w:tabs>
        <w:tab w:val="right" w:pos="4176"/>
      </w:tabs>
      <w:ind w:left="568" w:hanging="284"/>
    </w:pPr>
    <w:rPr>
      <w:rFonts w:ascii="Garamond" w:hAnsi="Garamond"/>
    </w:rPr>
  </w:style>
  <w:style w:type="paragraph" w:customStyle="1" w:styleId="Byline">
    <w:name w:val="Byline"/>
    <w:rsid w:val="002F4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AD7"/>
    <w:pPr>
      <w:tabs>
        <w:tab w:val="clear" w:pos="3600"/>
        <w:tab w:val="clear" w:pos="3958"/>
      </w:tabs>
      <w:jc w:val="right"/>
    </w:pPr>
  </w:style>
  <w:style w:type="paragraph" w:styleId="Caption">
    <w:name w:val="caption"/>
    <w:basedOn w:val="BodyText"/>
    <w:next w:val="Normal"/>
    <w:qFormat/>
    <w:rsid w:val="002F4AD7"/>
    <w:pPr>
      <w:framePr w:w="2268" w:hSpace="181" w:vSpace="181" w:wrap="around" w:vAnchor="text" w:hAnchor="page" w:x="1135" w:y="285" w:anchorLock="1"/>
    </w:pPr>
    <w:rPr>
      <w:i/>
    </w:rPr>
  </w:style>
  <w:style w:type="paragraph" w:customStyle="1" w:styleId="MiniTOCTitle">
    <w:name w:val="MiniTOCTitle"/>
    <w:basedOn w:val="Heading4"/>
    <w:rsid w:val="002F4AD7"/>
    <w:pPr>
      <w:spacing w:before="240"/>
      <w:outlineLvl w:val="9"/>
    </w:pPr>
    <w:rPr>
      <w:noProof/>
      <w:sz w:val="24"/>
    </w:rPr>
  </w:style>
  <w:style w:type="paragraph" w:customStyle="1" w:styleId="MiniTOCItem">
    <w:name w:val="MiniTOCItem"/>
    <w:basedOn w:val="ListBullet"/>
    <w:rsid w:val="002F4AD7"/>
    <w:pPr>
      <w:numPr>
        <w:numId w:val="0"/>
      </w:numPr>
      <w:tabs>
        <w:tab w:val="right" w:leader="dot" w:pos="6521"/>
      </w:tabs>
      <w:spacing w:before="0" w:after="0"/>
    </w:pPr>
  </w:style>
  <w:style w:type="paragraph" w:customStyle="1" w:styleId="TOFTitle">
    <w:name w:val="TOFTitle"/>
    <w:basedOn w:val="TOCTitle"/>
    <w:rsid w:val="002F4AD7"/>
  </w:style>
  <w:style w:type="paragraph" w:styleId="TableofFigures">
    <w:name w:val="table of figures"/>
    <w:basedOn w:val="Normal"/>
    <w:next w:val="Normal"/>
    <w:semiHidden/>
    <w:rsid w:val="002F4AD7"/>
    <w:pPr>
      <w:tabs>
        <w:tab w:val="right" w:leader="dot" w:pos="9072"/>
      </w:tabs>
      <w:ind w:left="970" w:hanging="403"/>
    </w:pPr>
    <w:rPr>
      <w:rFonts w:ascii="Times New Roman" w:hAnsi="Times New Roman"/>
      <w:b/>
    </w:rPr>
  </w:style>
  <w:style w:type="paragraph" w:styleId="ListNumber">
    <w:name w:val="List Number"/>
    <w:basedOn w:val="List"/>
    <w:rsid w:val="002F4AD7"/>
    <w:pPr>
      <w:numPr>
        <w:numId w:val="11"/>
      </w:numPr>
    </w:pPr>
  </w:style>
  <w:style w:type="character" w:customStyle="1" w:styleId="WingdingSymbols">
    <w:name w:val="Wingding Symbols"/>
    <w:rsid w:val="002F4AD7"/>
    <w:rPr>
      <w:rFonts w:ascii="Wingdings" w:hAnsi="Wingdings"/>
    </w:rPr>
  </w:style>
  <w:style w:type="paragraph" w:customStyle="1" w:styleId="TableHeading">
    <w:name w:val="Table Heading"/>
    <w:basedOn w:val="HeadingBase"/>
    <w:rsid w:val="002F4AD7"/>
    <w:pPr>
      <w:keepLines/>
      <w:pBdr>
        <w:bottom w:val="single" w:sz="6" w:space="1" w:color="918585"/>
      </w:pBdr>
      <w:spacing w:before="240"/>
    </w:pPr>
  </w:style>
  <w:style w:type="character" w:customStyle="1" w:styleId="HotSpot">
    <w:name w:val="HotSpot"/>
    <w:rsid w:val="002F4AD7"/>
    <w:rPr>
      <w:color w:val="0033CC"/>
      <w:u w:val="none"/>
    </w:rPr>
  </w:style>
  <w:style w:type="paragraph" w:customStyle="1" w:styleId="BodyTextRight">
    <w:name w:val="Body Text Right"/>
    <w:basedOn w:val="BodyText"/>
    <w:rsid w:val="002F4AD7"/>
    <w:pPr>
      <w:spacing w:before="0" w:after="0"/>
      <w:jc w:val="right"/>
    </w:pPr>
  </w:style>
  <w:style w:type="paragraph" w:styleId="Index3">
    <w:name w:val="index 3"/>
    <w:basedOn w:val="ListNumber2"/>
    <w:next w:val="Normal"/>
    <w:semiHidden/>
    <w:rsid w:val="002F4AD7"/>
    <w:pPr>
      <w:numPr>
        <w:numId w:val="0"/>
      </w:numPr>
      <w:tabs>
        <w:tab w:val="right" w:leader="dot" w:pos="4176"/>
      </w:tabs>
    </w:pPr>
  </w:style>
  <w:style w:type="paragraph" w:styleId="ListNumber2">
    <w:name w:val="List Number 2"/>
    <w:basedOn w:val="List2"/>
    <w:rsid w:val="002F4AD7"/>
    <w:pPr>
      <w:numPr>
        <w:numId w:val="10"/>
      </w:numPr>
      <w:tabs>
        <w:tab w:val="clear" w:pos="1060"/>
      </w:tabs>
    </w:pPr>
  </w:style>
  <w:style w:type="paragraph" w:customStyle="1" w:styleId="MarginNote">
    <w:name w:val="Margin Note"/>
    <w:basedOn w:val="BodyText"/>
    <w:rsid w:val="002F4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4A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AD7"/>
    <w:rPr>
      <w:sz w:val="32"/>
    </w:rPr>
  </w:style>
  <w:style w:type="paragraph" w:customStyle="1" w:styleId="HeadingProcedure">
    <w:name w:val="Heading Procedure"/>
    <w:basedOn w:val="HeadingBase"/>
    <w:next w:val="Normal"/>
    <w:rsid w:val="002F4AD7"/>
    <w:pPr>
      <w:tabs>
        <w:tab w:val="left" w:pos="0"/>
      </w:tabs>
      <w:spacing w:before="120" w:after="60"/>
    </w:pPr>
    <w:rPr>
      <w:i/>
      <w:color w:val="918585"/>
      <w:sz w:val="22"/>
    </w:rPr>
  </w:style>
  <w:style w:type="paragraph" w:customStyle="1" w:styleId="TableBodyText">
    <w:name w:val="Table Body Text"/>
    <w:basedOn w:val="BodyText"/>
    <w:rsid w:val="002F4AD7"/>
    <w:pPr>
      <w:spacing w:before="60" w:after="60"/>
    </w:pPr>
  </w:style>
  <w:style w:type="paragraph" w:styleId="ListContinue">
    <w:name w:val="List Continue"/>
    <w:basedOn w:val="List"/>
    <w:rsid w:val="002F4AD7"/>
    <w:pPr>
      <w:ind w:firstLine="0"/>
    </w:pPr>
  </w:style>
  <w:style w:type="paragraph" w:customStyle="1" w:styleId="ListNote">
    <w:name w:val="List Note"/>
    <w:basedOn w:val="List"/>
    <w:rsid w:val="002F4AD7"/>
    <w:pPr>
      <w:pBdr>
        <w:top w:val="single" w:sz="6" w:space="2" w:color="918585"/>
        <w:bottom w:val="single" w:sz="6" w:space="2" w:color="918585"/>
      </w:pBdr>
      <w:tabs>
        <w:tab w:val="left" w:pos="1021"/>
      </w:tabs>
      <w:ind w:firstLine="0"/>
    </w:pPr>
  </w:style>
  <w:style w:type="paragraph" w:customStyle="1" w:styleId="Warning">
    <w:name w:val="Warning"/>
    <w:basedOn w:val="BodyText"/>
    <w:rsid w:val="002F4AD7"/>
    <w:pPr>
      <w:shd w:val="clear" w:color="auto" w:fill="D9D9D9"/>
      <w:tabs>
        <w:tab w:val="left" w:pos="992"/>
      </w:tabs>
      <w:ind w:left="119" w:right="119"/>
    </w:pPr>
    <w:rPr>
      <w:sz w:val="20"/>
    </w:rPr>
  </w:style>
  <w:style w:type="paragraph" w:customStyle="1" w:styleId="MarginIcons">
    <w:name w:val="Margin Icons"/>
    <w:basedOn w:val="BodyText"/>
    <w:rsid w:val="002F4A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4AD7"/>
    <w:rPr>
      <w:rFonts w:ascii="Courier New" w:hAnsi="Courier New"/>
    </w:rPr>
  </w:style>
  <w:style w:type="paragraph" w:customStyle="1" w:styleId="NoteBullet">
    <w:name w:val="Note Bullet"/>
    <w:basedOn w:val="Note"/>
    <w:rsid w:val="002F4AD7"/>
    <w:pPr>
      <w:tabs>
        <w:tab w:val="clear" w:pos="680"/>
      </w:tabs>
      <w:spacing w:before="60" w:after="60"/>
    </w:pPr>
  </w:style>
  <w:style w:type="paragraph" w:customStyle="1" w:styleId="SubHeading2">
    <w:name w:val="SubHeading2"/>
    <w:basedOn w:val="HeadingBase"/>
    <w:rsid w:val="002F4AD7"/>
    <w:pPr>
      <w:spacing w:before="240" w:after="60"/>
    </w:pPr>
    <w:rPr>
      <w:sz w:val="20"/>
    </w:rPr>
  </w:style>
  <w:style w:type="paragraph" w:customStyle="1" w:styleId="SubHeading1">
    <w:name w:val="SubHeading1"/>
    <w:basedOn w:val="HeadingBase"/>
    <w:rsid w:val="002F4AD7"/>
    <w:pPr>
      <w:spacing w:before="240" w:after="60"/>
    </w:pPr>
    <w:rPr>
      <w:color w:val="918585"/>
      <w:sz w:val="22"/>
    </w:rPr>
  </w:style>
  <w:style w:type="paragraph" w:customStyle="1" w:styleId="SideHeading">
    <w:name w:val="Side Heading"/>
    <w:basedOn w:val="HeadingBase"/>
    <w:rsid w:val="002F4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AD7"/>
    <w:pPr>
      <w:numPr>
        <w:numId w:val="12"/>
      </w:numPr>
    </w:pPr>
  </w:style>
  <w:style w:type="paragraph" w:styleId="PlainText">
    <w:name w:val="Plain Text"/>
    <w:basedOn w:val="Normal"/>
    <w:link w:val="PlainTextChar"/>
    <w:rsid w:val="002F4AD7"/>
    <w:rPr>
      <w:sz w:val="20"/>
    </w:rPr>
  </w:style>
  <w:style w:type="character" w:customStyle="1" w:styleId="PlainTextChar">
    <w:name w:val="Plain Text Char"/>
    <w:basedOn w:val="DefaultParagraphFont"/>
    <w:link w:val="PlainText"/>
    <w:rsid w:val="002F4AD7"/>
    <w:rPr>
      <w:rFonts w:ascii="Courier New" w:eastAsia="Times New Roman" w:hAnsi="Courier New" w:cs="Times New Roman"/>
      <w:sz w:val="20"/>
      <w:szCs w:val="20"/>
      <w:lang w:val="en-US" w:eastAsia="en-US"/>
    </w:rPr>
  </w:style>
  <w:style w:type="character" w:customStyle="1" w:styleId="MenuOption">
    <w:name w:val="Menu Option"/>
    <w:rsid w:val="002F4AD7"/>
    <w:rPr>
      <w:b/>
      <w:smallCaps/>
    </w:rPr>
  </w:style>
  <w:style w:type="paragraph" w:customStyle="1" w:styleId="TableListNumber">
    <w:name w:val="Table List Number"/>
    <w:basedOn w:val="ListNumber"/>
    <w:rsid w:val="002F4AD7"/>
    <w:pPr>
      <w:numPr>
        <w:numId w:val="0"/>
      </w:numPr>
    </w:pPr>
  </w:style>
  <w:style w:type="paragraph" w:styleId="TOC4">
    <w:name w:val="toc 4"/>
    <w:basedOn w:val="TOCBase"/>
    <w:next w:val="Normal"/>
    <w:semiHidden/>
    <w:rsid w:val="002F4AD7"/>
    <w:pPr>
      <w:tabs>
        <w:tab w:val="right" w:leader="dot" w:pos="9071"/>
      </w:tabs>
      <w:ind w:left="1701"/>
    </w:pPr>
  </w:style>
  <w:style w:type="paragraph" w:customStyle="1" w:styleId="ListAlpha">
    <w:name w:val="List Alpha"/>
    <w:basedOn w:val="List"/>
    <w:rsid w:val="002F4AD7"/>
    <w:pPr>
      <w:numPr>
        <w:numId w:val="9"/>
      </w:numPr>
    </w:pPr>
  </w:style>
  <w:style w:type="paragraph" w:customStyle="1" w:styleId="ListAlpha2">
    <w:name w:val="List Alpha 2"/>
    <w:basedOn w:val="List2"/>
    <w:rsid w:val="002F4AD7"/>
    <w:pPr>
      <w:numPr>
        <w:numId w:val="8"/>
      </w:numPr>
    </w:pPr>
  </w:style>
  <w:style w:type="paragraph" w:styleId="List2">
    <w:name w:val="List 2"/>
    <w:basedOn w:val="BodyText"/>
    <w:rsid w:val="002F4AD7"/>
    <w:pPr>
      <w:tabs>
        <w:tab w:val="left" w:pos="680"/>
      </w:tabs>
      <w:spacing w:before="60" w:after="60"/>
      <w:ind w:left="680" w:hanging="340"/>
    </w:pPr>
  </w:style>
  <w:style w:type="paragraph" w:styleId="List3">
    <w:name w:val="List 3"/>
    <w:basedOn w:val="BodyText"/>
    <w:rsid w:val="002F4AD7"/>
    <w:pPr>
      <w:tabs>
        <w:tab w:val="left" w:pos="1021"/>
      </w:tabs>
      <w:spacing w:before="60" w:after="60"/>
      <w:ind w:left="1020" w:hanging="340"/>
    </w:pPr>
  </w:style>
  <w:style w:type="paragraph" w:styleId="List4">
    <w:name w:val="List 4"/>
    <w:basedOn w:val="BodyText"/>
    <w:rsid w:val="002F4AD7"/>
    <w:pPr>
      <w:tabs>
        <w:tab w:val="left" w:pos="1361"/>
      </w:tabs>
      <w:spacing w:before="60" w:after="60"/>
      <w:ind w:left="1361" w:hanging="340"/>
    </w:pPr>
  </w:style>
  <w:style w:type="paragraph" w:styleId="List5">
    <w:name w:val="List 5"/>
    <w:basedOn w:val="BodyText"/>
    <w:rsid w:val="002F4AD7"/>
    <w:pPr>
      <w:tabs>
        <w:tab w:val="left" w:pos="1701"/>
      </w:tabs>
      <w:spacing w:before="60" w:after="60"/>
      <w:ind w:left="1701" w:hanging="340"/>
    </w:pPr>
  </w:style>
  <w:style w:type="paragraph" w:styleId="ListBullet3">
    <w:name w:val="List Bullet 3"/>
    <w:basedOn w:val="List3"/>
    <w:rsid w:val="002F4AD7"/>
    <w:pPr>
      <w:numPr>
        <w:numId w:val="15"/>
      </w:numPr>
      <w:tabs>
        <w:tab w:val="clear" w:pos="1021"/>
      </w:tabs>
      <w:ind w:left="1037" w:hanging="357"/>
    </w:pPr>
  </w:style>
  <w:style w:type="paragraph" w:styleId="ListBullet4">
    <w:name w:val="List Bullet 4"/>
    <w:basedOn w:val="List4"/>
    <w:rsid w:val="002F4AD7"/>
    <w:pPr>
      <w:numPr>
        <w:numId w:val="3"/>
      </w:numPr>
    </w:pPr>
  </w:style>
  <w:style w:type="paragraph" w:styleId="ListBullet5">
    <w:name w:val="List Bullet 5"/>
    <w:basedOn w:val="List5"/>
    <w:rsid w:val="002F4AD7"/>
    <w:pPr>
      <w:numPr>
        <w:numId w:val="4"/>
      </w:numPr>
    </w:pPr>
  </w:style>
  <w:style w:type="paragraph" w:styleId="ListContinue2">
    <w:name w:val="List Continue 2"/>
    <w:basedOn w:val="List2"/>
    <w:rsid w:val="002F4AD7"/>
    <w:pPr>
      <w:ind w:firstLine="0"/>
    </w:pPr>
  </w:style>
  <w:style w:type="paragraph" w:styleId="ListContinue3">
    <w:name w:val="List Continue 3"/>
    <w:basedOn w:val="List3"/>
    <w:rsid w:val="002F4AD7"/>
    <w:pPr>
      <w:ind w:left="1021" w:firstLine="0"/>
    </w:pPr>
  </w:style>
  <w:style w:type="paragraph" w:styleId="ListContinue4">
    <w:name w:val="List Continue 4"/>
    <w:basedOn w:val="List4"/>
    <w:rsid w:val="002F4AD7"/>
    <w:pPr>
      <w:ind w:firstLine="0"/>
    </w:pPr>
  </w:style>
  <w:style w:type="paragraph" w:styleId="ListContinue5">
    <w:name w:val="List Continue 5"/>
    <w:basedOn w:val="List5"/>
    <w:rsid w:val="002F4AD7"/>
    <w:pPr>
      <w:ind w:firstLine="0"/>
    </w:pPr>
  </w:style>
  <w:style w:type="paragraph" w:styleId="ListNumber3">
    <w:name w:val="List Number 3"/>
    <w:basedOn w:val="List3"/>
    <w:rsid w:val="002F4AD7"/>
    <w:pPr>
      <w:numPr>
        <w:numId w:val="5"/>
      </w:numPr>
    </w:pPr>
  </w:style>
  <w:style w:type="paragraph" w:styleId="ListNumber4">
    <w:name w:val="List Number 4"/>
    <w:basedOn w:val="List4"/>
    <w:rsid w:val="002F4AD7"/>
    <w:pPr>
      <w:numPr>
        <w:numId w:val="6"/>
      </w:numPr>
    </w:pPr>
  </w:style>
  <w:style w:type="paragraph" w:styleId="ListNumber5">
    <w:name w:val="List Number 5"/>
    <w:basedOn w:val="List5"/>
    <w:rsid w:val="002F4AD7"/>
    <w:pPr>
      <w:numPr>
        <w:numId w:val="7"/>
      </w:numPr>
    </w:pPr>
  </w:style>
  <w:style w:type="paragraph" w:styleId="BlockText">
    <w:name w:val="Block Text"/>
    <w:basedOn w:val="Normal"/>
    <w:rsid w:val="002F4AD7"/>
    <w:pPr>
      <w:spacing w:after="120"/>
      <w:ind w:left="1440" w:right="1440"/>
    </w:pPr>
  </w:style>
  <w:style w:type="character" w:customStyle="1" w:styleId="Subscript">
    <w:name w:val="Subscript"/>
    <w:rsid w:val="002F4AD7"/>
    <w:rPr>
      <w:sz w:val="16"/>
      <w:vertAlign w:val="subscript"/>
    </w:rPr>
  </w:style>
  <w:style w:type="character" w:customStyle="1" w:styleId="Superscript">
    <w:name w:val="Superscript"/>
    <w:rsid w:val="002F4AD7"/>
    <w:rPr>
      <w:sz w:val="16"/>
      <w:vertAlign w:val="superscript"/>
    </w:rPr>
  </w:style>
  <w:style w:type="character" w:customStyle="1" w:styleId="Symbols">
    <w:name w:val="Symbols"/>
    <w:rsid w:val="002F4AD7"/>
    <w:rPr>
      <w:rFonts w:ascii="Symbol" w:hAnsi="Symbol"/>
    </w:rPr>
  </w:style>
  <w:style w:type="character" w:customStyle="1" w:styleId="MenuOptions">
    <w:name w:val="Menu Options"/>
    <w:rsid w:val="002F4AD7"/>
    <w:rPr>
      <w:rFonts w:ascii="Arial Narrow" w:hAnsi="Arial Narrow"/>
      <w:smallCaps/>
    </w:rPr>
  </w:style>
  <w:style w:type="character" w:customStyle="1" w:styleId="Buttons">
    <w:name w:val="Buttons"/>
    <w:rsid w:val="002F4AD7"/>
    <w:rPr>
      <w:b/>
    </w:rPr>
  </w:style>
  <w:style w:type="character" w:customStyle="1" w:styleId="Underlined">
    <w:name w:val="Underlined"/>
    <w:rsid w:val="002F4AD7"/>
    <w:rPr>
      <w:u w:val="single"/>
    </w:rPr>
  </w:style>
  <w:style w:type="paragraph" w:customStyle="1" w:styleId="TableBodyTextRight">
    <w:name w:val="Table Body Text Right"/>
    <w:basedOn w:val="TableBodyText"/>
    <w:rsid w:val="002F4AD7"/>
    <w:pPr>
      <w:widowControl w:val="0"/>
      <w:autoSpaceDE w:val="0"/>
      <w:autoSpaceDN w:val="0"/>
      <w:adjustRightInd w:val="0"/>
      <w:jc w:val="right"/>
    </w:pPr>
    <w:rPr>
      <w:rFonts w:cs="Arial"/>
      <w:szCs w:val="18"/>
    </w:rPr>
  </w:style>
  <w:style w:type="paragraph" w:customStyle="1" w:styleId="CopyrightText">
    <w:name w:val="Copyright Text"/>
    <w:basedOn w:val="BodyText"/>
    <w:rsid w:val="002F4AD7"/>
    <w:rPr>
      <w:sz w:val="18"/>
    </w:rPr>
  </w:style>
  <w:style w:type="paragraph" w:customStyle="1" w:styleId="BodySmallRight">
    <w:name w:val="Body Small Right"/>
    <w:basedOn w:val="BodyTextRight"/>
    <w:rsid w:val="002F4AD7"/>
    <w:rPr>
      <w:sz w:val="18"/>
      <w:szCs w:val="18"/>
    </w:rPr>
  </w:style>
  <w:style w:type="paragraph" w:customStyle="1" w:styleId="MarginEdition">
    <w:name w:val="Margin Edition"/>
    <w:basedOn w:val="MarginNote"/>
    <w:rsid w:val="002F4AD7"/>
    <w:pPr>
      <w:spacing w:before="0" w:after="0"/>
    </w:pPr>
    <w:rPr>
      <w:rFonts w:ascii="Times New Roman" w:hAnsi="Times New Roman"/>
      <w:color w:val="999999"/>
    </w:rPr>
  </w:style>
  <w:style w:type="paragraph" w:customStyle="1" w:styleId="Spacer">
    <w:name w:val="Spacer"/>
    <w:basedOn w:val="Normal"/>
    <w:rsid w:val="002F4AD7"/>
    <w:rPr>
      <w:sz w:val="2"/>
      <w:szCs w:val="2"/>
    </w:rPr>
  </w:style>
  <w:style w:type="character" w:customStyle="1" w:styleId="Small">
    <w:name w:val="Small"/>
    <w:rsid w:val="002F4AD7"/>
    <w:rPr>
      <w:sz w:val="16"/>
    </w:rPr>
  </w:style>
  <w:style w:type="paragraph" w:customStyle="1" w:styleId="WideTable">
    <w:name w:val="Wide Table"/>
    <w:basedOn w:val="Normal"/>
    <w:rsid w:val="002F4AD7"/>
    <w:pPr>
      <w:ind w:left="-1418"/>
    </w:pPr>
    <w:rPr>
      <w:sz w:val="2"/>
      <w:szCs w:val="2"/>
    </w:rPr>
  </w:style>
  <w:style w:type="character" w:styleId="PageNumber">
    <w:name w:val="page number"/>
    <w:rsid w:val="002F4AD7"/>
  </w:style>
  <w:style w:type="paragraph" w:styleId="Quote">
    <w:name w:val="Quote"/>
    <w:basedOn w:val="Heading1"/>
    <w:link w:val="QuoteChar"/>
    <w:qFormat/>
    <w:rsid w:val="002F4AD7"/>
    <w:rPr>
      <w:b w:val="0"/>
      <w:sz w:val="72"/>
      <w:szCs w:val="72"/>
      <w:lang w:val="en-NZ"/>
    </w:rPr>
  </w:style>
  <w:style w:type="character" w:customStyle="1" w:styleId="QuoteChar">
    <w:name w:val="Quote Char"/>
    <w:link w:val="Quote"/>
    <w:rsid w:val="002F4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AD7"/>
    <w:pPr>
      <w:pageBreakBefore/>
    </w:pPr>
  </w:style>
  <w:style w:type="paragraph" w:customStyle="1" w:styleId="Border">
    <w:name w:val="Border"/>
    <w:basedOn w:val="Normal"/>
    <w:qFormat/>
    <w:rsid w:val="002F4AD7"/>
    <w:pPr>
      <w:pBdr>
        <w:top w:val="single" w:sz="18" w:space="1" w:color="auto"/>
      </w:pBdr>
    </w:pPr>
    <w:rPr>
      <w:rFonts w:ascii="Times New Roman" w:hAnsi="Times New Roman"/>
      <w:color w:val="FFFFFF"/>
      <w:sz w:val="2"/>
    </w:rPr>
  </w:style>
  <w:style w:type="character" w:styleId="IntenseEmphasis">
    <w:name w:val="Intense Emphasis"/>
    <w:uiPriority w:val="21"/>
    <w:qFormat/>
    <w:rsid w:val="002F4AD7"/>
    <w:rPr>
      <w:b/>
      <w:bCs/>
      <w:i/>
      <w:iCs/>
      <w:color w:val="auto"/>
    </w:rPr>
  </w:style>
  <w:style w:type="paragraph" w:styleId="IntenseQuote">
    <w:name w:val="Intense Quote"/>
    <w:basedOn w:val="Normal"/>
    <w:next w:val="Normal"/>
    <w:link w:val="IntenseQuoteChar"/>
    <w:uiPriority w:val="30"/>
    <w:qFormat/>
    <w:rsid w:val="002F4A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4AD7"/>
    <w:rPr>
      <w:rFonts w:ascii="Courier New" w:eastAsia="Times New Roman" w:hAnsi="Courier New" w:cs="Times New Roman"/>
      <w:b/>
      <w:bCs/>
      <w:i/>
      <w:iCs/>
      <w:szCs w:val="20"/>
      <w:lang w:val="en-US" w:eastAsia="en-US"/>
    </w:rPr>
  </w:style>
  <w:style w:type="character" w:styleId="SubtleReference">
    <w:name w:val="Subtle Reference"/>
    <w:uiPriority w:val="31"/>
    <w:qFormat/>
    <w:rsid w:val="002F4AD7"/>
    <w:rPr>
      <w:smallCaps/>
      <w:color w:val="auto"/>
      <w:u w:val="single"/>
    </w:rPr>
  </w:style>
  <w:style w:type="character" w:styleId="IntenseReference">
    <w:name w:val="Intense Reference"/>
    <w:uiPriority w:val="32"/>
    <w:qFormat/>
    <w:rsid w:val="002F4AD7"/>
    <w:rPr>
      <w:b/>
      <w:bCs/>
      <w:smallCaps/>
      <w:color w:val="auto"/>
      <w:spacing w:val="5"/>
      <w:u w:val="single"/>
    </w:rPr>
  </w:style>
  <w:style w:type="paragraph" w:customStyle="1" w:styleId="2ColumnHeading">
    <w:name w:val="2Column Heading"/>
    <w:basedOn w:val="BodyText"/>
    <w:qFormat/>
    <w:rsid w:val="002F4AD7"/>
    <w:pPr>
      <w:spacing w:after="60"/>
      <w:ind w:left="-2268"/>
    </w:pPr>
    <w:rPr>
      <w:b/>
    </w:rPr>
  </w:style>
  <w:style w:type="paragraph" w:customStyle="1" w:styleId="Heading1TOC">
    <w:name w:val="Heading1 TOC"/>
    <w:basedOn w:val="Normal"/>
    <w:qFormat/>
    <w:rsid w:val="002F4AD7"/>
    <w:pPr>
      <w:spacing w:before="240" w:after="120"/>
    </w:pPr>
    <w:rPr>
      <w:rFonts w:ascii="Times New Roman" w:hAnsi="Times New Roman"/>
      <w:b/>
      <w:sz w:val="32"/>
    </w:rPr>
  </w:style>
  <w:style w:type="paragraph" w:customStyle="1" w:styleId="Heading2TOC">
    <w:name w:val="Heading2 TOC"/>
    <w:basedOn w:val="Normal"/>
    <w:qFormat/>
    <w:rsid w:val="002F4AD7"/>
    <w:pPr>
      <w:spacing w:before="240" w:after="60"/>
    </w:pPr>
    <w:rPr>
      <w:rFonts w:ascii="Times New Roman" w:hAnsi="Times New Roman"/>
      <w:b/>
      <w:sz w:val="28"/>
    </w:rPr>
  </w:style>
  <w:style w:type="character" w:customStyle="1" w:styleId="Underline">
    <w:name w:val="Underline"/>
    <w:qFormat/>
    <w:rsid w:val="002F4AD7"/>
    <w:rPr>
      <w:u w:val="single"/>
    </w:rPr>
  </w:style>
  <w:style w:type="character" w:customStyle="1" w:styleId="BoldandItalics">
    <w:name w:val="Bold and Italics"/>
    <w:qFormat/>
    <w:rsid w:val="002F4AD7"/>
    <w:rPr>
      <w:b/>
      <w:i/>
      <w:u w:val="none"/>
    </w:rPr>
  </w:style>
  <w:style w:type="paragraph" w:styleId="BalloonText">
    <w:name w:val="Balloon Text"/>
    <w:basedOn w:val="Normal"/>
    <w:link w:val="BalloonTextChar"/>
    <w:rsid w:val="002F4AD7"/>
    <w:rPr>
      <w:rFonts w:ascii="Tahoma" w:hAnsi="Tahoma" w:cs="Tahoma"/>
      <w:sz w:val="16"/>
      <w:szCs w:val="16"/>
    </w:rPr>
  </w:style>
  <w:style w:type="character" w:customStyle="1" w:styleId="BalloonTextChar">
    <w:name w:val="Balloon Text Char"/>
    <w:link w:val="BalloonText"/>
    <w:rsid w:val="002F4A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A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4A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7384</Characters>
  <Application>Microsoft Office Word</Application>
  <DocSecurity>0</DocSecurity>
  <Lines>265</Lines>
  <Paragraphs>131</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HLTCC401B Undertake complex clinical coding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