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A90" w:rsidP="00E51A90">
      <w:pPr>
        <w:pStyle w:val="Title"/>
      </w:pPr>
      <w:r>
        <w:fldChar w:fldCharType="begin"/>
      </w:r>
      <w:r>
        <w:instrText xml:space="preserve"> TITLE   \* MERGEFORMAT </w:instrText>
      </w:r>
      <w:r>
        <w:fldChar w:fldCharType="separate"/>
      </w:r>
      <w:r>
        <w:t>HLTCC301B Produce coded clinical data</w:t>
      </w:r>
      <w:r>
        <w:fldChar w:fldCharType="end"/>
      </w:r>
    </w:p>
    <w:p w:rsidR="00E51A90" w:rsidP="00E51A90">
      <w:pPr>
        <w:pStyle w:val="Version"/>
        <w:sectPr w:rsidSect="00576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00D" w:rsidP="0057600D">
      <w:pPr>
        <w:pStyle w:val="SuperHeading"/>
      </w:pPr>
      <w:r w:rsidRPr="0057600D">
        <w:t>HLTCC301B Produce coded clinical data</w:t>
      </w:r>
    </w:p>
    <w:p w:rsidR="00000000" w:rsidRPr="0057600D" w:rsidP="0057600D">
      <w:pPr>
        <w:pStyle w:val="Heading1"/>
      </w:pPr>
      <w:bookmarkStart w:id="1" w:name="O_271064"/>
      <w:bookmarkEnd w:id="1"/>
      <w:r w:rsidRPr="0057600D">
        <w:t>Modification History</w:t>
      </w:r>
    </w:p>
    <w:p w:rsidR="00000000" w:rsidRPr="0057600D" w:rsidP="0057600D">
      <w:pPr>
        <w:pStyle w:val="BodyText"/>
      </w:pPr>
      <w:r w:rsidRPr="0057600D">
        <w:t>Not Applicable</w:t>
      </w:r>
    </w:p>
    <w:p w:rsidR="00000000" w:rsidRPr="0057600D" w:rsidP="0057600D">
      <w:pPr>
        <w:pStyle w:val="AllowPageBreak"/>
      </w:pPr>
    </w:p>
    <w:p w:rsidR="00000000" w:rsidRPr="0057600D" w:rsidP="0057600D">
      <w:pPr>
        <w:pStyle w:val="Heading1"/>
      </w:pPr>
      <w:bookmarkStart w:id="2" w:name="O_205484"/>
      <w:bookmarkEnd w:id="2"/>
      <w:r w:rsidRPr="0057600D">
        <w:t>Unit Descriptor</w:t>
      </w:r>
    </w:p>
    <w:tbl>
      <w:tblPr>
        <w:tblW w:w="0" w:type="auto"/>
        <w:tblLayout w:type="fixed"/>
        <w:tblCellMar>
          <w:left w:w="62" w:type="dxa"/>
          <w:right w:w="62" w:type="dxa"/>
        </w:tblCellMar>
        <w:tblLook w:val="0000"/>
      </w:tblPr>
      <w:tblGrid>
        <w:gridCol w:w="3339"/>
        <w:gridCol w:w="5217"/>
      </w:tblGrid>
      <w:tr w:rsidTr="00E51A9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This unit of competency describes the skills and knowledge required to accurately extract the correct clinical data fr</w:t>
            </w:r>
            <w:r w:rsidRPr="0057600D">
              <w:t>om simple medical records</w:t>
            </w:r>
          </w:p>
        </w:tc>
      </w:tr>
    </w:tbl>
    <w:p w:rsidR="00E51A90" w:rsidP="0057600D">
      <w:pPr>
        <w:pStyle w:val="BodyText"/>
      </w:pPr>
    </w:p>
    <w:p w:rsidR="00E51A90" w:rsidP="0057600D">
      <w:pPr>
        <w:pStyle w:val="BodyText"/>
      </w:pPr>
    </w:p>
    <w:p w:rsidR="00000000" w:rsidRPr="0057600D" w:rsidP="0057600D">
      <w:pPr>
        <w:pStyle w:val="Heading1"/>
      </w:pPr>
      <w:bookmarkStart w:id="3" w:name="O_205486"/>
      <w:bookmarkEnd w:id="3"/>
      <w:r w:rsidRPr="0057600D">
        <w:t>Application of the Unit</w:t>
      </w:r>
    </w:p>
    <w:tbl>
      <w:tblPr>
        <w:tblW w:w="0" w:type="auto"/>
        <w:tblLayout w:type="fixed"/>
        <w:tblCellMar>
          <w:left w:w="62" w:type="dxa"/>
          <w:right w:w="62" w:type="dxa"/>
        </w:tblCellMar>
        <w:tblLook w:val="0000"/>
      </w:tblPr>
      <w:tblGrid>
        <w:gridCol w:w="3348"/>
        <w:gridCol w:w="5208"/>
      </w:tblGrid>
      <w:tr w:rsidTr="00E51A9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Work performed requires a range of well developed skills where some discretion and judgement is required and individuals will take responsibility for their own outputs</w:t>
            </w:r>
          </w:p>
        </w:tc>
      </w:tr>
    </w:tbl>
    <w:p w:rsidR="00E51A90" w:rsidP="0057600D">
      <w:pPr>
        <w:pStyle w:val="BodyText"/>
      </w:pPr>
    </w:p>
    <w:p w:rsidR="00E51A90" w:rsidP="0057600D">
      <w:pPr>
        <w:pStyle w:val="BodyText"/>
      </w:pPr>
    </w:p>
    <w:p w:rsidR="00000000" w:rsidRPr="0057600D" w:rsidP="0057600D">
      <w:pPr>
        <w:pStyle w:val="Heading1"/>
      </w:pPr>
      <w:bookmarkStart w:id="4" w:name="O_279324"/>
      <w:bookmarkEnd w:id="4"/>
      <w:r w:rsidRPr="0057600D">
        <w:t>Licensing/Regulatory Information</w:t>
      </w:r>
    </w:p>
    <w:p w:rsidR="00000000" w:rsidRPr="0057600D" w:rsidP="0057600D">
      <w:pPr>
        <w:pStyle w:val="BodyText"/>
      </w:pPr>
      <w:r w:rsidRPr="0057600D">
        <w:t>Not Applicable</w:t>
      </w:r>
    </w:p>
    <w:p w:rsidR="00000000" w:rsidRPr="0057600D" w:rsidP="0057600D">
      <w:pPr>
        <w:pStyle w:val="AllowPageBreak"/>
      </w:pPr>
    </w:p>
    <w:p w:rsidR="00000000" w:rsidRPr="0057600D" w:rsidP="0057600D">
      <w:pPr>
        <w:pStyle w:val="Heading1"/>
      </w:pPr>
      <w:bookmarkStart w:id="5" w:name="O_284078"/>
      <w:bookmarkEnd w:id="5"/>
      <w:r w:rsidRPr="0057600D">
        <w:t>Pre-Requisites</w:t>
      </w:r>
    </w:p>
    <w:p w:rsidR="00000000" w:rsidRPr="0057600D" w:rsidP="0057600D">
      <w:pPr>
        <w:pStyle w:val="BodyText"/>
      </w:pPr>
      <w:r w:rsidRPr="0057600D">
        <w:t>Not Applicable</w:t>
      </w:r>
    </w:p>
    <w:p w:rsidR="00000000" w:rsidRPr="0057600D" w:rsidP="0057600D">
      <w:pPr>
        <w:pStyle w:val="AllowPageBreak"/>
      </w:pPr>
    </w:p>
    <w:p w:rsidR="00000000" w:rsidRPr="0057600D" w:rsidP="0057600D">
      <w:pPr>
        <w:pStyle w:val="Heading1"/>
      </w:pPr>
      <w:bookmarkStart w:id="6" w:name="O_205485"/>
      <w:bookmarkEnd w:id="6"/>
      <w:r w:rsidRPr="0057600D">
        <w:t>Employability Skills Information</w:t>
      </w:r>
    </w:p>
    <w:tbl>
      <w:tblPr>
        <w:tblW w:w="0" w:type="auto"/>
        <w:tblLayout w:type="fixed"/>
        <w:tblCellMar>
          <w:left w:w="62" w:type="dxa"/>
          <w:right w:w="62" w:type="dxa"/>
        </w:tblCellMar>
        <w:tblLook w:val="0000"/>
      </w:tblPr>
      <w:tblGrid>
        <w:gridCol w:w="3320"/>
        <w:gridCol w:w="5236"/>
      </w:tblGrid>
      <w:tr w:rsidTr="00E51A9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This unit contains Employability Skills</w:t>
            </w:r>
          </w:p>
        </w:tc>
      </w:tr>
    </w:tbl>
    <w:p w:rsidR="00E51A90" w:rsidP="0057600D">
      <w:pPr>
        <w:pStyle w:val="BodyText"/>
      </w:pPr>
    </w:p>
    <w:p w:rsidR="00E51A90" w:rsidP="0057600D">
      <w:pPr>
        <w:pStyle w:val="BodyText"/>
      </w:pPr>
    </w:p>
    <w:p w:rsidR="00000000" w:rsidRPr="0057600D" w:rsidP="0057600D">
      <w:pPr>
        <w:pStyle w:val="Heading1"/>
      </w:pPr>
      <w:bookmarkStart w:id="7" w:name="O_289110"/>
      <w:bookmarkEnd w:id="7"/>
      <w:r w:rsidRPr="0057600D">
        <w:t>Elements and Performance Criteria Pre-Content</w:t>
      </w:r>
    </w:p>
    <w:tbl>
      <w:tblPr>
        <w:tblW w:w="0" w:type="auto"/>
        <w:tblLayout w:type="fixed"/>
        <w:tblCellMar>
          <w:left w:w="62" w:type="dxa"/>
          <w:right w:w="62" w:type="dxa"/>
        </w:tblCellMar>
        <w:tblLook w:val="0000"/>
      </w:tblPr>
      <w:tblGrid>
        <w:gridCol w:w="3369"/>
        <w:gridCol w:w="5702"/>
      </w:tblGrid>
      <w:tr w:rsidTr="00E51A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The Performance Criteria specify the level of performance required to demonstrate achievement of the Element. Terms in italics are elaborated in t</w:t>
            </w:r>
            <w:r w:rsidRPr="0057600D">
              <w:t xml:space="preserve">he Range Statement. </w:t>
            </w:r>
          </w:p>
        </w:tc>
      </w:tr>
    </w:tbl>
    <w:p w:rsidR="00000000" w:rsidRPr="0057600D" w:rsidP="0057600D">
      <w:pPr>
        <w:pStyle w:val="BodyText"/>
      </w:pPr>
    </w:p>
    <w:p w:rsidR="00000000" w:rsidRPr="0057600D" w:rsidP="0057600D">
      <w:pPr>
        <w:pStyle w:val="AllowPageBreak"/>
      </w:pPr>
    </w:p>
    <w:p w:rsidR="00000000" w:rsidRPr="0057600D" w:rsidP="0057600D">
      <w:pPr>
        <w:pStyle w:val="Heading1"/>
      </w:pPr>
      <w:bookmarkStart w:id="8" w:name="O_235777"/>
      <w:bookmarkEnd w:id="8"/>
      <w:r w:rsidRPr="0057600D">
        <w:t>Elements and Performance Criteria</w:t>
      </w:r>
    </w:p>
    <w:tbl>
      <w:tblPr>
        <w:tblW w:w="0" w:type="auto"/>
        <w:tblLayout w:type="fixed"/>
        <w:tblCellMar>
          <w:left w:w="62" w:type="dxa"/>
          <w:right w:w="62" w:type="dxa"/>
        </w:tblCellMar>
        <w:tblLook w:val="0000"/>
      </w:tblPr>
      <w:tblGrid>
        <w:gridCol w:w="3369"/>
        <w:gridCol w:w="5702"/>
      </w:tblGrid>
      <w:tr w:rsidTr="00E51A9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PERFORMANCE CRITERIA</w:t>
            </w:r>
          </w:p>
        </w:tc>
      </w:tr>
      <w:tr w:rsidTr="00E51A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00D">
            <w:pPr>
              <w:pStyle w:val="List"/>
              <w:rPr>
                <w:lang w:val="en-NZ"/>
              </w:rPr>
            </w:pPr>
            <w:r w:rsidRPr="0057600D">
              <w:t>1.</w:t>
            </w:r>
            <w:r w:rsidRPr="0057600D">
              <w:tab/>
              <w:t xml:space="preserve">Identify and evaluate clinical data from </w:t>
            </w:r>
            <w:r w:rsidRPr="0057600D">
              <w:rPr>
                <w:rStyle w:val="Emphasis"/>
              </w:rPr>
              <w:t>simple medical records</w:t>
            </w:r>
          </w:p>
        </w:tc>
        <w:tc>
          <w:tcPr>
            <w:tcW w:w="5702"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1.1</w:t>
            </w:r>
            <w:r w:rsidRPr="0057600D">
              <w:tab/>
              <w:t xml:space="preserve">Identify the principal </w:t>
            </w:r>
            <w:r w:rsidRPr="0057600D">
              <w:rPr>
                <w:rStyle w:val="Emphasis"/>
              </w:rPr>
              <w:t>diagnosis</w:t>
            </w:r>
            <w:r w:rsidRPr="0057600D">
              <w:t xml:space="preserve"> and principal procedure when coding from a simple medical record</w:t>
            </w:r>
          </w:p>
          <w:p w:rsidR="00000000" w:rsidRPr="0057600D" w:rsidP="0057600D">
            <w:pPr>
              <w:pStyle w:val="BodyText"/>
            </w:pPr>
            <w:r w:rsidRPr="0057600D">
              <w:t>1.2</w:t>
            </w:r>
            <w:r w:rsidRPr="0057600D">
              <w:tab/>
              <w:t>Identify additional diagnosis and procedures when coding from a simple medical record</w:t>
            </w:r>
          </w:p>
          <w:p w:rsidR="00000000" w:rsidRPr="0057600D" w:rsidP="0057600D">
            <w:pPr>
              <w:pStyle w:val="BodyText"/>
            </w:pPr>
            <w:r w:rsidRPr="0057600D">
              <w:t>1.3</w:t>
            </w:r>
            <w:r w:rsidRPr="0057600D">
              <w:tab/>
              <w:t>Refer any issues concerning clarity and accuracy of the clinical data to the appropriate person</w:t>
            </w:r>
          </w:p>
          <w:p w:rsidR="00000000" w:rsidRPr="0057600D" w:rsidP="0057600D">
            <w:pPr>
              <w:pStyle w:val="BodyText"/>
            </w:pPr>
            <w:r w:rsidRPr="0057600D">
              <w:t>1.4</w:t>
            </w:r>
            <w:r w:rsidRPr="0057600D">
              <w:tab/>
              <w:t>Evaluate the relevance of other health conditions and factors affecting the patient to establish the primary diagnosis</w:t>
            </w:r>
          </w:p>
          <w:p w:rsidR="00000000" w:rsidRPr="0057600D" w:rsidP="0057600D">
            <w:pPr>
              <w:pStyle w:val="BodyText"/>
            </w:pPr>
            <w:r w:rsidRPr="0057600D">
              <w:t>1.5.</w:t>
            </w:r>
            <w:r w:rsidRPr="0057600D">
              <w:tab/>
              <w:t>Establish the appropriate level of detail of clinical data to meet standards</w:t>
            </w:r>
          </w:p>
          <w:p w:rsidR="00000000" w:rsidRPr="0057600D" w:rsidP="0057600D">
            <w:pPr>
              <w:pStyle w:val="BodyText"/>
            </w:pPr>
            <w:r w:rsidRPr="0057600D">
              <w:t>1.6</w:t>
            </w:r>
            <w:r w:rsidRPr="0057600D">
              <w:tab/>
              <w:t>Record, enter, edit and maintain a client infor</w:t>
            </w:r>
            <w:r w:rsidRPr="0057600D">
              <w:t>mation system of coded data (disease index)</w:t>
            </w:r>
          </w:p>
          <w:p w:rsidR="00000000" w:rsidP="0057600D">
            <w:pPr>
              <w:pStyle w:val="BodyText"/>
              <w:rPr>
                <w:lang w:val="en-NZ"/>
              </w:rPr>
            </w:pPr>
            <w:r w:rsidRPr="0057600D">
              <w:t>1.7</w:t>
            </w:r>
            <w:r w:rsidRPr="0057600D">
              <w:tab/>
              <w:t>Identify the correct clinical data within appropriate timeframes</w:t>
            </w:r>
          </w:p>
        </w:tc>
      </w:tr>
      <w:tr w:rsidTr="00E51A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00D">
            <w:pPr>
              <w:pStyle w:val="List"/>
              <w:rPr>
                <w:lang w:val="en-NZ"/>
              </w:rPr>
            </w:pPr>
            <w:r w:rsidRPr="0057600D">
              <w:t>2.</w:t>
            </w:r>
            <w:r w:rsidRPr="0057600D">
              <w:tab/>
              <w:t>Assign codes to clinical data</w:t>
            </w:r>
          </w:p>
        </w:tc>
        <w:tc>
          <w:tcPr>
            <w:tcW w:w="5702"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2.1</w:t>
            </w:r>
            <w:r w:rsidRPr="0057600D">
              <w:tab/>
              <w:t xml:space="preserve">Assign complete and accurate </w:t>
            </w:r>
            <w:r w:rsidRPr="0057600D">
              <w:rPr>
                <w:rStyle w:val="Emphasis"/>
              </w:rPr>
              <w:t>ICD</w:t>
            </w:r>
            <w:r w:rsidRPr="0057600D">
              <w:t>-</w:t>
            </w:r>
            <w:r w:rsidRPr="0057600D">
              <w:rPr>
                <w:rStyle w:val="Emphasis"/>
              </w:rPr>
              <w:t>10</w:t>
            </w:r>
            <w:r w:rsidRPr="0057600D">
              <w:t>-</w:t>
            </w:r>
            <w:r w:rsidRPr="0057600D">
              <w:rPr>
                <w:rStyle w:val="Emphasis"/>
              </w:rPr>
              <w:t>AM disease and procedures codes</w:t>
            </w:r>
            <w:r w:rsidRPr="0057600D">
              <w:t xml:space="preserve"> abstracted from </w:t>
            </w:r>
            <w:r w:rsidRPr="0057600D">
              <w:t>simple medical records</w:t>
            </w:r>
          </w:p>
          <w:p w:rsidR="00000000" w:rsidRPr="0057600D" w:rsidP="0057600D">
            <w:pPr>
              <w:pStyle w:val="BodyText"/>
            </w:pPr>
            <w:r w:rsidRPr="0057600D">
              <w:t>2.2</w:t>
            </w:r>
            <w:r w:rsidRPr="0057600D">
              <w:tab/>
              <w:t>Apply Australian National Coding Standards where appropriate, to ensure the correct assignment of codes</w:t>
            </w:r>
          </w:p>
          <w:p w:rsidR="00000000" w:rsidRPr="0057600D" w:rsidP="0057600D">
            <w:pPr>
              <w:pStyle w:val="BodyText"/>
            </w:pPr>
            <w:r w:rsidRPr="0057600D">
              <w:t>2.3</w:t>
            </w:r>
            <w:r w:rsidRPr="0057600D">
              <w:tab/>
              <w:t>Establish and record the correct sequence and order of codes related to a single episode in accordance with standards</w:t>
            </w:r>
          </w:p>
          <w:p w:rsidR="00000000" w:rsidRPr="0057600D" w:rsidP="0057600D">
            <w:pPr>
              <w:pStyle w:val="BodyText"/>
            </w:pPr>
            <w:r w:rsidRPr="0057600D">
              <w:t>2.4</w:t>
            </w:r>
            <w:r w:rsidRPr="0057600D">
              <w:tab/>
              <w:t>Record data clearly, accurately and completely</w:t>
            </w:r>
          </w:p>
          <w:p w:rsidR="00000000" w:rsidRPr="0057600D" w:rsidP="0057600D">
            <w:pPr>
              <w:pStyle w:val="BodyText"/>
            </w:pPr>
            <w:r w:rsidRPr="0057600D">
              <w:t>2.5</w:t>
            </w:r>
            <w:r w:rsidRPr="0057600D">
              <w:tab/>
              <w:t>Maintain confidentiality at all times</w:t>
            </w:r>
          </w:p>
          <w:p w:rsidR="00000000" w:rsidRPr="0057600D" w:rsidP="0057600D">
            <w:pPr>
              <w:pStyle w:val="BodyText"/>
            </w:pPr>
            <w:r w:rsidRPr="0057600D">
              <w:t>2.6</w:t>
            </w:r>
            <w:r w:rsidRPr="0057600D">
              <w:tab/>
              <w:t xml:space="preserve">Enter the coded data accurately into the </w:t>
            </w:r>
            <w:r w:rsidRPr="0057600D">
              <w:rPr>
                <w:rStyle w:val="Emphasis"/>
              </w:rPr>
              <w:t>client appropriate system</w:t>
            </w:r>
          </w:p>
          <w:p w:rsidR="00000000" w:rsidP="0057600D">
            <w:pPr>
              <w:pStyle w:val="BodyText"/>
              <w:rPr>
                <w:lang w:val="en-NZ"/>
              </w:rPr>
            </w:pPr>
            <w:r w:rsidRPr="0057600D">
              <w:t>2.7</w:t>
            </w:r>
            <w:r w:rsidRPr="0057600D">
              <w:tab/>
              <w:t>Complete the process of assigning the correct codes from clinical data within appropriate t</w:t>
            </w:r>
            <w:r w:rsidRPr="0057600D">
              <w:t>imeframes</w:t>
            </w:r>
          </w:p>
        </w:tc>
      </w:tr>
      <w:tr w:rsidTr="00E51A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600D" w:rsidP="0057600D">
            <w:pPr>
              <w:pStyle w:val="BodyText"/>
            </w:pPr>
          </w:p>
        </w:tc>
      </w:tr>
    </w:tbl>
    <w:p w:rsidR="00E51A90" w:rsidP="0057600D">
      <w:pPr>
        <w:pStyle w:val="BodyText"/>
      </w:pPr>
    </w:p>
    <w:p w:rsidR="00E51A90" w:rsidP="0057600D">
      <w:pPr>
        <w:pStyle w:val="BodyText"/>
      </w:pPr>
    </w:p>
    <w:p w:rsidR="00000000" w:rsidRPr="0057600D" w:rsidP="0057600D">
      <w:pPr>
        <w:pStyle w:val="Heading1"/>
      </w:pPr>
      <w:bookmarkStart w:id="9" w:name="O_259727"/>
      <w:bookmarkEnd w:id="9"/>
      <w:r w:rsidRPr="0057600D">
        <w:t>Required Skills and Knowledge</w:t>
      </w:r>
    </w:p>
    <w:tbl>
      <w:tblPr>
        <w:tblW w:w="0" w:type="auto"/>
        <w:tblLayout w:type="fixed"/>
        <w:tblCellMar>
          <w:left w:w="62" w:type="dxa"/>
          <w:right w:w="62" w:type="dxa"/>
        </w:tblCellMar>
        <w:tblLook w:val="0000"/>
      </w:tblPr>
      <w:tblGrid>
        <w:gridCol w:w="9072"/>
      </w:tblGrid>
      <w:tr w:rsidTr="00E51A9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REQUIRED SKILLS AND KNOWLEDGE</w:t>
            </w: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t>This describes the essential skills and knowledge and their level required for this unit.</w:t>
            </w: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rPr>
                <w:rStyle w:val="Emphasis"/>
              </w:rPr>
              <w:t>Essential knowledge</w:t>
            </w:r>
            <w:r w:rsidRPr="0057600D">
              <w:t>:</w:t>
            </w:r>
          </w:p>
          <w:p w:rsidR="00000000" w:rsidRPr="0057600D" w:rsidP="0057600D">
            <w:pPr>
              <w:pStyle w:val="BodyText"/>
            </w:pPr>
            <w:r w:rsidRPr="0057600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7600D" w:rsidP="0057600D">
            <w:pPr>
              <w:pStyle w:val="BodyText"/>
            </w:pPr>
            <w:r w:rsidRPr="0057600D">
              <w:t xml:space="preserve">This includes </w:t>
            </w:r>
            <w:r w:rsidRPr="0057600D">
              <w:t>knowledge of:</w:t>
            </w:r>
          </w:p>
          <w:p w:rsidR="00000000" w:rsidRPr="0057600D" w:rsidP="0057600D">
            <w:pPr>
              <w:pStyle w:val="ListBullet"/>
            </w:pPr>
            <w:r w:rsidRPr="0057600D">
              <w:t>Australian and relevant State/Territory clinical coding standards and protocols</w:t>
            </w:r>
          </w:p>
          <w:p w:rsidR="00000000" w:rsidRPr="0057600D" w:rsidP="0057600D">
            <w:pPr>
              <w:pStyle w:val="ListBullet"/>
            </w:pPr>
            <w:r w:rsidRPr="0057600D">
              <w:t>Appropriate legislation</w:t>
            </w:r>
          </w:p>
          <w:p w:rsidR="00000000" w:rsidRPr="0057600D" w:rsidP="0057600D">
            <w:pPr>
              <w:pStyle w:val="ListBullet"/>
            </w:pPr>
            <w:r w:rsidRPr="0057600D">
              <w:t>Classifications and nomenclature used to achieve accurate clinical coding</w:t>
            </w:r>
          </w:p>
          <w:p w:rsidR="00000000" w:rsidRPr="0057600D" w:rsidP="0057600D">
            <w:pPr>
              <w:pStyle w:val="ListBullet"/>
            </w:pPr>
            <w:r w:rsidRPr="0057600D">
              <w:t>Clinical data indexing, storage and mapping from clinical terms of classifications</w:t>
            </w:r>
          </w:p>
          <w:p w:rsidR="00000000" w:rsidRPr="0057600D" w:rsidP="0057600D">
            <w:pPr>
              <w:pStyle w:val="ListBullet"/>
            </w:pPr>
            <w:r w:rsidRPr="0057600D">
              <w:t>Comprehensive knowledge of medical terminology and body systems</w:t>
            </w:r>
          </w:p>
          <w:p w:rsidR="00000000" w:rsidRPr="0057600D" w:rsidP="0057600D">
            <w:pPr>
              <w:pStyle w:val="ListBullet"/>
            </w:pPr>
            <w:r w:rsidRPr="0057600D">
              <w:t>Coding factors influencing health status</w:t>
            </w:r>
          </w:p>
          <w:p w:rsidR="00000000" w:rsidRPr="0057600D" w:rsidP="0057600D">
            <w:pPr>
              <w:pStyle w:val="ListBullet"/>
            </w:pPr>
            <w:r w:rsidRPr="0057600D">
              <w:t>Coding requirements of:</w:t>
            </w:r>
          </w:p>
          <w:p w:rsidR="00000000" w:rsidRPr="0057600D" w:rsidP="0057600D">
            <w:pPr>
              <w:pStyle w:val="ListBullet2"/>
            </w:pPr>
            <w:r w:rsidRPr="0057600D">
              <w:t>congenital malformations and deformations</w:t>
            </w:r>
          </w:p>
          <w:p w:rsidR="00000000" w:rsidRPr="0057600D" w:rsidP="0057600D">
            <w:pPr>
              <w:pStyle w:val="ListBullet2"/>
            </w:pPr>
            <w:r w:rsidRPr="0057600D">
              <w:t>e</w:t>
            </w:r>
            <w:r w:rsidRPr="0057600D">
              <w:t>ndocrine, nutrition and metabolic diseases</w:t>
            </w:r>
          </w:p>
          <w:p w:rsidR="00000000" w:rsidRPr="0057600D" w:rsidP="0057600D">
            <w:pPr>
              <w:pStyle w:val="ListBullet2"/>
            </w:pPr>
            <w:r w:rsidRPr="0057600D">
              <w:t>injuries and external causes of injuries</w:t>
            </w:r>
          </w:p>
          <w:p w:rsidR="00000000" w:rsidRPr="0057600D" w:rsidP="0057600D">
            <w:pPr>
              <w:pStyle w:val="ListBullet2"/>
            </w:pPr>
            <w:r w:rsidRPr="0057600D">
              <w:t>neoplasms</w:t>
            </w:r>
          </w:p>
          <w:p w:rsidR="00000000" w:rsidRPr="0057600D" w:rsidP="0057600D">
            <w:pPr>
              <w:pStyle w:val="ListBullet2"/>
            </w:pPr>
            <w:r w:rsidRPr="0057600D">
              <w:t>poisoning and external causes of poisoning</w:t>
            </w:r>
          </w:p>
          <w:p w:rsidR="00000000" w:rsidRPr="0057600D" w:rsidP="0057600D">
            <w:pPr>
              <w:pStyle w:val="ListBullet2"/>
            </w:pPr>
            <w:r w:rsidRPr="0057600D">
              <w:t>symptoms, signs and abnormal clinical findings</w:t>
            </w:r>
          </w:p>
          <w:p w:rsidR="00000000" w:rsidRPr="0057600D" w:rsidP="0057600D">
            <w:pPr>
              <w:pStyle w:val="ListBullet"/>
            </w:pPr>
            <w:r w:rsidRPr="0057600D">
              <w:t>Coding diseases of the:</w:t>
            </w:r>
          </w:p>
          <w:p w:rsidR="00000000" w:rsidRPr="0057600D" w:rsidP="0057600D">
            <w:pPr>
              <w:pStyle w:val="ListBullet2"/>
            </w:pPr>
            <w:r w:rsidRPr="0057600D">
              <w:t>circulatory system</w:t>
            </w:r>
          </w:p>
          <w:p w:rsidR="00000000" w:rsidRPr="0057600D" w:rsidP="0057600D">
            <w:pPr>
              <w:pStyle w:val="ListBullet2"/>
            </w:pPr>
            <w:r w:rsidRPr="0057600D">
              <w:t>digestive system</w:t>
            </w:r>
          </w:p>
          <w:p w:rsidR="00000000" w:rsidRPr="0057600D" w:rsidP="0057600D">
            <w:pPr>
              <w:pStyle w:val="ListBullet2"/>
            </w:pPr>
            <w:r w:rsidRPr="0057600D">
              <w:t>ear and mastoid process</w:t>
            </w:r>
          </w:p>
          <w:p w:rsidR="00000000" w:rsidRPr="0057600D" w:rsidP="0057600D">
            <w:pPr>
              <w:pStyle w:val="ListBullet2"/>
            </w:pPr>
            <w:r w:rsidRPr="0057600D">
              <w:t>eye and adnexa</w:t>
            </w:r>
          </w:p>
          <w:p w:rsidR="00000000" w:rsidRPr="0057600D" w:rsidP="0057600D">
            <w:pPr>
              <w:pStyle w:val="ListBullet2"/>
            </w:pPr>
            <w:r w:rsidRPr="0057600D">
              <w:t>genitourinary system</w:t>
            </w:r>
          </w:p>
          <w:p w:rsidR="00000000" w:rsidRPr="0057600D" w:rsidP="0057600D">
            <w:pPr>
              <w:pStyle w:val="ListBullet2"/>
            </w:pPr>
            <w:r w:rsidRPr="0057600D">
              <w:t>musculoskeletal system</w:t>
            </w:r>
          </w:p>
          <w:p w:rsidR="00000000" w:rsidRPr="0057600D" w:rsidP="0057600D">
            <w:pPr>
              <w:pStyle w:val="ListBullet2"/>
            </w:pPr>
            <w:r w:rsidRPr="0057600D">
              <w:t>nervous system</w:t>
            </w:r>
          </w:p>
          <w:p w:rsidR="00000000" w:rsidRPr="0057600D" w:rsidP="0057600D">
            <w:pPr>
              <w:pStyle w:val="ListBullet2"/>
            </w:pPr>
            <w:r w:rsidRPr="0057600D">
              <w:t>respiratory system</w:t>
            </w:r>
          </w:p>
          <w:p w:rsidR="00000000" w:rsidRPr="0057600D" w:rsidP="0057600D">
            <w:pPr>
              <w:pStyle w:val="ListBullet2"/>
            </w:pPr>
            <w:r w:rsidRPr="0057600D">
              <w:t>skin and subcutaneous tissue</w:t>
            </w:r>
          </w:p>
          <w:p w:rsidR="00000000" w:rsidRPr="0057600D" w:rsidP="0057600D">
            <w:pPr>
              <w:pStyle w:val="ListBullet"/>
            </w:pPr>
            <w:r w:rsidRPr="0057600D">
              <w:t>Coding conditions:</w:t>
            </w:r>
          </w:p>
          <w:p w:rsidR="00000000" w:rsidRPr="0057600D" w:rsidP="0057600D">
            <w:pPr>
              <w:pStyle w:val="ListBullet2"/>
            </w:pPr>
            <w:r w:rsidRPr="0057600D">
              <w:t>in pregnancy, childbirth and the puerperium</w:t>
            </w:r>
          </w:p>
          <w:p w:rsidR="00000000" w:rsidRPr="0057600D" w:rsidP="0057600D">
            <w:pPr>
              <w:pStyle w:val="ListBullet2"/>
            </w:pPr>
            <w:r w:rsidRPr="0057600D">
              <w:t>originating in the perinatal period</w:t>
            </w:r>
          </w:p>
          <w:p w:rsidR="00000000" w:rsidRPr="0057600D" w:rsidP="0057600D">
            <w:pPr>
              <w:pStyle w:val="ListBullet"/>
            </w:pPr>
            <w:r w:rsidRPr="0057600D">
              <w:t xml:space="preserve">Current </w:t>
            </w:r>
            <w:r w:rsidRPr="0057600D">
              <w:t>codes of practice and guidelines in relation to clinical coding</w:t>
            </w:r>
          </w:p>
          <w:p w:rsidR="00000000" w:rsidRPr="0057600D" w:rsidP="0057600D">
            <w:pPr>
              <w:pStyle w:val="ListBullet"/>
            </w:pPr>
            <w:r w:rsidRPr="0057600D">
              <w:t>Definition of a clinical coder and clinical coding, and the purpose of coded data</w:t>
            </w:r>
          </w:p>
          <w:p w:rsidR="00000000" w:rsidRPr="0057600D" w:rsidP="0057600D">
            <w:pPr>
              <w:pStyle w:val="ListBullet"/>
            </w:pPr>
            <w:r w:rsidRPr="0057600D">
              <w:t>Professional ethics in clinical coding</w:t>
            </w:r>
          </w:p>
          <w:p w:rsidR="00000000" w:rsidRPr="0057600D" w:rsidP="0057600D">
            <w:pPr>
              <w:pStyle w:val="ListBullet"/>
            </w:pPr>
            <w:r w:rsidRPr="0057600D">
              <w:t>Sequencing of codes and primary diagnosis</w:t>
            </w:r>
          </w:p>
          <w:p w:rsidR="00000000" w:rsidRPr="0057600D" w:rsidP="0057600D">
            <w:pPr>
              <w:pStyle w:val="ListBullet"/>
            </w:pPr>
            <w:r w:rsidRPr="0057600D">
              <w:t>The way rules and conventions are applied to clinical data to achieve correct clinical codes</w:t>
            </w:r>
          </w:p>
          <w:p w:rsidR="00000000" w:rsidP="0057600D">
            <w:pPr>
              <w:pStyle w:val="ListBullet"/>
              <w:rPr>
                <w:lang w:val="en-NZ"/>
              </w:rPr>
            </w:pPr>
            <w:r w:rsidRPr="0057600D">
              <w:t>Timescales within which clinical coding must take place</w:t>
            </w: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rPr>
                <w:rStyle w:val="Emphasis"/>
              </w:rPr>
              <w:t>Essential skills</w:t>
            </w:r>
            <w:r w:rsidRPr="0057600D">
              <w:t>:</w:t>
            </w:r>
          </w:p>
          <w:p w:rsidR="00000000" w:rsidRPr="0057600D" w:rsidP="0057600D">
            <w:pPr>
              <w:pStyle w:val="BodyText"/>
            </w:pPr>
            <w:r w:rsidRPr="0057600D">
              <w:t>It is critical that the candidate demonstrate the ability to effectively do the task o</w:t>
            </w:r>
            <w:r w:rsidRPr="0057600D">
              <w:t>utlined in elements and performance criteria of this unit, manage the task and manage contingencies in the context of the identified work role</w:t>
            </w:r>
          </w:p>
          <w:p w:rsidR="00000000" w:rsidRPr="0057600D" w:rsidP="0057600D">
            <w:pPr>
              <w:pStyle w:val="BodyText"/>
            </w:pPr>
            <w:r w:rsidRPr="0057600D">
              <w:t>This includes the ability to:</w:t>
            </w:r>
          </w:p>
          <w:p w:rsidR="00000000" w:rsidRPr="0057600D" w:rsidP="0057600D">
            <w:pPr>
              <w:pStyle w:val="ListBullet"/>
            </w:pPr>
            <w:r w:rsidRPr="0057600D">
              <w:t>Analyse simple medical records to produce coded clinical data</w:t>
            </w:r>
          </w:p>
          <w:p w:rsidR="00000000" w:rsidRPr="0057600D" w:rsidP="0057600D">
            <w:pPr>
              <w:pStyle w:val="ListBullet"/>
            </w:pPr>
            <w:r w:rsidRPr="0057600D">
              <w:t>Apply Australian Cod</w:t>
            </w:r>
            <w:r w:rsidRPr="0057600D">
              <w:t>ing Standards at an introductory coding level to simple medical records</w:t>
            </w:r>
          </w:p>
          <w:p w:rsidR="00000000" w:rsidRPr="0057600D" w:rsidP="0057600D">
            <w:pPr>
              <w:pStyle w:val="ListBullet"/>
            </w:pPr>
            <w:r w:rsidRPr="0057600D">
              <w:t>Assign complete and accurate codes for diseases, conditions, injuries and procedures</w:t>
            </w:r>
          </w:p>
          <w:p w:rsidR="00000000" w:rsidRPr="0057600D" w:rsidP="0057600D">
            <w:pPr>
              <w:pStyle w:val="ListBullet"/>
            </w:pPr>
            <w:r w:rsidRPr="0057600D">
              <w:t>Identify principal diagnosis and principal procedures</w:t>
            </w:r>
          </w:p>
          <w:p w:rsidR="00000000" w:rsidRPr="0057600D" w:rsidP="0057600D">
            <w:pPr>
              <w:pStyle w:val="ListBullet"/>
            </w:pPr>
            <w:r w:rsidRPr="0057600D">
              <w:t>Use ICD-10-AM coding manuals</w:t>
            </w:r>
          </w:p>
        </w:tc>
      </w:tr>
    </w:tbl>
    <w:p w:rsidR="00E51A90" w:rsidP="0057600D">
      <w:pPr>
        <w:pStyle w:val="BodyText"/>
      </w:pPr>
    </w:p>
    <w:p w:rsidR="00E51A90" w:rsidP="0057600D">
      <w:pPr>
        <w:pStyle w:val="BodyText"/>
      </w:pPr>
    </w:p>
    <w:p w:rsidR="00000000" w:rsidRPr="0057600D" w:rsidP="0057600D">
      <w:pPr>
        <w:pStyle w:val="Heading1"/>
      </w:pPr>
      <w:bookmarkStart w:id="10" w:name="O_243761"/>
      <w:bookmarkEnd w:id="10"/>
      <w:r w:rsidRPr="0057600D">
        <w:t>Evidence Guide</w:t>
      </w:r>
    </w:p>
    <w:tbl>
      <w:tblPr>
        <w:tblW w:w="0" w:type="auto"/>
        <w:tblLayout w:type="fixed"/>
        <w:tblCellMar>
          <w:left w:w="62" w:type="dxa"/>
          <w:right w:w="62" w:type="dxa"/>
        </w:tblCellMar>
        <w:tblLook w:val="0000"/>
      </w:tblPr>
      <w:tblGrid>
        <w:gridCol w:w="3402"/>
        <w:gridCol w:w="5670"/>
      </w:tblGrid>
      <w:tr w:rsidTr="00E51A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EVIDENCE GUIDE</w:t>
            </w:r>
          </w:p>
        </w:tc>
      </w:tr>
      <w:tr w:rsidTr="00E51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t xml:space="preserve">The evidence guide provides advice on assessment and must be read in conjunction with the Performance Criteria, Required Skills and Knowledge, </w:t>
            </w:r>
            <w:r w:rsidRPr="0057600D">
              <w:t>the Range Statement and the Assessment Guidelines for this Training Package.</w:t>
            </w:r>
          </w:p>
        </w:tc>
      </w:tr>
      <w:tr w:rsidTr="00E51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Critical aspects for assessment and evidence required to demonstrate this competency unit</w:t>
            </w:r>
            <w:r w:rsidRPr="0057600D">
              <w:t xml:space="preserve">: </w:t>
            </w:r>
            <w:r w:rsidRPr="0057600D">
              <w:br/>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The individual being assessed must provide evidence of specified essential knowl</w:t>
            </w:r>
            <w:r w:rsidRPr="0057600D">
              <w:t>edge as well as skills</w:t>
            </w:r>
          </w:p>
          <w:p w:rsidR="00000000" w:rsidP="0057600D">
            <w:pPr>
              <w:pStyle w:val="ListBullet"/>
              <w:rPr>
                <w:lang w:val="en-NZ"/>
              </w:rPr>
            </w:pPr>
            <w:r w:rsidRPr="0057600D">
              <w:t>Consistency of performance should be demonstrated over the required range of situations relevant to the workplace</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Access and equity considerations</w:t>
            </w:r>
            <w:r w:rsidRPr="0057600D">
              <w:t>:</w:t>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All workers in the health industry should be aware of access and equity issues in relation to their own area of work</w:t>
            </w:r>
          </w:p>
          <w:p w:rsidR="00000000" w:rsidRPr="0057600D" w:rsidP="0057600D">
            <w:pPr>
              <w:pStyle w:val="ListBullet"/>
            </w:pPr>
            <w:r w:rsidRPr="0057600D">
              <w:t xml:space="preserve">All workers should develop their ability to work in a culturally diverse environment </w:t>
            </w:r>
          </w:p>
          <w:p w:rsidR="00000000" w:rsidRPr="0057600D" w:rsidP="0057600D">
            <w:pPr>
              <w:pStyle w:val="ListBullet"/>
            </w:pPr>
            <w:r w:rsidRPr="0057600D">
              <w:t>In recognition of particular health issues facing Abo</w:t>
            </w:r>
            <w:r w:rsidRPr="0057600D">
              <w:t>riginal and Torres Strait Islander communities, workers should be aware of cultural, historical and current issues impacting on health of Aboriginal and Torres Strait Islander people</w:t>
            </w:r>
          </w:p>
          <w:p w:rsidR="00000000" w:rsidP="0057600D">
            <w:pPr>
              <w:pStyle w:val="ListBullet"/>
              <w:rPr>
                <w:lang w:val="en-NZ"/>
              </w:rPr>
            </w:pPr>
            <w:r w:rsidRPr="0057600D">
              <w:t xml:space="preserve">Assessors and trainers must take into account relevant access and equity </w:t>
            </w:r>
            <w:r w:rsidRPr="0057600D">
              <w:t>issues, in particular relating to factors impacting on health of Aboriginal and/or Torres Strait Islander clients and communities</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Context of and specific resources for assessment</w:t>
            </w:r>
            <w:r w:rsidRPr="0057600D">
              <w:t xml:space="preserve">: </w:t>
            </w:r>
            <w:r w:rsidRPr="0057600D">
              <w:br/>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 xml:space="preserve">Relevant guidelines, standards and procedures </w:t>
            </w:r>
          </w:p>
          <w:p w:rsidR="00000000" w:rsidRPr="0057600D" w:rsidP="0057600D">
            <w:pPr>
              <w:pStyle w:val="ListBullet"/>
            </w:pPr>
            <w:r w:rsidRPr="0057600D">
              <w:t>Resources essential for assessment include:</w:t>
            </w:r>
          </w:p>
          <w:p w:rsidR="00000000" w:rsidRPr="0057600D" w:rsidP="0057600D">
            <w:pPr>
              <w:pStyle w:val="ListBullet2"/>
            </w:pPr>
            <w:r w:rsidRPr="0057600D">
              <w:t>ICD-10-AM, ACHI and ACS and relevant local coding requirements</w:t>
            </w:r>
          </w:p>
          <w:p w:rsidR="00000000" w:rsidP="0057600D">
            <w:pPr>
              <w:pStyle w:val="ListBullet2"/>
              <w:rPr>
                <w:lang w:val="en-NZ"/>
              </w:rPr>
            </w:pPr>
            <w:r w:rsidRPr="0057600D">
              <w:t>simple medical records</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BodyText"/>
            </w:pPr>
          </w:p>
        </w:tc>
      </w:tr>
    </w:tbl>
    <w:p w:rsidR="00E51A90" w:rsidP="0057600D">
      <w:pPr>
        <w:pStyle w:val="BodyText"/>
      </w:pPr>
    </w:p>
    <w:p w:rsidR="00E51A90" w:rsidP="0057600D">
      <w:pPr>
        <w:pStyle w:val="BodyText"/>
      </w:pPr>
    </w:p>
    <w:p w:rsidR="00000000" w:rsidRPr="0057600D" w:rsidP="0057600D">
      <w:pPr>
        <w:pStyle w:val="Heading1"/>
      </w:pPr>
      <w:bookmarkStart w:id="11" w:name="O_251744"/>
      <w:bookmarkEnd w:id="11"/>
      <w:r w:rsidRPr="0057600D">
        <w:t>Range Statement</w:t>
      </w:r>
    </w:p>
    <w:tbl>
      <w:tblPr>
        <w:tblW w:w="0" w:type="auto"/>
        <w:tblLayout w:type="fixed"/>
        <w:tblCellMar>
          <w:left w:w="62" w:type="dxa"/>
          <w:right w:w="62" w:type="dxa"/>
        </w:tblCellMar>
        <w:tblLook w:val="0000"/>
      </w:tblPr>
      <w:tblGrid>
        <w:gridCol w:w="3402"/>
        <w:gridCol w:w="5670"/>
      </w:tblGrid>
      <w:tr w:rsidTr="00E51A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SpecialBold"/>
              </w:rPr>
              <w:t>RANGE STATEMENT</w:t>
            </w:r>
          </w:p>
        </w:tc>
      </w:tr>
      <w:tr w:rsidTr="00E51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t>The Range Statement relates to the unit of competency as a whole. It allows for different work environments and situations that may affect performance. Add any essential operating conditions that may be present with training and assessment depending on the</w:t>
            </w:r>
            <w:r w:rsidRPr="0057600D">
              <w:t xml:space="preserve"> work situation, needs of the candidate, accessibility of the item, and local industry and regional contexts.</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Simple medical records may include</w:t>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BodyText"/>
            </w:pPr>
            <w:r w:rsidRPr="0057600D">
              <w:t>A medical record generated by an episode of care involving one of the following:</w:t>
            </w:r>
          </w:p>
          <w:p w:rsidR="00000000" w:rsidRPr="0057600D" w:rsidP="0057600D">
            <w:pPr>
              <w:pStyle w:val="ListBullet"/>
            </w:pPr>
            <w:r w:rsidRPr="0057600D">
              <w:t>Day stay</w:t>
            </w:r>
          </w:p>
          <w:p w:rsidR="00000000" w:rsidRPr="0057600D" w:rsidP="0057600D">
            <w:pPr>
              <w:pStyle w:val="ListBullet"/>
            </w:pPr>
            <w:r w:rsidRPr="0057600D">
              <w:t>Day surgery</w:t>
            </w:r>
          </w:p>
          <w:p w:rsidR="00000000" w:rsidRPr="0057600D" w:rsidP="0057600D">
            <w:pPr>
              <w:pStyle w:val="ListBullet"/>
            </w:pPr>
            <w:r w:rsidRPr="0057600D">
              <w:t>Planned surgery</w:t>
            </w:r>
          </w:p>
          <w:p w:rsidR="00000000" w:rsidP="0057600D">
            <w:pPr>
              <w:pStyle w:val="ListBullet"/>
              <w:rPr>
                <w:lang w:val="en-NZ"/>
              </w:rPr>
            </w:pPr>
            <w:r w:rsidRPr="0057600D">
              <w:t>Simple medical problems in episodes of care not exceeding a length of stay (LOS) of three days</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Diagnosis may include</w:t>
            </w:r>
            <w:r w:rsidRPr="0057600D">
              <w:t>:</w:t>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Diagnosis of:</w:t>
            </w:r>
          </w:p>
          <w:p w:rsidR="00000000" w:rsidRPr="0057600D" w:rsidP="0057600D">
            <w:pPr>
              <w:pStyle w:val="ListBullet2"/>
            </w:pPr>
            <w:r w:rsidRPr="0057600D">
              <w:t>congenital malformations and deformations</w:t>
            </w:r>
          </w:p>
          <w:p w:rsidR="00000000" w:rsidRPr="0057600D" w:rsidP="0057600D">
            <w:pPr>
              <w:pStyle w:val="ListBullet2"/>
            </w:pPr>
            <w:r w:rsidRPr="0057600D">
              <w:t>endocrine, nutrition and metabolic diseases</w:t>
            </w:r>
          </w:p>
          <w:p w:rsidR="00000000" w:rsidRPr="0057600D" w:rsidP="0057600D">
            <w:pPr>
              <w:pStyle w:val="ListBullet2"/>
            </w:pPr>
            <w:r w:rsidRPr="0057600D">
              <w:t>injuries and external causes of injuries</w:t>
            </w:r>
          </w:p>
          <w:p w:rsidR="00000000" w:rsidRPr="0057600D" w:rsidP="0057600D">
            <w:pPr>
              <w:pStyle w:val="ListBullet2"/>
            </w:pPr>
            <w:r w:rsidRPr="0057600D">
              <w:t>neoplasms</w:t>
            </w:r>
          </w:p>
          <w:p w:rsidR="00000000" w:rsidRPr="0057600D" w:rsidP="0057600D">
            <w:pPr>
              <w:pStyle w:val="ListBullet2"/>
            </w:pPr>
            <w:r w:rsidRPr="0057600D">
              <w:t>poisoning and external causes of poisoning</w:t>
            </w:r>
          </w:p>
          <w:p w:rsidR="00000000" w:rsidRPr="0057600D" w:rsidP="0057600D">
            <w:pPr>
              <w:pStyle w:val="ListBullet2"/>
            </w:pPr>
            <w:r w:rsidRPr="0057600D">
              <w:t>symptoms, signs and abnormal clinical findings</w:t>
            </w:r>
          </w:p>
          <w:p w:rsidR="00000000" w:rsidRPr="0057600D" w:rsidP="0057600D">
            <w:pPr>
              <w:pStyle w:val="ListBullet"/>
            </w:pPr>
            <w:r w:rsidRPr="0057600D">
              <w:t>Diagnosis of diseases of the:</w:t>
            </w:r>
          </w:p>
          <w:p w:rsidR="00000000" w:rsidRPr="0057600D" w:rsidP="0057600D">
            <w:pPr>
              <w:pStyle w:val="ListBullet2"/>
            </w:pPr>
            <w:r w:rsidRPr="0057600D">
              <w:t>circulatory system</w:t>
            </w:r>
          </w:p>
          <w:p w:rsidR="00000000" w:rsidRPr="0057600D" w:rsidP="0057600D">
            <w:pPr>
              <w:pStyle w:val="ListBullet2"/>
            </w:pPr>
            <w:r w:rsidRPr="0057600D">
              <w:t>digestive system</w:t>
            </w:r>
          </w:p>
          <w:p w:rsidR="00000000" w:rsidRPr="0057600D" w:rsidP="0057600D">
            <w:pPr>
              <w:pStyle w:val="ListBullet2"/>
            </w:pPr>
            <w:r w:rsidRPr="0057600D">
              <w:t>ear and mastoid process</w:t>
            </w:r>
          </w:p>
          <w:p w:rsidR="00000000" w:rsidRPr="0057600D" w:rsidP="0057600D">
            <w:pPr>
              <w:pStyle w:val="ListBullet2"/>
            </w:pPr>
            <w:r w:rsidRPr="0057600D">
              <w:t>eye and adnexa</w:t>
            </w:r>
          </w:p>
          <w:p w:rsidR="00000000" w:rsidRPr="0057600D" w:rsidP="0057600D">
            <w:pPr>
              <w:pStyle w:val="ListBullet2"/>
            </w:pPr>
            <w:r w:rsidRPr="0057600D">
              <w:t>genitour</w:t>
            </w:r>
            <w:r w:rsidRPr="0057600D">
              <w:t>inary system</w:t>
            </w:r>
          </w:p>
          <w:p w:rsidR="00000000" w:rsidRPr="0057600D" w:rsidP="0057600D">
            <w:pPr>
              <w:pStyle w:val="ListBullet2"/>
            </w:pPr>
            <w:r w:rsidRPr="0057600D">
              <w:t>musculoskeletal system</w:t>
            </w:r>
          </w:p>
          <w:p w:rsidR="00000000" w:rsidRPr="0057600D" w:rsidP="0057600D">
            <w:pPr>
              <w:pStyle w:val="ListBullet2"/>
            </w:pPr>
            <w:r w:rsidRPr="0057600D">
              <w:t>nervous system</w:t>
            </w:r>
          </w:p>
          <w:p w:rsidR="00000000" w:rsidRPr="0057600D" w:rsidP="0057600D">
            <w:pPr>
              <w:pStyle w:val="ListBullet2"/>
            </w:pPr>
            <w:r w:rsidRPr="0057600D">
              <w:t>respiratory system</w:t>
            </w:r>
          </w:p>
          <w:p w:rsidR="00000000" w:rsidRPr="0057600D" w:rsidP="0057600D">
            <w:pPr>
              <w:pStyle w:val="ListBullet2"/>
            </w:pPr>
            <w:r w:rsidRPr="0057600D">
              <w:t>skin and subcutaneous tissue</w:t>
            </w:r>
          </w:p>
          <w:p w:rsidR="00000000" w:rsidRPr="0057600D" w:rsidP="0057600D">
            <w:pPr>
              <w:pStyle w:val="ListBullet"/>
            </w:pPr>
            <w:r w:rsidRPr="0057600D">
              <w:t>Diagnosis:</w:t>
            </w:r>
          </w:p>
          <w:p w:rsidR="00000000" w:rsidRPr="0057600D" w:rsidP="0057600D">
            <w:pPr>
              <w:pStyle w:val="ListBullet2"/>
            </w:pPr>
            <w:r w:rsidRPr="0057600D">
              <w:t>in pregnancy, childbirth and the puerperium</w:t>
            </w:r>
          </w:p>
          <w:p w:rsidR="00000000" w:rsidP="0057600D">
            <w:pPr>
              <w:pStyle w:val="ListBullet2"/>
              <w:rPr>
                <w:lang w:val="en-NZ"/>
              </w:rPr>
            </w:pPr>
            <w:r w:rsidRPr="0057600D">
              <w:t>originating in the perinatal period</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Clinical coding requirements may include</w:t>
            </w:r>
            <w:r w:rsidRPr="0057600D">
              <w:t>:</w:t>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Coding requirements of:</w:t>
            </w:r>
          </w:p>
          <w:p w:rsidR="00000000" w:rsidRPr="0057600D" w:rsidP="0057600D">
            <w:pPr>
              <w:pStyle w:val="ListBullet2"/>
            </w:pPr>
            <w:r w:rsidRPr="0057600D">
              <w:t>congenital malformations and deformations</w:t>
            </w:r>
          </w:p>
          <w:p w:rsidR="00000000" w:rsidRPr="0057600D" w:rsidP="0057600D">
            <w:pPr>
              <w:pStyle w:val="ListBullet2"/>
            </w:pPr>
            <w:r w:rsidRPr="0057600D">
              <w:t>endocrine, nutrition and metabolic diseases</w:t>
            </w:r>
          </w:p>
          <w:p w:rsidR="00000000" w:rsidRPr="0057600D" w:rsidP="0057600D">
            <w:pPr>
              <w:pStyle w:val="ListBullet2"/>
            </w:pPr>
            <w:r w:rsidRPr="0057600D">
              <w:t>injuries and external causes of injuries</w:t>
            </w:r>
          </w:p>
          <w:p w:rsidR="00000000" w:rsidRPr="0057600D" w:rsidP="0057600D">
            <w:pPr>
              <w:pStyle w:val="ListBullet2"/>
            </w:pPr>
            <w:r w:rsidRPr="0057600D">
              <w:t>neoplasms</w:t>
            </w:r>
          </w:p>
          <w:p w:rsidR="00000000" w:rsidRPr="0057600D" w:rsidP="0057600D">
            <w:pPr>
              <w:pStyle w:val="ListBullet2"/>
            </w:pPr>
            <w:r w:rsidRPr="0057600D">
              <w:t>poisoning and external causes of poisoning</w:t>
            </w:r>
          </w:p>
          <w:p w:rsidR="00000000" w:rsidRPr="0057600D" w:rsidP="0057600D">
            <w:pPr>
              <w:pStyle w:val="ListBullet2"/>
            </w:pPr>
            <w:r w:rsidRPr="0057600D">
              <w:t>symptoms, signs and abnormal clinical findings</w:t>
            </w:r>
          </w:p>
          <w:p w:rsidR="00000000" w:rsidRPr="0057600D" w:rsidP="0057600D">
            <w:pPr>
              <w:pStyle w:val="ListBullet"/>
            </w:pPr>
            <w:r w:rsidRPr="0057600D">
              <w:t>Coding diseases of the:</w:t>
            </w:r>
          </w:p>
          <w:p w:rsidR="00000000" w:rsidRPr="0057600D" w:rsidP="0057600D">
            <w:pPr>
              <w:pStyle w:val="ListBullet2"/>
            </w:pPr>
            <w:r w:rsidRPr="0057600D">
              <w:t>circulatory system</w:t>
            </w:r>
          </w:p>
          <w:p w:rsidR="00000000" w:rsidRPr="0057600D" w:rsidP="0057600D">
            <w:pPr>
              <w:pStyle w:val="ListBullet2"/>
            </w:pPr>
            <w:r w:rsidRPr="0057600D">
              <w:t>digestive system</w:t>
            </w:r>
          </w:p>
          <w:p w:rsidR="00000000" w:rsidRPr="0057600D" w:rsidP="0057600D">
            <w:pPr>
              <w:pStyle w:val="ListBullet2"/>
            </w:pPr>
            <w:r w:rsidRPr="0057600D">
              <w:t>ear and mastoid process</w:t>
            </w:r>
          </w:p>
          <w:p w:rsidR="00000000" w:rsidRPr="0057600D" w:rsidP="0057600D">
            <w:pPr>
              <w:pStyle w:val="ListBullet2"/>
            </w:pPr>
            <w:r w:rsidRPr="0057600D">
              <w:t>eye and adnexa</w:t>
            </w:r>
          </w:p>
          <w:p w:rsidR="00000000" w:rsidRPr="0057600D" w:rsidP="0057600D">
            <w:pPr>
              <w:pStyle w:val="ListBullet2"/>
            </w:pPr>
            <w:r w:rsidRPr="0057600D">
              <w:t>genitourinary system</w:t>
            </w:r>
          </w:p>
          <w:p w:rsidR="00000000" w:rsidRPr="0057600D" w:rsidP="0057600D">
            <w:pPr>
              <w:pStyle w:val="ListBullet2"/>
            </w:pPr>
            <w:r w:rsidRPr="0057600D">
              <w:t>musculoskeletal system</w:t>
            </w:r>
          </w:p>
          <w:p w:rsidR="00000000" w:rsidRPr="0057600D" w:rsidP="0057600D">
            <w:pPr>
              <w:pStyle w:val="ListBullet2"/>
            </w:pPr>
            <w:r w:rsidRPr="0057600D">
              <w:t>nervous system</w:t>
            </w:r>
          </w:p>
          <w:p w:rsidR="00000000" w:rsidRPr="0057600D" w:rsidP="0057600D">
            <w:pPr>
              <w:pStyle w:val="ListBullet2"/>
            </w:pPr>
            <w:r w:rsidRPr="0057600D">
              <w:t>respiratory system</w:t>
            </w:r>
          </w:p>
          <w:p w:rsidR="00000000" w:rsidRPr="0057600D" w:rsidP="0057600D">
            <w:pPr>
              <w:pStyle w:val="ListBullet2"/>
            </w:pPr>
            <w:r w:rsidRPr="0057600D">
              <w:t>skin and subcutaneous tissue</w:t>
            </w:r>
          </w:p>
          <w:p w:rsidR="00000000" w:rsidRPr="0057600D" w:rsidP="0057600D">
            <w:pPr>
              <w:pStyle w:val="ListBullet"/>
            </w:pPr>
            <w:r w:rsidRPr="0057600D">
              <w:t>Coding conditions:</w:t>
            </w:r>
          </w:p>
          <w:p w:rsidR="00000000" w:rsidRPr="0057600D" w:rsidP="0057600D">
            <w:pPr>
              <w:pStyle w:val="ListBullet2"/>
            </w:pPr>
            <w:r w:rsidRPr="0057600D">
              <w:t>in pregnancy, childbirth and the puerperium</w:t>
            </w:r>
          </w:p>
          <w:p w:rsidR="00000000" w:rsidP="0057600D">
            <w:pPr>
              <w:pStyle w:val="ListBullet2"/>
              <w:rPr>
                <w:lang w:val="en-NZ"/>
              </w:rPr>
            </w:pPr>
            <w:r w:rsidRPr="0057600D">
              <w:t>originating in the perinatal period</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00D">
            <w:pPr>
              <w:pStyle w:val="BodyText"/>
              <w:rPr>
                <w:lang w:val="en-NZ"/>
              </w:rPr>
            </w:pPr>
            <w:r w:rsidRPr="0057600D">
              <w:rPr>
                <w:rStyle w:val="Emphasis"/>
              </w:rPr>
              <w:t>Client information systems may include</w:t>
            </w: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ListBullet"/>
            </w:pPr>
            <w:r w:rsidRPr="0057600D">
              <w:t>Computerised systems</w:t>
            </w:r>
          </w:p>
          <w:p w:rsidR="00000000" w:rsidP="0057600D">
            <w:pPr>
              <w:pStyle w:val="ListBullet"/>
              <w:rPr>
                <w:lang w:val="en-NZ"/>
              </w:rPr>
            </w:pPr>
            <w:r w:rsidRPr="0057600D">
              <w:t>Manual systems</w:t>
            </w:r>
          </w:p>
        </w:tc>
      </w:tr>
      <w:tr w:rsidTr="00E51A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600D" w:rsidP="0057600D">
            <w:pPr>
              <w:pStyle w:val="BodyText"/>
            </w:pPr>
          </w:p>
        </w:tc>
      </w:tr>
    </w:tbl>
    <w:p w:rsidR="00E51A90" w:rsidP="0057600D">
      <w:pPr>
        <w:pStyle w:val="BodyText"/>
      </w:pPr>
    </w:p>
    <w:p w:rsidR="00E51A90" w:rsidP="0057600D">
      <w:pPr>
        <w:pStyle w:val="BodyText"/>
      </w:pPr>
    </w:p>
    <w:p w:rsidR="00000000" w:rsidRPr="0057600D" w:rsidP="0057600D">
      <w:pPr>
        <w:pStyle w:val="Heading1"/>
      </w:pPr>
      <w:bookmarkStart w:id="12" w:name="O_294970"/>
      <w:bookmarkEnd w:id="12"/>
      <w:r w:rsidRPr="0057600D">
        <w:t>Unit Sector(s)</w:t>
      </w:r>
    </w:p>
    <w:p w:rsidR="00000000" w:rsidRPr="0057600D" w:rsidP="0057600D">
      <w:pPr>
        <w:pStyle w:val="BodyText"/>
      </w:pPr>
      <w:r w:rsidRPr="0057600D">
        <w:t>Not Applicable</w:t>
      </w:r>
    </w:p>
    <w:p w:rsidR="00000000" w:rsidRPr="0057600D" w:rsidP="0057600D"/>
    <w:sectPr w:rsidSect="00576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A90" w:rsidP="00E51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90" w:rsidP="00576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1A90" w:rsidP="00576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1A90" w:rsidP="00576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A90" w:rsidP="00E51A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90" w:rsidP="0057600D">
    <w:pPr>
      <w:pStyle w:val="Header"/>
      <w:framePr w:wrap="around"/>
    </w:pPr>
    <w:r>
      <w:fldChar w:fldCharType="begin"/>
    </w:r>
    <w:r>
      <w:instrText xml:space="preserve"> TITLE   \* MERGEFORMAT </w:instrText>
    </w:r>
    <w:r>
      <w:fldChar w:fldCharType="separate"/>
    </w:r>
    <w:r>
      <w:t>HLTCC301B Produce coded clinical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1A90" w:rsidP="00576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0C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CD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27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00D"/>
    <w:pPr>
      <w:spacing w:before="360" w:after="60"/>
      <w:outlineLvl w:val="0"/>
    </w:pPr>
    <w:rPr>
      <w:sz w:val="32"/>
    </w:rPr>
  </w:style>
  <w:style w:type="paragraph" w:styleId="Heading2">
    <w:name w:val="heading 2"/>
    <w:basedOn w:val="HeadingBase"/>
    <w:next w:val="BodyText"/>
    <w:link w:val="Heading2Char"/>
    <w:qFormat/>
    <w:rsid w:val="0057600D"/>
    <w:pPr>
      <w:keepLines/>
      <w:spacing w:before="240" w:after="120"/>
      <w:outlineLvl w:val="1"/>
    </w:pPr>
    <w:rPr>
      <w:sz w:val="28"/>
      <w:szCs w:val="40"/>
    </w:rPr>
  </w:style>
  <w:style w:type="paragraph" w:styleId="Heading3">
    <w:name w:val="heading 3"/>
    <w:basedOn w:val="HeadingBase"/>
    <w:next w:val="BodyText"/>
    <w:link w:val="Heading3Char"/>
    <w:qFormat/>
    <w:rsid w:val="0057600D"/>
    <w:pPr>
      <w:spacing w:before="180" w:after="120"/>
      <w:outlineLvl w:val="2"/>
    </w:pPr>
    <w:rPr>
      <w:spacing w:val="-10"/>
      <w:kern w:val="32"/>
    </w:rPr>
  </w:style>
  <w:style w:type="paragraph" w:styleId="Heading4">
    <w:name w:val="heading 4"/>
    <w:basedOn w:val="HeadingBase"/>
    <w:next w:val="BodyText"/>
    <w:link w:val="Heading4Char"/>
    <w:qFormat/>
    <w:rsid w:val="0057600D"/>
    <w:pPr>
      <w:spacing w:before="160" w:after="120"/>
      <w:outlineLvl w:val="3"/>
    </w:pPr>
    <w:rPr>
      <w:sz w:val="22"/>
    </w:rPr>
  </w:style>
  <w:style w:type="paragraph" w:styleId="Heading5">
    <w:name w:val="heading 5"/>
    <w:basedOn w:val="HeadingBase"/>
    <w:next w:val="Normal"/>
    <w:link w:val="Heading5Char"/>
    <w:qFormat/>
    <w:rsid w:val="0057600D"/>
    <w:pPr>
      <w:spacing w:before="80"/>
      <w:outlineLvl w:val="4"/>
    </w:pPr>
    <w:rPr>
      <w:color w:val="918585"/>
      <w:sz w:val="20"/>
    </w:rPr>
  </w:style>
  <w:style w:type="paragraph" w:styleId="Heading6">
    <w:name w:val="heading 6"/>
    <w:basedOn w:val="HeadingBase"/>
    <w:next w:val="Normal"/>
    <w:link w:val="Heading6Char"/>
    <w:qFormat/>
    <w:rsid w:val="0057600D"/>
    <w:pPr>
      <w:spacing w:before="60"/>
      <w:outlineLvl w:val="5"/>
    </w:pPr>
    <w:rPr>
      <w:color w:val="918585"/>
      <w:sz w:val="20"/>
    </w:rPr>
  </w:style>
  <w:style w:type="paragraph" w:styleId="Heading7">
    <w:name w:val="heading 7"/>
    <w:basedOn w:val="Normal"/>
    <w:next w:val="Normal"/>
    <w:link w:val="Heading7Char"/>
    <w:qFormat/>
    <w:rsid w:val="0057600D"/>
    <w:pPr>
      <w:ind w:left="720"/>
      <w:outlineLvl w:val="6"/>
    </w:pPr>
    <w:rPr>
      <w:i/>
    </w:rPr>
  </w:style>
  <w:style w:type="paragraph" w:styleId="Heading8">
    <w:name w:val="heading 8"/>
    <w:basedOn w:val="Normal"/>
    <w:next w:val="Normal"/>
    <w:link w:val="Heading8Char"/>
    <w:qFormat/>
    <w:rsid w:val="0057600D"/>
    <w:pPr>
      <w:ind w:left="720"/>
      <w:outlineLvl w:val="7"/>
    </w:pPr>
    <w:rPr>
      <w:i/>
    </w:rPr>
  </w:style>
  <w:style w:type="paragraph" w:styleId="Heading9">
    <w:name w:val="heading 9"/>
    <w:basedOn w:val="Normal"/>
    <w:next w:val="Normal"/>
    <w:link w:val="Heading9Char"/>
    <w:qFormat/>
    <w:rsid w:val="0057600D"/>
    <w:pPr>
      <w:ind w:left="720"/>
      <w:outlineLvl w:val="8"/>
    </w:pPr>
    <w:rPr>
      <w:i/>
    </w:rPr>
  </w:style>
  <w:style w:type="character" w:default="1" w:styleId="DefaultParagraphFont">
    <w:name w:val="Default Paragraph Font"/>
    <w:uiPriority w:val="1"/>
    <w:unhideWhenUsed/>
    <w:rsid w:val="00576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00D"/>
  </w:style>
  <w:style w:type="character" w:customStyle="1" w:styleId="Heading1Char">
    <w:name w:val="Heading 1 Char"/>
    <w:basedOn w:val="DefaultParagraphFont"/>
    <w:link w:val="Heading1"/>
    <w:rsid w:val="0057600D"/>
    <w:rPr>
      <w:rFonts w:ascii="Times New Roman" w:eastAsia="Times New Roman" w:hAnsi="Times New Roman" w:cs="Times New Roman"/>
      <w:b/>
      <w:sz w:val="32"/>
      <w:szCs w:val="20"/>
      <w:lang w:eastAsia="en-US"/>
    </w:rPr>
  </w:style>
  <w:style w:type="paragraph" w:styleId="BodyText">
    <w:name w:val="Body Text"/>
    <w:basedOn w:val="Normal"/>
    <w:link w:val="BodyTextChar"/>
    <w:rsid w:val="00576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00D"/>
    <w:rPr>
      <w:rFonts w:ascii="Times New Roman" w:eastAsia="Times New Roman" w:hAnsi="Times New Roman" w:cs="Times New Roman"/>
      <w:sz w:val="24"/>
      <w:lang w:val="en-US" w:eastAsia="en-US"/>
    </w:rPr>
  </w:style>
  <w:style w:type="paragraph" w:styleId="Footer">
    <w:name w:val="footer"/>
    <w:basedOn w:val="Normal"/>
    <w:link w:val="FooterChar"/>
    <w:rsid w:val="00576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00D"/>
    <w:rPr>
      <w:rFonts w:ascii="Times New Roman" w:eastAsia="Times New Roman" w:hAnsi="Times New Roman" w:cs="Times New Roman"/>
      <w:sz w:val="16"/>
      <w:lang w:val="en-US" w:eastAsia="en-US"/>
    </w:rPr>
  </w:style>
  <w:style w:type="paragraph" w:styleId="List">
    <w:name w:val="List"/>
    <w:basedOn w:val="BodyText"/>
    <w:next w:val="BodyText"/>
    <w:rsid w:val="0057600D"/>
    <w:pPr>
      <w:tabs>
        <w:tab w:val="left" w:pos="340"/>
      </w:tabs>
      <w:spacing w:before="60" w:after="60"/>
      <w:ind w:left="340" w:hanging="340"/>
    </w:pPr>
  </w:style>
  <w:style w:type="paragraph" w:styleId="ListBullet">
    <w:name w:val="List Bullet"/>
    <w:basedOn w:val="List"/>
    <w:rsid w:val="0057600D"/>
    <w:pPr>
      <w:numPr>
        <w:numId w:val="13"/>
      </w:numPr>
      <w:tabs>
        <w:tab w:val="clear" w:pos="340"/>
      </w:tabs>
      <w:spacing w:before="40" w:after="40"/>
    </w:pPr>
  </w:style>
  <w:style w:type="character" w:customStyle="1" w:styleId="SpecialBold">
    <w:name w:val="Special Bold"/>
    <w:basedOn w:val="DefaultParagraphFont"/>
    <w:rsid w:val="0057600D"/>
    <w:rPr>
      <w:b/>
      <w:spacing w:val="0"/>
    </w:rPr>
  </w:style>
  <w:style w:type="paragraph" w:styleId="ListBullet2">
    <w:name w:val="List Bullet 2"/>
    <w:basedOn w:val="List2"/>
    <w:rsid w:val="0057600D"/>
    <w:pPr>
      <w:numPr>
        <w:numId w:val="14"/>
      </w:numPr>
      <w:tabs>
        <w:tab w:val="clear" w:pos="680"/>
      </w:tabs>
    </w:pPr>
  </w:style>
  <w:style w:type="paragraph" w:styleId="Header">
    <w:name w:val="header"/>
    <w:basedOn w:val="Normal"/>
    <w:link w:val="HeaderChar"/>
    <w:rsid w:val="00576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00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600D"/>
    <w:rPr>
      <w:i/>
    </w:rPr>
  </w:style>
  <w:style w:type="paragraph" w:customStyle="1" w:styleId="SuperHeading">
    <w:name w:val="SuperHeading"/>
    <w:basedOn w:val="Normal"/>
    <w:rsid w:val="0057600D"/>
    <w:pPr>
      <w:spacing w:before="240" w:after="120"/>
      <w:outlineLvl w:val="0"/>
    </w:pPr>
    <w:rPr>
      <w:rFonts w:ascii="Times New Roman" w:hAnsi="Times New Roman"/>
      <w:b/>
      <w:sz w:val="28"/>
    </w:rPr>
  </w:style>
  <w:style w:type="paragraph" w:customStyle="1" w:styleId="AllowPageBreak">
    <w:name w:val="AllowPageBreak"/>
    <w:rsid w:val="00576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00D"/>
    <w:rPr>
      <w:rFonts w:ascii="Courier New" w:eastAsia="Times New Roman" w:hAnsi="Courier New" w:cs="Times New Roman"/>
      <w:i/>
      <w:szCs w:val="20"/>
      <w:lang w:val="en-US" w:eastAsia="en-US"/>
    </w:rPr>
  </w:style>
  <w:style w:type="paragraph" w:customStyle="1" w:styleId="HeadingBase">
    <w:name w:val="Heading Base"/>
    <w:rsid w:val="00576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00D"/>
    <w:pPr>
      <w:tabs>
        <w:tab w:val="right" w:leader="dot" w:pos="9072"/>
      </w:tabs>
      <w:ind w:left="567"/>
    </w:pPr>
    <w:rPr>
      <w:szCs w:val="22"/>
    </w:rPr>
  </w:style>
  <w:style w:type="paragraph" w:customStyle="1" w:styleId="TOCBase">
    <w:name w:val="TOC Base"/>
    <w:rsid w:val="00576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00D"/>
    <w:pPr>
      <w:tabs>
        <w:tab w:val="right" w:leader="dot" w:pos="9072"/>
      </w:tabs>
      <w:spacing w:before="40" w:after="40"/>
      <w:ind w:left="284"/>
    </w:pPr>
    <w:rPr>
      <w:rFonts w:ascii="Times New Roman" w:hAnsi="Times New Roman"/>
    </w:rPr>
  </w:style>
  <w:style w:type="paragraph" w:styleId="TOC1">
    <w:name w:val="toc 1"/>
    <w:basedOn w:val="TOCBase"/>
    <w:next w:val="Normal"/>
    <w:rsid w:val="00576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00D"/>
    <w:pPr>
      <w:spacing w:before="5040"/>
      <w:jc w:val="center"/>
    </w:pPr>
    <w:rPr>
      <w:sz w:val="48"/>
      <w:szCs w:val="72"/>
      <w:lang w:val="en-US"/>
    </w:rPr>
  </w:style>
  <w:style w:type="character" w:customStyle="1" w:styleId="TitleChar">
    <w:name w:val="Title Char"/>
    <w:basedOn w:val="DefaultParagraphFont"/>
    <w:link w:val="Title"/>
    <w:rsid w:val="00576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00D"/>
    <w:pPr>
      <w:tabs>
        <w:tab w:val="left" w:pos="3600"/>
        <w:tab w:val="left" w:pos="3958"/>
      </w:tabs>
    </w:pPr>
  </w:style>
  <w:style w:type="paragraph" w:customStyle="1" w:styleId="Note">
    <w:name w:val="Note"/>
    <w:basedOn w:val="BodyText"/>
    <w:rsid w:val="00576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00D"/>
    <w:pPr>
      <w:framePr w:wrap="auto" w:hAnchor="text" w:y="6049"/>
    </w:pPr>
    <w:rPr>
      <w:color w:val="000000"/>
      <w:sz w:val="40"/>
    </w:rPr>
  </w:style>
  <w:style w:type="paragraph" w:customStyle="1" w:styleId="TOCTitle">
    <w:name w:val="TOCTitle"/>
    <w:basedOn w:val="Heading1"/>
    <w:rsid w:val="0057600D"/>
    <w:pPr>
      <w:spacing w:after="240"/>
      <w:jc w:val="center"/>
      <w:outlineLvl w:val="9"/>
    </w:pPr>
    <w:rPr>
      <w:caps/>
    </w:rPr>
  </w:style>
  <w:style w:type="paragraph" w:customStyle="1" w:styleId="Version">
    <w:name w:val="Version"/>
    <w:rsid w:val="00576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00D"/>
    <w:pPr>
      <w:keepNext w:val="0"/>
      <w:tabs>
        <w:tab w:val="right" w:pos="4176"/>
      </w:tabs>
      <w:ind w:left="198" w:hanging="198"/>
    </w:pPr>
    <w:rPr>
      <w:rFonts w:ascii="Garamond" w:hAnsi="Garamond"/>
    </w:rPr>
  </w:style>
  <w:style w:type="paragraph" w:styleId="IndexHeading">
    <w:name w:val="index heading"/>
    <w:basedOn w:val="Normal"/>
    <w:next w:val="Index1"/>
    <w:semiHidden/>
    <w:rsid w:val="0057600D"/>
    <w:pPr>
      <w:spacing w:before="120" w:after="120"/>
    </w:pPr>
    <w:rPr>
      <w:rFonts w:ascii="Arial" w:hAnsi="Arial"/>
      <w:b/>
      <w:color w:val="918585"/>
      <w:sz w:val="24"/>
    </w:rPr>
  </w:style>
  <w:style w:type="paragraph" w:customStyle="1" w:styleId="Chapter">
    <w:name w:val="Chapter"/>
    <w:basedOn w:val="Normal"/>
    <w:rsid w:val="0057600D"/>
    <w:pPr>
      <w:spacing w:before="240"/>
    </w:pPr>
    <w:rPr>
      <w:rFonts w:ascii="Times New Roman" w:hAnsi="Times New Roman"/>
      <w:smallCaps/>
      <w:spacing w:val="80"/>
      <w:sz w:val="28"/>
    </w:rPr>
  </w:style>
  <w:style w:type="paragraph" w:customStyle="1" w:styleId="InChapter">
    <w:name w:val="InChapter"/>
    <w:basedOn w:val="Heading3"/>
    <w:rsid w:val="0057600D"/>
    <w:pPr>
      <w:spacing w:after="240"/>
      <w:outlineLvl w:val="9"/>
    </w:pPr>
    <w:rPr>
      <w:noProof/>
    </w:rPr>
  </w:style>
  <w:style w:type="paragraph" w:styleId="Index2">
    <w:name w:val="index 2"/>
    <w:basedOn w:val="Normal"/>
    <w:next w:val="Normal"/>
    <w:semiHidden/>
    <w:rsid w:val="0057600D"/>
    <w:pPr>
      <w:tabs>
        <w:tab w:val="right" w:pos="4176"/>
      </w:tabs>
      <w:ind w:left="568" w:hanging="284"/>
    </w:pPr>
    <w:rPr>
      <w:rFonts w:ascii="Garamond" w:hAnsi="Garamond"/>
    </w:rPr>
  </w:style>
  <w:style w:type="paragraph" w:customStyle="1" w:styleId="Byline">
    <w:name w:val="Byline"/>
    <w:rsid w:val="00576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00D"/>
    <w:pPr>
      <w:tabs>
        <w:tab w:val="clear" w:pos="3600"/>
        <w:tab w:val="clear" w:pos="3958"/>
      </w:tabs>
      <w:jc w:val="right"/>
    </w:pPr>
  </w:style>
  <w:style w:type="paragraph" w:styleId="Caption">
    <w:name w:val="caption"/>
    <w:basedOn w:val="BodyText"/>
    <w:next w:val="Normal"/>
    <w:qFormat/>
    <w:rsid w:val="0057600D"/>
    <w:pPr>
      <w:framePr w:w="2268" w:hSpace="181" w:vSpace="181" w:wrap="around" w:vAnchor="text" w:hAnchor="page" w:x="1135" w:y="285" w:anchorLock="1"/>
    </w:pPr>
    <w:rPr>
      <w:i/>
    </w:rPr>
  </w:style>
  <w:style w:type="paragraph" w:customStyle="1" w:styleId="MiniTOCTitle">
    <w:name w:val="MiniTOCTitle"/>
    <w:basedOn w:val="Heading4"/>
    <w:rsid w:val="0057600D"/>
    <w:pPr>
      <w:spacing w:before="240"/>
      <w:outlineLvl w:val="9"/>
    </w:pPr>
    <w:rPr>
      <w:noProof/>
      <w:sz w:val="24"/>
    </w:rPr>
  </w:style>
  <w:style w:type="paragraph" w:customStyle="1" w:styleId="MiniTOCItem">
    <w:name w:val="MiniTOCItem"/>
    <w:basedOn w:val="ListBullet"/>
    <w:rsid w:val="0057600D"/>
    <w:pPr>
      <w:numPr>
        <w:numId w:val="0"/>
      </w:numPr>
      <w:tabs>
        <w:tab w:val="right" w:leader="dot" w:pos="6521"/>
      </w:tabs>
      <w:spacing w:before="0" w:after="0"/>
    </w:pPr>
  </w:style>
  <w:style w:type="paragraph" w:customStyle="1" w:styleId="TOFTitle">
    <w:name w:val="TOFTitle"/>
    <w:basedOn w:val="TOCTitle"/>
    <w:rsid w:val="0057600D"/>
  </w:style>
  <w:style w:type="paragraph" w:styleId="TableofFigures">
    <w:name w:val="table of figures"/>
    <w:basedOn w:val="Normal"/>
    <w:next w:val="Normal"/>
    <w:semiHidden/>
    <w:rsid w:val="0057600D"/>
    <w:pPr>
      <w:tabs>
        <w:tab w:val="right" w:leader="dot" w:pos="9072"/>
      </w:tabs>
      <w:ind w:left="970" w:hanging="403"/>
    </w:pPr>
    <w:rPr>
      <w:rFonts w:ascii="Times New Roman" w:hAnsi="Times New Roman"/>
      <w:b/>
    </w:rPr>
  </w:style>
  <w:style w:type="paragraph" w:styleId="ListNumber">
    <w:name w:val="List Number"/>
    <w:basedOn w:val="List"/>
    <w:rsid w:val="0057600D"/>
    <w:pPr>
      <w:numPr>
        <w:numId w:val="11"/>
      </w:numPr>
    </w:pPr>
  </w:style>
  <w:style w:type="character" w:customStyle="1" w:styleId="WingdingSymbols">
    <w:name w:val="Wingding Symbols"/>
    <w:rsid w:val="0057600D"/>
    <w:rPr>
      <w:rFonts w:ascii="Wingdings" w:hAnsi="Wingdings"/>
    </w:rPr>
  </w:style>
  <w:style w:type="paragraph" w:customStyle="1" w:styleId="TableHeading">
    <w:name w:val="Table Heading"/>
    <w:basedOn w:val="HeadingBase"/>
    <w:rsid w:val="0057600D"/>
    <w:pPr>
      <w:keepLines/>
      <w:pBdr>
        <w:bottom w:val="single" w:sz="6" w:space="1" w:color="918585"/>
      </w:pBdr>
      <w:spacing w:before="240"/>
    </w:pPr>
  </w:style>
  <w:style w:type="character" w:customStyle="1" w:styleId="HotSpot">
    <w:name w:val="HotSpot"/>
    <w:rsid w:val="0057600D"/>
    <w:rPr>
      <w:color w:val="0033CC"/>
      <w:u w:val="none"/>
    </w:rPr>
  </w:style>
  <w:style w:type="paragraph" w:customStyle="1" w:styleId="BodyTextRight">
    <w:name w:val="Body Text Right"/>
    <w:basedOn w:val="BodyText"/>
    <w:rsid w:val="0057600D"/>
    <w:pPr>
      <w:spacing w:before="0" w:after="0"/>
      <w:jc w:val="right"/>
    </w:pPr>
  </w:style>
  <w:style w:type="paragraph" w:styleId="Index3">
    <w:name w:val="index 3"/>
    <w:basedOn w:val="ListNumber2"/>
    <w:next w:val="Normal"/>
    <w:semiHidden/>
    <w:rsid w:val="0057600D"/>
    <w:pPr>
      <w:numPr>
        <w:numId w:val="0"/>
      </w:numPr>
      <w:tabs>
        <w:tab w:val="right" w:leader="dot" w:pos="4176"/>
      </w:tabs>
    </w:pPr>
  </w:style>
  <w:style w:type="paragraph" w:styleId="ListNumber2">
    <w:name w:val="List Number 2"/>
    <w:basedOn w:val="List2"/>
    <w:rsid w:val="0057600D"/>
    <w:pPr>
      <w:numPr>
        <w:numId w:val="10"/>
      </w:numPr>
      <w:tabs>
        <w:tab w:val="clear" w:pos="1060"/>
      </w:tabs>
    </w:pPr>
  </w:style>
  <w:style w:type="paragraph" w:customStyle="1" w:styleId="MarginNote">
    <w:name w:val="Margin Note"/>
    <w:basedOn w:val="BodyText"/>
    <w:rsid w:val="00576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00D"/>
    <w:rPr>
      <w:sz w:val="32"/>
    </w:rPr>
  </w:style>
  <w:style w:type="paragraph" w:customStyle="1" w:styleId="HeadingProcedure">
    <w:name w:val="Heading Procedure"/>
    <w:basedOn w:val="HeadingBase"/>
    <w:next w:val="Normal"/>
    <w:rsid w:val="0057600D"/>
    <w:pPr>
      <w:tabs>
        <w:tab w:val="left" w:pos="0"/>
      </w:tabs>
      <w:spacing w:before="120" w:after="60"/>
    </w:pPr>
    <w:rPr>
      <w:i/>
      <w:color w:val="918585"/>
      <w:sz w:val="22"/>
    </w:rPr>
  </w:style>
  <w:style w:type="paragraph" w:customStyle="1" w:styleId="TableBodyText">
    <w:name w:val="Table Body Text"/>
    <w:basedOn w:val="BodyText"/>
    <w:rsid w:val="0057600D"/>
    <w:pPr>
      <w:spacing w:before="60" w:after="60"/>
    </w:pPr>
  </w:style>
  <w:style w:type="paragraph" w:styleId="ListContinue">
    <w:name w:val="List Continue"/>
    <w:basedOn w:val="List"/>
    <w:rsid w:val="0057600D"/>
    <w:pPr>
      <w:ind w:firstLine="0"/>
    </w:pPr>
  </w:style>
  <w:style w:type="paragraph" w:customStyle="1" w:styleId="ListNote">
    <w:name w:val="List Note"/>
    <w:basedOn w:val="List"/>
    <w:rsid w:val="0057600D"/>
    <w:pPr>
      <w:pBdr>
        <w:top w:val="single" w:sz="6" w:space="2" w:color="918585"/>
        <w:bottom w:val="single" w:sz="6" w:space="2" w:color="918585"/>
      </w:pBdr>
      <w:tabs>
        <w:tab w:val="left" w:pos="1021"/>
      </w:tabs>
      <w:ind w:firstLine="0"/>
    </w:pPr>
  </w:style>
  <w:style w:type="paragraph" w:customStyle="1" w:styleId="Warning">
    <w:name w:val="Warning"/>
    <w:basedOn w:val="BodyText"/>
    <w:rsid w:val="0057600D"/>
    <w:pPr>
      <w:shd w:val="clear" w:color="auto" w:fill="D9D9D9"/>
      <w:tabs>
        <w:tab w:val="left" w:pos="992"/>
      </w:tabs>
      <w:ind w:left="119" w:right="119"/>
    </w:pPr>
    <w:rPr>
      <w:sz w:val="20"/>
    </w:rPr>
  </w:style>
  <w:style w:type="paragraph" w:customStyle="1" w:styleId="MarginIcons">
    <w:name w:val="Margin Icons"/>
    <w:basedOn w:val="BodyText"/>
    <w:rsid w:val="00576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00D"/>
    <w:rPr>
      <w:rFonts w:ascii="Courier New" w:hAnsi="Courier New"/>
    </w:rPr>
  </w:style>
  <w:style w:type="paragraph" w:customStyle="1" w:styleId="NoteBullet">
    <w:name w:val="Note Bullet"/>
    <w:basedOn w:val="Note"/>
    <w:rsid w:val="0057600D"/>
    <w:pPr>
      <w:tabs>
        <w:tab w:val="clear" w:pos="680"/>
      </w:tabs>
      <w:spacing w:before="60" w:after="60"/>
    </w:pPr>
  </w:style>
  <w:style w:type="paragraph" w:customStyle="1" w:styleId="SubHeading2">
    <w:name w:val="SubHeading2"/>
    <w:basedOn w:val="HeadingBase"/>
    <w:rsid w:val="0057600D"/>
    <w:pPr>
      <w:spacing w:before="240" w:after="60"/>
    </w:pPr>
    <w:rPr>
      <w:sz w:val="20"/>
    </w:rPr>
  </w:style>
  <w:style w:type="paragraph" w:customStyle="1" w:styleId="SubHeading1">
    <w:name w:val="SubHeading1"/>
    <w:basedOn w:val="HeadingBase"/>
    <w:rsid w:val="0057600D"/>
    <w:pPr>
      <w:spacing w:before="240" w:after="60"/>
    </w:pPr>
    <w:rPr>
      <w:color w:val="918585"/>
      <w:sz w:val="22"/>
    </w:rPr>
  </w:style>
  <w:style w:type="paragraph" w:customStyle="1" w:styleId="SideHeading">
    <w:name w:val="Side Heading"/>
    <w:basedOn w:val="HeadingBase"/>
    <w:rsid w:val="00576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00D"/>
    <w:pPr>
      <w:numPr>
        <w:numId w:val="12"/>
      </w:numPr>
    </w:pPr>
  </w:style>
  <w:style w:type="paragraph" w:styleId="PlainText">
    <w:name w:val="Plain Text"/>
    <w:basedOn w:val="Normal"/>
    <w:link w:val="PlainTextChar"/>
    <w:rsid w:val="0057600D"/>
    <w:rPr>
      <w:sz w:val="20"/>
    </w:rPr>
  </w:style>
  <w:style w:type="character" w:customStyle="1" w:styleId="PlainTextChar">
    <w:name w:val="Plain Text Char"/>
    <w:basedOn w:val="DefaultParagraphFont"/>
    <w:link w:val="PlainText"/>
    <w:rsid w:val="005760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00D"/>
    <w:rPr>
      <w:b/>
      <w:smallCaps/>
    </w:rPr>
  </w:style>
  <w:style w:type="paragraph" w:customStyle="1" w:styleId="TableListNumber">
    <w:name w:val="Table List Number"/>
    <w:basedOn w:val="ListNumber"/>
    <w:rsid w:val="0057600D"/>
    <w:pPr>
      <w:numPr>
        <w:numId w:val="0"/>
      </w:numPr>
    </w:pPr>
  </w:style>
  <w:style w:type="paragraph" w:styleId="TOC4">
    <w:name w:val="toc 4"/>
    <w:basedOn w:val="TOCBase"/>
    <w:next w:val="Normal"/>
    <w:semiHidden/>
    <w:rsid w:val="0057600D"/>
    <w:pPr>
      <w:tabs>
        <w:tab w:val="right" w:leader="dot" w:pos="9071"/>
      </w:tabs>
      <w:ind w:left="1701"/>
    </w:pPr>
  </w:style>
  <w:style w:type="paragraph" w:customStyle="1" w:styleId="ListAlpha">
    <w:name w:val="List Alpha"/>
    <w:basedOn w:val="List"/>
    <w:rsid w:val="0057600D"/>
    <w:pPr>
      <w:numPr>
        <w:numId w:val="9"/>
      </w:numPr>
    </w:pPr>
  </w:style>
  <w:style w:type="paragraph" w:customStyle="1" w:styleId="ListAlpha2">
    <w:name w:val="List Alpha 2"/>
    <w:basedOn w:val="List2"/>
    <w:rsid w:val="0057600D"/>
    <w:pPr>
      <w:numPr>
        <w:numId w:val="8"/>
      </w:numPr>
    </w:pPr>
  </w:style>
  <w:style w:type="paragraph" w:styleId="List2">
    <w:name w:val="List 2"/>
    <w:basedOn w:val="BodyText"/>
    <w:rsid w:val="0057600D"/>
    <w:pPr>
      <w:tabs>
        <w:tab w:val="left" w:pos="680"/>
      </w:tabs>
      <w:spacing w:before="60" w:after="60"/>
      <w:ind w:left="680" w:hanging="340"/>
    </w:pPr>
  </w:style>
  <w:style w:type="paragraph" w:styleId="List3">
    <w:name w:val="List 3"/>
    <w:basedOn w:val="BodyText"/>
    <w:rsid w:val="0057600D"/>
    <w:pPr>
      <w:tabs>
        <w:tab w:val="left" w:pos="1021"/>
      </w:tabs>
      <w:spacing w:before="60" w:after="60"/>
      <w:ind w:left="1020" w:hanging="340"/>
    </w:pPr>
  </w:style>
  <w:style w:type="paragraph" w:styleId="List4">
    <w:name w:val="List 4"/>
    <w:basedOn w:val="BodyText"/>
    <w:rsid w:val="0057600D"/>
    <w:pPr>
      <w:tabs>
        <w:tab w:val="left" w:pos="1361"/>
      </w:tabs>
      <w:spacing w:before="60" w:after="60"/>
      <w:ind w:left="1361" w:hanging="340"/>
    </w:pPr>
  </w:style>
  <w:style w:type="paragraph" w:styleId="List5">
    <w:name w:val="List 5"/>
    <w:basedOn w:val="BodyText"/>
    <w:rsid w:val="0057600D"/>
    <w:pPr>
      <w:tabs>
        <w:tab w:val="left" w:pos="1701"/>
      </w:tabs>
      <w:spacing w:before="60" w:after="60"/>
      <w:ind w:left="1701" w:hanging="340"/>
    </w:pPr>
  </w:style>
  <w:style w:type="paragraph" w:styleId="ListBullet3">
    <w:name w:val="List Bullet 3"/>
    <w:basedOn w:val="List3"/>
    <w:rsid w:val="0057600D"/>
    <w:pPr>
      <w:numPr>
        <w:numId w:val="15"/>
      </w:numPr>
      <w:tabs>
        <w:tab w:val="clear" w:pos="1021"/>
      </w:tabs>
      <w:ind w:left="1037" w:hanging="357"/>
    </w:pPr>
  </w:style>
  <w:style w:type="paragraph" w:styleId="ListBullet4">
    <w:name w:val="List Bullet 4"/>
    <w:basedOn w:val="List4"/>
    <w:rsid w:val="0057600D"/>
    <w:pPr>
      <w:numPr>
        <w:numId w:val="3"/>
      </w:numPr>
    </w:pPr>
  </w:style>
  <w:style w:type="paragraph" w:styleId="ListBullet5">
    <w:name w:val="List Bullet 5"/>
    <w:basedOn w:val="List5"/>
    <w:rsid w:val="0057600D"/>
    <w:pPr>
      <w:numPr>
        <w:numId w:val="4"/>
      </w:numPr>
    </w:pPr>
  </w:style>
  <w:style w:type="paragraph" w:styleId="ListContinue2">
    <w:name w:val="List Continue 2"/>
    <w:basedOn w:val="List2"/>
    <w:rsid w:val="0057600D"/>
    <w:pPr>
      <w:ind w:firstLine="0"/>
    </w:pPr>
  </w:style>
  <w:style w:type="paragraph" w:styleId="ListContinue3">
    <w:name w:val="List Continue 3"/>
    <w:basedOn w:val="List3"/>
    <w:rsid w:val="0057600D"/>
    <w:pPr>
      <w:ind w:left="1021" w:firstLine="0"/>
    </w:pPr>
  </w:style>
  <w:style w:type="paragraph" w:styleId="ListContinue4">
    <w:name w:val="List Continue 4"/>
    <w:basedOn w:val="List4"/>
    <w:rsid w:val="0057600D"/>
    <w:pPr>
      <w:ind w:firstLine="0"/>
    </w:pPr>
  </w:style>
  <w:style w:type="paragraph" w:styleId="ListContinue5">
    <w:name w:val="List Continue 5"/>
    <w:basedOn w:val="List5"/>
    <w:rsid w:val="0057600D"/>
    <w:pPr>
      <w:ind w:firstLine="0"/>
    </w:pPr>
  </w:style>
  <w:style w:type="paragraph" w:styleId="ListNumber3">
    <w:name w:val="List Number 3"/>
    <w:basedOn w:val="List3"/>
    <w:rsid w:val="0057600D"/>
    <w:pPr>
      <w:numPr>
        <w:numId w:val="5"/>
      </w:numPr>
    </w:pPr>
  </w:style>
  <w:style w:type="paragraph" w:styleId="ListNumber4">
    <w:name w:val="List Number 4"/>
    <w:basedOn w:val="List4"/>
    <w:rsid w:val="0057600D"/>
    <w:pPr>
      <w:numPr>
        <w:numId w:val="6"/>
      </w:numPr>
    </w:pPr>
  </w:style>
  <w:style w:type="paragraph" w:styleId="ListNumber5">
    <w:name w:val="List Number 5"/>
    <w:basedOn w:val="List5"/>
    <w:rsid w:val="0057600D"/>
    <w:pPr>
      <w:numPr>
        <w:numId w:val="7"/>
      </w:numPr>
    </w:pPr>
  </w:style>
  <w:style w:type="paragraph" w:styleId="BlockText">
    <w:name w:val="Block Text"/>
    <w:basedOn w:val="Normal"/>
    <w:rsid w:val="0057600D"/>
    <w:pPr>
      <w:spacing w:after="120"/>
      <w:ind w:left="1440" w:right="1440"/>
    </w:pPr>
  </w:style>
  <w:style w:type="character" w:customStyle="1" w:styleId="Subscript">
    <w:name w:val="Subscript"/>
    <w:basedOn w:val="DefaultParagraphFont"/>
    <w:rsid w:val="0057600D"/>
    <w:rPr>
      <w:sz w:val="16"/>
      <w:vertAlign w:val="subscript"/>
    </w:rPr>
  </w:style>
  <w:style w:type="character" w:customStyle="1" w:styleId="Superscript">
    <w:name w:val="Superscript"/>
    <w:basedOn w:val="DefaultParagraphFont"/>
    <w:rsid w:val="0057600D"/>
    <w:rPr>
      <w:sz w:val="16"/>
      <w:vertAlign w:val="superscript"/>
    </w:rPr>
  </w:style>
  <w:style w:type="character" w:customStyle="1" w:styleId="Symbols">
    <w:name w:val="Symbols"/>
    <w:basedOn w:val="DefaultParagraphFont"/>
    <w:rsid w:val="0057600D"/>
    <w:rPr>
      <w:rFonts w:ascii="Symbol" w:hAnsi="Symbol"/>
    </w:rPr>
  </w:style>
  <w:style w:type="character" w:customStyle="1" w:styleId="MenuOptions">
    <w:name w:val="Menu Options"/>
    <w:basedOn w:val="DefaultParagraphFont"/>
    <w:rsid w:val="0057600D"/>
    <w:rPr>
      <w:rFonts w:ascii="Arial Narrow" w:hAnsi="Arial Narrow"/>
      <w:smallCaps/>
    </w:rPr>
  </w:style>
  <w:style w:type="character" w:customStyle="1" w:styleId="Buttons">
    <w:name w:val="Buttons"/>
    <w:basedOn w:val="DefaultParagraphFont"/>
    <w:rsid w:val="0057600D"/>
    <w:rPr>
      <w:b/>
    </w:rPr>
  </w:style>
  <w:style w:type="character" w:customStyle="1" w:styleId="Underlined">
    <w:name w:val="Underlined"/>
    <w:basedOn w:val="DefaultParagraphFont"/>
    <w:rsid w:val="0057600D"/>
    <w:rPr>
      <w:u w:val="single"/>
    </w:rPr>
  </w:style>
  <w:style w:type="paragraph" w:customStyle="1" w:styleId="TableBodyTextRight">
    <w:name w:val="Table Body Text Right"/>
    <w:basedOn w:val="TableBodyText"/>
    <w:rsid w:val="0057600D"/>
    <w:pPr>
      <w:widowControl w:val="0"/>
      <w:autoSpaceDE w:val="0"/>
      <w:autoSpaceDN w:val="0"/>
      <w:adjustRightInd w:val="0"/>
      <w:jc w:val="right"/>
    </w:pPr>
    <w:rPr>
      <w:rFonts w:cs="Arial"/>
      <w:szCs w:val="18"/>
    </w:rPr>
  </w:style>
  <w:style w:type="paragraph" w:customStyle="1" w:styleId="CopyrightText">
    <w:name w:val="Copyright Text"/>
    <w:basedOn w:val="BodyText"/>
    <w:rsid w:val="0057600D"/>
    <w:rPr>
      <w:sz w:val="18"/>
    </w:rPr>
  </w:style>
  <w:style w:type="paragraph" w:customStyle="1" w:styleId="BodySmallRight">
    <w:name w:val="Body Small Right"/>
    <w:basedOn w:val="BodyTextRight"/>
    <w:rsid w:val="0057600D"/>
    <w:rPr>
      <w:sz w:val="18"/>
      <w:szCs w:val="18"/>
    </w:rPr>
  </w:style>
  <w:style w:type="paragraph" w:customStyle="1" w:styleId="MarginEdition">
    <w:name w:val="Margin Edition"/>
    <w:basedOn w:val="MarginNote"/>
    <w:rsid w:val="0057600D"/>
    <w:pPr>
      <w:spacing w:before="0" w:after="0"/>
    </w:pPr>
    <w:rPr>
      <w:rFonts w:ascii="Times New Roman" w:hAnsi="Times New Roman"/>
      <w:color w:val="999999"/>
    </w:rPr>
  </w:style>
  <w:style w:type="paragraph" w:customStyle="1" w:styleId="Spacer">
    <w:name w:val="Spacer"/>
    <w:basedOn w:val="Normal"/>
    <w:rsid w:val="0057600D"/>
    <w:rPr>
      <w:sz w:val="2"/>
      <w:szCs w:val="2"/>
    </w:rPr>
  </w:style>
  <w:style w:type="character" w:customStyle="1" w:styleId="Small">
    <w:name w:val="Small"/>
    <w:basedOn w:val="DefaultParagraphFont"/>
    <w:rsid w:val="0057600D"/>
    <w:rPr>
      <w:sz w:val="16"/>
    </w:rPr>
  </w:style>
  <w:style w:type="paragraph" w:customStyle="1" w:styleId="WideTable">
    <w:name w:val="Wide Table"/>
    <w:basedOn w:val="Normal"/>
    <w:rsid w:val="0057600D"/>
    <w:pPr>
      <w:ind w:left="-1418"/>
    </w:pPr>
    <w:rPr>
      <w:sz w:val="2"/>
      <w:szCs w:val="2"/>
    </w:rPr>
  </w:style>
  <w:style w:type="character" w:styleId="PageNumber">
    <w:name w:val="page number"/>
    <w:basedOn w:val="DefaultParagraphFont"/>
    <w:rsid w:val="0057600D"/>
  </w:style>
  <w:style w:type="paragraph" w:styleId="Quote">
    <w:name w:val="Quote"/>
    <w:basedOn w:val="Heading1"/>
    <w:link w:val="QuoteChar"/>
    <w:qFormat/>
    <w:rsid w:val="0057600D"/>
    <w:rPr>
      <w:b w:val="0"/>
      <w:sz w:val="72"/>
      <w:szCs w:val="72"/>
      <w:lang w:val="en-NZ"/>
    </w:rPr>
  </w:style>
  <w:style w:type="character" w:customStyle="1" w:styleId="QuoteChar">
    <w:name w:val="Quote Char"/>
    <w:basedOn w:val="DefaultParagraphFont"/>
    <w:link w:val="Quote"/>
    <w:rsid w:val="00576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00D"/>
    <w:pPr>
      <w:pageBreakBefore/>
    </w:pPr>
  </w:style>
  <w:style w:type="paragraph" w:customStyle="1" w:styleId="Border">
    <w:name w:val="Border"/>
    <w:basedOn w:val="Normal"/>
    <w:qFormat/>
    <w:rsid w:val="00576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00D"/>
    <w:rPr>
      <w:b/>
      <w:bCs/>
      <w:i/>
      <w:iCs/>
      <w:color w:val="auto"/>
    </w:rPr>
  </w:style>
  <w:style w:type="paragraph" w:styleId="IntenseQuote">
    <w:name w:val="Intense Quote"/>
    <w:basedOn w:val="Normal"/>
    <w:next w:val="Normal"/>
    <w:link w:val="IntenseQuoteChar"/>
    <w:uiPriority w:val="30"/>
    <w:qFormat/>
    <w:rsid w:val="00576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0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00D"/>
    <w:rPr>
      <w:smallCaps/>
      <w:color w:val="auto"/>
      <w:u w:val="single"/>
    </w:rPr>
  </w:style>
  <w:style w:type="character" w:styleId="IntenseReference">
    <w:name w:val="Intense Reference"/>
    <w:basedOn w:val="DefaultParagraphFont"/>
    <w:uiPriority w:val="32"/>
    <w:qFormat/>
    <w:rsid w:val="0057600D"/>
    <w:rPr>
      <w:b/>
      <w:bCs/>
      <w:smallCaps/>
      <w:color w:val="auto"/>
      <w:spacing w:val="5"/>
      <w:u w:val="single"/>
    </w:rPr>
  </w:style>
  <w:style w:type="paragraph" w:customStyle="1" w:styleId="2ColumnHeading">
    <w:name w:val="2Column Heading"/>
    <w:basedOn w:val="BodyText"/>
    <w:qFormat/>
    <w:rsid w:val="0057600D"/>
    <w:pPr>
      <w:spacing w:after="60"/>
      <w:ind w:left="-2268"/>
    </w:pPr>
    <w:rPr>
      <w:b/>
    </w:rPr>
  </w:style>
  <w:style w:type="paragraph" w:customStyle="1" w:styleId="Heading1TOC">
    <w:name w:val="Heading1 TOC"/>
    <w:basedOn w:val="Normal"/>
    <w:qFormat/>
    <w:rsid w:val="0057600D"/>
    <w:pPr>
      <w:spacing w:before="240" w:after="120"/>
    </w:pPr>
    <w:rPr>
      <w:rFonts w:ascii="Times New Roman" w:hAnsi="Times New Roman"/>
      <w:b/>
      <w:sz w:val="32"/>
    </w:rPr>
  </w:style>
  <w:style w:type="paragraph" w:customStyle="1" w:styleId="Heading2TOC">
    <w:name w:val="Heading2 TOC"/>
    <w:basedOn w:val="Normal"/>
    <w:qFormat/>
    <w:rsid w:val="0057600D"/>
    <w:pPr>
      <w:spacing w:before="240" w:after="60"/>
    </w:pPr>
    <w:rPr>
      <w:rFonts w:ascii="Times New Roman" w:hAnsi="Times New Roman"/>
      <w:b/>
      <w:sz w:val="28"/>
    </w:rPr>
  </w:style>
  <w:style w:type="character" w:customStyle="1" w:styleId="Underline">
    <w:name w:val="Underline"/>
    <w:basedOn w:val="DefaultParagraphFont"/>
    <w:qFormat/>
    <w:rsid w:val="0057600D"/>
    <w:rPr>
      <w:u w:val="single"/>
    </w:rPr>
  </w:style>
  <w:style w:type="character" w:customStyle="1" w:styleId="BoldandItalics">
    <w:name w:val="Bold and Italics"/>
    <w:qFormat/>
    <w:rsid w:val="0057600D"/>
    <w:rPr>
      <w:b/>
      <w:i/>
      <w:u w:val="none"/>
    </w:rPr>
  </w:style>
  <w:style w:type="paragraph" w:styleId="BalloonText">
    <w:name w:val="Balloon Text"/>
    <w:basedOn w:val="Normal"/>
    <w:link w:val="BalloonTextChar"/>
    <w:rsid w:val="0057600D"/>
    <w:rPr>
      <w:rFonts w:ascii="Tahoma" w:hAnsi="Tahoma" w:cs="Tahoma"/>
      <w:sz w:val="16"/>
      <w:szCs w:val="16"/>
    </w:rPr>
  </w:style>
  <w:style w:type="character" w:customStyle="1" w:styleId="BalloonTextChar">
    <w:name w:val="Balloon Text Char"/>
    <w:basedOn w:val="DefaultParagraphFont"/>
    <w:link w:val="BalloonText"/>
    <w:rsid w:val="00576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0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7057</Characters>
  <Application>Microsoft Office Word</Application>
  <DocSecurity>0</DocSecurity>
  <Lines>269</Lines>
  <Paragraphs>158</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HLTCC301B Produce coded clinical data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