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459" w:rsidP="00917459">
      <w:pPr>
        <w:pStyle w:val="Title"/>
      </w:pPr>
      <w:r>
        <w:fldChar w:fldCharType="begin"/>
      </w:r>
      <w:r>
        <w:instrText xml:space="preserve"> TITLE   \* MERGEFORMAT </w:instrText>
      </w:r>
      <w:r>
        <w:fldChar w:fldCharType="separate"/>
      </w:r>
      <w:r>
        <w:t>HLTAYV615C Apply ayurvedic diagnostic framework</w:t>
      </w:r>
      <w:r>
        <w:fldChar w:fldCharType="end"/>
      </w:r>
    </w:p>
    <w:p w:rsidR="00917459" w:rsidP="00917459">
      <w:pPr>
        <w:pStyle w:val="Version"/>
        <w:sectPr w:rsidSect="00023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C6C" w:rsidP="00023C6C">
      <w:pPr>
        <w:pStyle w:val="SuperHeading"/>
      </w:pPr>
      <w:r w:rsidRPr="00023C6C">
        <w:t>HLTAYV615C Apply ayurvedic diagnostic framework</w:t>
      </w:r>
    </w:p>
    <w:p w:rsidR="00000000" w:rsidRPr="00023C6C" w:rsidP="00023C6C">
      <w:pPr>
        <w:pStyle w:val="Heading1"/>
      </w:pPr>
      <w:bookmarkStart w:id="1" w:name="O_271059"/>
      <w:bookmarkEnd w:id="1"/>
      <w:r w:rsidRPr="00023C6C">
        <w:t>Modification History</w:t>
      </w:r>
    </w:p>
    <w:p w:rsidR="00000000" w:rsidRPr="00023C6C" w:rsidP="00023C6C">
      <w:pPr>
        <w:pStyle w:val="BodyText"/>
      </w:pPr>
      <w:r w:rsidRPr="00023C6C">
        <w:t>Not Applicable</w:t>
      </w:r>
    </w:p>
    <w:p w:rsidR="00000000" w:rsidRPr="00023C6C" w:rsidP="00023C6C">
      <w:pPr>
        <w:pStyle w:val="AllowPageBreak"/>
      </w:pPr>
    </w:p>
    <w:p w:rsidR="00000000" w:rsidRPr="00023C6C" w:rsidP="00023C6C">
      <w:pPr>
        <w:pStyle w:val="Heading1"/>
      </w:pPr>
      <w:bookmarkStart w:id="2" w:name="O_205467"/>
      <w:bookmarkEnd w:id="2"/>
      <w:r w:rsidRPr="00023C6C">
        <w:t>Unit Descriptor</w:t>
      </w:r>
    </w:p>
    <w:tbl>
      <w:tblPr>
        <w:tblW w:w="0" w:type="auto"/>
        <w:tblLayout w:type="fixed"/>
        <w:tblCellMar>
          <w:left w:w="62" w:type="dxa"/>
          <w:right w:w="62" w:type="dxa"/>
        </w:tblCellMar>
        <w:tblLook w:val="0000"/>
      </w:tblPr>
      <w:tblGrid>
        <w:gridCol w:w="3339"/>
        <w:gridCol w:w="5217"/>
      </w:tblGrid>
      <w:tr w:rsidTr="0091745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This unit of competency describes the skills and knowledge required to interpret information gathered in the</w:t>
            </w:r>
            <w:r w:rsidRPr="00023C6C">
              <w:t xml:space="preserve"> ayurvedic health assessment and make and review accurate diagnoses over the course of treatment, according to the ayurvedic framework</w:t>
            </w:r>
          </w:p>
        </w:tc>
      </w:tr>
    </w:tbl>
    <w:p w:rsidR="00917459" w:rsidP="00023C6C">
      <w:pPr>
        <w:pStyle w:val="BodyText"/>
      </w:pPr>
    </w:p>
    <w:p w:rsidR="00917459" w:rsidP="00023C6C">
      <w:pPr>
        <w:pStyle w:val="BodyText"/>
      </w:pPr>
    </w:p>
    <w:p w:rsidR="00000000" w:rsidRPr="00023C6C" w:rsidP="00023C6C">
      <w:pPr>
        <w:pStyle w:val="Heading1"/>
      </w:pPr>
      <w:bookmarkStart w:id="3" w:name="O_205469"/>
      <w:bookmarkEnd w:id="3"/>
      <w:r w:rsidRPr="00023C6C">
        <w:t>Application of the Unit</w:t>
      </w:r>
    </w:p>
    <w:tbl>
      <w:tblPr>
        <w:tblW w:w="0" w:type="auto"/>
        <w:tblLayout w:type="fixed"/>
        <w:tblCellMar>
          <w:left w:w="62" w:type="dxa"/>
          <w:right w:w="62" w:type="dxa"/>
        </w:tblCellMar>
        <w:tblLook w:val="0000"/>
      </w:tblPr>
      <w:tblGrid>
        <w:gridCol w:w="3349"/>
        <w:gridCol w:w="5207"/>
      </w:tblGrid>
      <w:tr w:rsidTr="0091745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This unit may be applied in a range of health settings</w:t>
            </w:r>
          </w:p>
        </w:tc>
      </w:tr>
    </w:tbl>
    <w:p w:rsidR="00917459" w:rsidP="00023C6C">
      <w:pPr>
        <w:pStyle w:val="BodyText"/>
      </w:pPr>
    </w:p>
    <w:p w:rsidR="00917459" w:rsidP="00023C6C">
      <w:pPr>
        <w:pStyle w:val="BodyText"/>
      </w:pPr>
    </w:p>
    <w:p w:rsidR="00000000" w:rsidRPr="00023C6C" w:rsidP="00023C6C">
      <w:pPr>
        <w:pStyle w:val="Heading1"/>
      </w:pPr>
      <w:bookmarkStart w:id="4" w:name="O_279319"/>
      <w:bookmarkEnd w:id="4"/>
      <w:r w:rsidRPr="00023C6C">
        <w:t>Licensing/Regulatory Information</w:t>
      </w:r>
    </w:p>
    <w:p w:rsidR="00000000" w:rsidRPr="00023C6C" w:rsidP="00023C6C">
      <w:pPr>
        <w:pStyle w:val="BodyText"/>
      </w:pPr>
      <w:r w:rsidRPr="00023C6C">
        <w:t>Not Applicable</w:t>
      </w:r>
    </w:p>
    <w:p w:rsidR="00000000" w:rsidRPr="00023C6C" w:rsidP="00023C6C">
      <w:pPr>
        <w:pStyle w:val="AllowPageBreak"/>
      </w:pPr>
    </w:p>
    <w:p w:rsidR="00000000" w:rsidRPr="00023C6C" w:rsidP="00023C6C">
      <w:pPr>
        <w:pStyle w:val="Heading1"/>
      </w:pPr>
      <w:bookmarkStart w:id="5" w:name="O_284075"/>
      <w:bookmarkEnd w:id="5"/>
      <w:r w:rsidRPr="00023C6C">
        <w:t>Pre-Requisites</w:t>
      </w:r>
    </w:p>
    <w:p w:rsidR="00000000" w:rsidRPr="00023C6C" w:rsidP="00023C6C">
      <w:pPr>
        <w:pStyle w:val="BodyText"/>
      </w:pPr>
      <w:r w:rsidRPr="00023C6C">
        <w:t>Not Applicable</w:t>
      </w:r>
    </w:p>
    <w:p w:rsidR="00000000" w:rsidRPr="00023C6C" w:rsidP="00023C6C">
      <w:pPr>
        <w:pStyle w:val="AllowPageBreak"/>
      </w:pPr>
    </w:p>
    <w:p w:rsidR="00000000" w:rsidRPr="00023C6C" w:rsidP="00023C6C">
      <w:pPr>
        <w:pStyle w:val="Heading1"/>
      </w:pPr>
      <w:bookmarkStart w:id="6" w:name="O_205468"/>
      <w:bookmarkEnd w:id="6"/>
      <w:r w:rsidRPr="00023C6C">
        <w:t>Employability Skills Information</w:t>
      </w:r>
    </w:p>
    <w:tbl>
      <w:tblPr>
        <w:tblW w:w="0" w:type="auto"/>
        <w:tblLayout w:type="fixed"/>
        <w:tblCellMar>
          <w:left w:w="62" w:type="dxa"/>
          <w:right w:w="62" w:type="dxa"/>
        </w:tblCellMar>
        <w:tblLook w:val="0000"/>
      </w:tblPr>
      <w:tblGrid>
        <w:gridCol w:w="3320"/>
        <w:gridCol w:w="5236"/>
      </w:tblGrid>
      <w:tr w:rsidTr="0091745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This unit contains Employability Skills</w:t>
            </w:r>
          </w:p>
        </w:tc>
      </w:tr>
    </w:tbl>
    <w:p w:rsidR="00917459" w:rsidP="00023C6C">
      <w:pPr>
        <w:pStyle w:val="BodyText"/>
      </w:pPr>
    </w:p>
    <w:p w:rsidR="00917459" w:rsidP="00023C6C">
      <w:pPr>
        <w:pStyle w:val="BodyText"/>
      </w:pPr>
    </w:p>
    <w:p w:rsidR="00000000" w:rsidRPr="00023C6C" w:rsidP="00023C6C">
      <w:pPr>
        <w:pStyle w:val="Heading1"/>
      </w:pPr>
      <w:bookmarkStart w:id="7" w:name="O_289105"/>
      <w:bookmarkEnd w:id="7"/>
      <w:r w:rsidRPr="00023C6C">
        <w:t>Elements and Performance Criteria Pre-Content</w:t>
      </w:r>
    </w:p>
    <w:tbl>
      <w:tblPr>
        <w:tblW w:w="0" w:type="auto"/>
        <w:tblLayout w:type="fixed"/>
        <w:tblCellMar>
          <w:left w:w="62" w:type="dxa"/>
          <w:right w:w="62" w:type="dxa"/>
        </w:tblCellMar>
        <w:tblLook w:val="0000"/>
      </w:tblPr>
      <w:tblGrid>
        <w:gridCol w:w="3369"/>
        <w:gridCol w:w="5702"/>
      </w:tblGrid>
      <w:tr w:rsidTr="009174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The Performance Criteria specify the level of performance required to demonstrate achievement of the Element. Terms in italics are elaborated in t</w:t>
            </w:r>
            <w:r w:rsidRPr="00023C6C">
              <w:t xml:space="preserve">he Range Statement. </w:t>
            </w:r>
          </w:p>
        </w:tc>
      </w:tr>
    </w:tbl>
    <w:p w:rsidR="00000000" w:rsidRPr="00023C6C" w:rsidP="00023C6C">
      <w:pPr>
        <w:pStyle w:val="BodyText"/>
      </w:pPr>
    </w:p>
    <w:p w:rsidR="00000000" w:rsidRPr="00023C6C" w:rsidP="00023C6C">
      <w:pPr>
        <w:pStyle w:val="AllowPageBreak"/>
      </w:pPr>
    </w:p>
    <w:p w:rsidR="00000000" w:rsidRPr="00023C6C" w:rsidP="00023C6C">
      <w:pPr>
        <w:pStyle w:val="Heading1"/>
      </w:pPr>
      <w:bookmarkStart w:id="8" w:name="O_235772"/>
      <w:bookmarkEnd w:id="8"/>
      <w:r w:rsidRPr="00023C6C">
        <w:t>Elements and Performance Criteria</w:t>
      </w:r>
    </w:p>
    <w:tbl>
      <w:tblPr>
        <w:tblW w:w="0" w:type="auto"/>
        <w:tblLayout w:type="fixed"/>
        <w:tblCellMar>
          <w:left w:w="62" w:type="dxa"/>
          <w:right w:w="62" w:type="dxa"/>
        </w:tblCellMar>
        <w:tblLook w:val="0000"/>
      </w:tblPr>
      <w:tblGrid>
        <w:gridCol w:w="3369"/>
        <w:gridCol w:w="5702"/>
      </w:tblGrid>
      <w:tr w:rsidTr="0091745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SpecialBold"/>
              </w:rPr>
              <w:t>PERFORMANCE CRITERIA</w:t>
            </w:r>
          </w:p>
        </w:tc>
      </w:tr>
      <w:tr w:rsidTr="009174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C6C">
            <w:pPr>
              <w:pStyle w:val="List"/>
              <w:rPr>
                <w:lang w:val="en-NZ"/>
              </w:rPr>
            </w:pPr>
            <w:r w:rsidRPr="00023C6C">
              <w:t>1.</w:t>
            </w:r>
            <w:r w:rsidRPr="00023C6C">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1.1</w:t>
            </w:r>
            <w:r w:rsidRPr="00023C6C">
              <w:tab/>
              <w:t>Correlate results of the ayurvedic health assessment with case history</w:t>
            </w:r>
          </w:p>
          <w:p w:rsidR="00000000" w:rsidRPr="00023C6C" w:rsidP="00023C6C">
            <w:pPr>
              <w:pStyle w:val="BodyText"/>
            </w:pPr>
            <w:r w:rsidRPr="00023C6C">
              <w:t>1.2</w:t>
            </w:r>
            <w:r w:rsidRPr="00023C6C">
              <w:tab/>
              <w:t xml:space="preserve">Recognise </w:t>
            </w:r>
            <w:r w:rsidRPr="00023C6C">
              <w:rPr>
                <w:rStyle w:val="Emphasis"/>
              </w:rPr>
              <w:t>signs and symptoms of condition</w:t>
            </w:r>
            <w:r w:rsidRPr="00023C6C">
              <w:t xml:space="preserve"> in the client and identify as pre-requisites for prevention and treatment/care</w:t>
            </w:r>
          </w:p>
          <w:p w:rsidR="00000000" w:rsidRPr="00023C6C" w:rsidP="00023C6C">
            <w:pPr>
              <w:pStyle w:val="BodyText"/>
            </w:pPr>
            <w:r w:rsidRPr="00023C6C">
              <w:t>1.3</w:t>
            </w:r>
            <w:r w:rsidRPr="00023C6C">
              <w:tab/>
              <w:t>Assess gathered information and assigned priorities in consultation with the client using knowledge and experience and theoretical principles</w:t>
            </w:r>
          </w:p>
          <w:p w:rsidR="00000000" w:rsidRPr="00023C6C" w:rsidP="00023C6C">
            <w:pPr>
              <w:pStyle w:val="BodyText"/>
            </w:pPr>
            <w:r w:rsidRPr="00023C6C">
              <w:t>1.4</w:t>
            </w:r>
            <w:r w:rsidRPr="00023C6C">
              <w:tab/>
              <w:t xml:space="preserve">Gather, record and organise information in a way which can be interpreted readily by other professionals </w:t>
            </w:r>
          </w:p>
          <w:p w:rsidR="00000000" w:rsidRPr="00023C6C" w:rsidP="00023C6C">
            <w:pPr>
              <w:pStyle w:val="BodyText"/>
            </w:pPr>
            <w:r w:rsidRPr="00023C6C">
              <w:t>1.5</w:t>
            </w:r>
            <w:r w:rsidRPr="00023C6C">
              <w:tab/>
              <w:t xml:space="preserve">Apply the principles of evaluation to identify the condition according to ayurvedic  stage and related implications </w:t>
            </w:r>
          </w:p>
          <w:p w:rsidR="00000000" w:rsidRPr="00023C6C" w:rsidP="00023C6C">
            <w:pPr>
              <w:pStyle w:val="BodyText"/>
            </w:pPr>
            <w:r w:rsidRPr="00023C6C">
              <w:t>1.6</w:t>
            </w:r>
            <w:r w:rsidRPr="00023C6C">
              <w:tab/>
              <w:t>Use professional jud</w:t>
            </w:r>
            <w:r w:rsidRPr="00023C6C">
              <w:t>gement to draw sound conclusions and prognosis from the data collected</w:t>
            </w:r>
          </w:p>
          <w:p w:rsidR="00000000" w:rsidRPr="00023C6C" w:rsidP="00023C6C">
            <w:pPr>
              <w:pStyle w:val="BodyText"/>
            </w:pPr>
            <w:r w:rsidRPr="00023C6C">
              <w:t>1.7</w:t>
            </w:r>
            <w:r w:rsidRPr="00023C6C">
              <w:tab/>
              <w:t>Elicit diagnostic signs and symptoms in a thorough and objective manner to avoid premature conclusions</w:t>
            </w:r>
          </w:p>
          <w:p w:rsidR="00000000" w:rsidP="00023C6C">
            <w:pPr>
              <w:pStyle w:val="BodyText"/>
              <w:rPr>
                <w:lang w:val="en-NZ"/>
              </w:rPr>
            </w:pPr>
            <w:r w:rsidRPr="00023C6C">
              <w:t>1.8</w:t>
            </w:r>
            <w:r w:rsidRPr="00023C6C">
              <w:tab/>
              <w:t>Systematically monitor the client's progress is in order to confirm the in</w:t>
            </w:r>
            <w:r w:rsidRPr="00023C6C">
              <w:t>itial diagnosis or clinical impression</w:t>
            </w:r>
          </w:p>
        </w:tc>
      </w:tr>
      <w:tr w:rsidTr="009174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C6C">
            <w:pPr>
              <w:pStyle w:val="List"/>
              <w:rPr>
                <w:lang w:val="en-NZ"/>
              </w:rPr>
            </w:pPr>
            <w:r w:rsidRPr="00023C6C">
              <w:t>2.</w:t>
            </w:r>
            <w:r w:rsidRPr="00023C6C">
              <w:tab/>
              <w:t>Critically evaluate the diagnosis</w:t>
            </w:r>
          </w:p>
        </w:tc>
        <w:tc>
          <w:tcPr>
            <w:tcW w:w="5702"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2.1</w:t>
            </w:r>
            <w:r w:rsidRPr="00023C6C">
              <w:tab/>
              <w:t>Apply a critical evaluation of ayurvedic diagnosis in an ongoing manner</w:t>
            </w:r>
          </w:p>
          <w:p w:rsidR="00000000" w:rsidRPr="00023C6C" w:rsidP="00023C6C">
            <w:pPr>
              <w:pStyle w:val="BodyText"/>
            </w:pPr>
            <w:r w:rsidRPr="00023C6C">
              <w:t>2.2</w:t>
            </w:r>
            <w:r w:rsidRPr="00023C6C">
              <w:tab/>
              <w:t xml:space="preserve">Select appropriate diagnostic ayurvedic tools/methods </w:t>
            </w:r>
          </w:p>
          <w:p w:rsidR="00000000" w:rsidRPr="00023C6C" w:rsidP="00023C6C">
            <w:pPr>
              <w:pStyle w:val="BodyText"/>
            </w:pPr>
            <w:r w:rsidRPr="00023C6C">
              <w:t>2.3</w:t>
            </w:r>
            <w:r w:rsidRPr="00023C6C">
              <w:tab/>
            </w:r>
            <w:r w:rsidRPr="00023C6C">
              <w:t xml:space="preserve">Carry out a re-evaluation of the case whenever considered necessary </w:t>
            </w:r>
          </w:p>
          <w:p w:rsidR="00000000" w:rsidP="00023C6C">
            <w:pPr>
              <w:pStyle w:val="BodyText"/>
              <w:rPr>
                <w:lang w:val="en-NZ"/>
              </w:rPr>
            </w:pPr>
            <w:r w:rsidRPr="00023C6C">
              <w:t>2.4</w:t>
            </w:r>
            <w:r w:rsidRPr="00023C6C">
              <w:tab/>
              <w:t>Effectively combine history and clinical data to obtain a differential diagnosis, diagnosis and prognosis</w:t>
            </w:r>
          </w:p>
        </w:tc>
      </w:tr>
      <w:tr w:rsidTr="009174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C6C">
            <w:pPr>
              <w:pStyle w:val="List"/>
              <w:rPr>
                <w:lang w:val="en-NZ"/>
              </w:rPr>
            </w:pPr>
            <w:r w:rsidRPr="00023C6C">
              <w:t>3.</w:t>
            </w:r>
            <w:r w:rsidRPr="00023C6C">
              <w:tab/>
              <w:t>Inform the client</w:t>
            </w:r>
          </w:p>
        </w:tc>
        <w:tc>
          <w:tcPr>
            <w:tcW w:w="5702"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3.1</w:t>
            </w:r>
            <w:r w:rsidRPr="00023C6C">
              <w:tab/>
              <w:t>Discuss the rationale of the diagnosis/prognosis</w:t>
            </w:r>
            <w:r w:rsidRPr="00023C6C">
              <w:t xml:space="preserve"> with the client</w:t>
            </w:r>
          </w:p>
          <w:p w:rsidR="00000000" w:rsidRPr="00023C6C" w:rsidP="00023C6C">
            <w:pPr>
              <w:pStyle w:val="BodyText"/>
            </w:pPr>
            <w:r w:rsidRPr="00023C6C">
              <w:t>3.2</w:t>
            </w:r>
            <w:r w:rsidRPr="00023C6C">
              <w:tab/>
              <w:t>Respond to client enquiries using language the client understands</w:t>
            </w:r>
          </w:p>
          <w:p w:rsidR="00000000" w:rsidP="00023C6C">
            <w:pPr>
              <w:pStyle w:val="BodyText"/>
              <w:rPr>
                <w:lang w:val="en-NZ"/>
              </w:rPr>
            </w:pPr>
            <w:r w:rsidRPr="00023C6C">
              <w:t>3.3</w:t>
            </w:r>
            <w:r w:rsidRPr="00023C6C">
              <w:tab/>
              <w:t>Discuss referral and collaborative options with the client if necessary</w:t>
            </w:r>
          </w:p>
        </w:tc>
      </w:tr>
      <w:tr w:rsidTr="009174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23C6C" w:rsidP="00023C6C">
            <w:pPr>
              <w:pStyle w:val="BodyText"/>
            </w:pPr>
          </w:p>
        </w:tc>
      </w:tr>
    </w:tbl>
    <w:p w:rsidR="00917459" w:rsidP="00023C6C">
      <w:pPr>
        <w:pStyle w:val="BodyText"/>
      </w:pPr>
    </w:p>
    <w:p w:rsidR="00917459" w:rsidP="00023C6C">
      <w:pPr>
        <w:pStyle w:val="BodyText"/>
      </w:pPr>
    </w:p>
    <w:p w:rsidR="00000000" w:rsidRPr="00023C6C" w:rsidP="00023C6C">
      <w:pPr>
        <w:pStyle w:val="Heading1"/>
      </w:pPr>
      <w:bookmarkStart w:id="9" w:name="O_259722"/>
      <w:bookmarkEnd w:id="9"/>
      <w:r w:rsidRPr="00023C6C">
        <w:t>Required Skills and Knowledge</w:t>
      </w:r>
    </w:p>
    <w:tbl>
      <w:tblPr>
        <w:tblW w:w="0" w:type="auto"/>
        <w:tblLayout w:type="fixed"/>
        <w:tblCellMar>
          <w:left w:w="62" w:type="dxa"/>
          <w:right w:w="62" w:type="dxa"/>
        </w:tblCellMar>
        <w:tblLook w:val="0000"/>
      </w:tblPr>
      <w:tblGrid>
        <w:gridCol w:w="9072"/>
      </w:tblGrid>
      <w:tr w:rsidTr="0091745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SpecialBold"/>
              </w:rPr>
              <w:t>REQUIRED SKILLS AND KNOWLEDGE</w:t>
            </w:r>
          </w:p>
        </w:tc>
      </w:tr>
      <w:tr w:rsidTr="009174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t>This describes the essential skills and knowledge and their level required for this unit.</w:t>
            </w:r>
          </w:p>
        </w:tc>
      </w:tr>
      <w:tr w:rsidTr="009174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rPr>
                <w:rStyle w:val="Emphasis"/>
              </w:rPr>
              <w:t>Essential knowledge</w:t>
            </w:r>
            <w:r w:rsidRPr="00023C6C">
              <w:t>:</w:t>
            </w:r>
          </w:p>
          <w:p w:rsidR="00000000" w:rsidRPr="00023C6C" w:rsidP="00023C6C">
            <w:pPr>
              <w:pStyle w:val="BodyText"/>
            </w:pPr>
            <w:r w:rsidRPr="00023C6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23C6C" w:rsidP="00023C6C">
            <w:pPr>
              <w:pStyle w:val="BodyText"/>
            </w:pPr>
            <w:r w:rsidRPr="00023C6C">
              <w:t xml:space="preserve">This includes </w:t>
            </w:r>
            <w:r w:rsidRPr="00023C6C">
              <w:t>knowledge of:</w:t>
            </w:r>
          </w:p>
          <w:p w:rsidR="00000000" w:rsidRPr="00023C6C" w:rsidP="00023C6C">
            <w:pPr>
              <w:pStyle w:val="ListBullet"/>
            </w:pPr>
            <w:r w:rsidRPr="00023C6C">
              <w:t>Aetiology</w:t>
            </w:r>
          </w:p>
          <w:p w:rsidR="00000000" w:rsidRPr="00023C6C" w:rsidP="00023C6C">
            <w:pPr>
              <w:pStyle w:val="ListBullet"/>
            </w:pPr>
            <w:r w:rsidRPr="00023C6C">
              <w:t>Anatomy and physiology of the body systems</w:t>
            </w:r>
          </w:p>
          <w:p w:rsidR="00000000" w:rsidRPr="00023C6C" w:rsidP="00023C6C">
            <w:pPr>
              <w:pStyle w:val="ListBullet"/>
            </w:pPr>
            <w:r w:rsidRPr="00023C6C">
              <w:t>Ayurvedic disease process</w:t>
            </w:r>
          </w:p>
          <w:p w:rsidR="00000000" w:rsidRPr="00023C6C" w:rsidP="00023C6C">
            <w:pPr>
              <w:pStyle w:val="ListBullet"/>
            </w:pPr>
            <w:r w:rsidRPr="00023C6C">
              <w:t>Ayurvedic clinical sciences:</w:t>
            </w:r>
          </w:p>
          <w:p w:rsidR="00000000" w:rsidRPr="00023C6C" w:rsidP="00023C6C">
            <w:pPr>
              <w:pStyle w:val="ListBullet2"/>
            </w:pPr>
            <w:r w:rsidRPr="00023C6C">
              <w:t>ENT disorders (shalakya tantra)</w:t>
            </w:r>
          </w:p>
          <w:p w:rsidR="00000000" w:rsidRPr="00023C6C" w:rsidP="00023C6C">
            <w:pPr>
              <w:pStyle w:val="ListBullet2"/>
            </w:pPr>
            <w:r w:rsidRPr="00023C6C">
              <w:t>external medicine (bahya chikitsa)</w:t>
            </w:r>
          </w:p>
          <w:p w:rsidR="00000000" w:rsidRPr="00023C6C" w:rsidP="00023C6C">
            <w:pPr>
              <w:pStyle w:val="ListBullet2"/>
            </w:pPr>
            <w:r w:rsidRPr="00023C6C">
              <w:t>internal medicine (kayachikitsa)</w:t>
            </w:r>
          </w:p>
          <w:p w:rsidR="00000000" w:rsidRPr="00023C6C" w:rsidP="00023C6C">
            <w:pPr>
              <w:pStyle w:val="ListBullet2"/>
            </w:pPr>
            <w:r w:rsidRPr="00023C6C">
              <w:t>paediatrics (kaumarabhritya)</w:t>
            </w:r>
          </w:p>
          <w:p w:rsidR="00000000" w:rsidRPr="00023C6C" w:rsidP="00023C6C">
            <w:pPr>
              <w:pStyle w:val="ListBullet2"/>
            </w:pPr>
            <w:r w:rsidRPr="00023C6C">
              <w:t>psychology/psychiatry (bhutavidya)</w:t>
            </w:r>
          </w:p>
          <w:p w:rsidR="00000000" w:rsidRPr="00023C6C" w:rsidP="00023C6C">
            <w:pPr>
              <w:pStyle w:val="ListBullet2"/>
            </w:pPr>
            <w:r w:rsidRPr="00023C6C">
              <w:t>rejuvenation (rasayana)</w:t>
            </w:r>
          </w:p>
          <w:p w:rsidR="00000000" w:rsidRPr="00023C6C" w:rsidP="00023C6C">
            <w:pPr>
              <w:pStyle w:val="ListBullet2"/>
            </w:pPr>
            <w:r w:rsidRPr="00023C6C">
              <w:t>toxicology (agada tantra)</w:t>
            </w:r>
          </w:p>
          <w:p w:rsidR="00000000" w:rsidRPr="00023C6C" w:rsidP="00023C6C">
            <w:pPr>
              <w:pStyle w:val="ListBullet2"/>
            </w:pPr>
            <w:r w:rsidRPr="00023C6C">
              <w:t>vajikarana</w:t>
            </w:r>
          </w:p>
          <w:p w:rsidR="00000000" w:rsidRPr="00023C6C" w:rsidP="00023C6C">
            <w:pPr>
              <w:pStyle w:val="ListBullet"/>
            </w:pPr>
            <w:r w:rsidRPr="00023C6C">
              <w:t>Essential theories of ayurveda</w:t>
            </w:r>
          </w:p>
          <w:p w:rsidR="00000000" w:rsidRPr="00023C6C" w:rsidP="00023C6C">
            <w:pPr>
              <w:pStyle w:val="ListBullet2"/>
            </w:pPr>
            <w:r w:rsidRPr="00023C6C">
              <w:t>agni</w:t>
            </w:r>
          </w:p>
          <w:p w:rsidR="00000000" w:rsidRPr="00023C6C" w:rsidP="00023C6C">
            <w:pPr>
              <w:pStyle w:val="ListBullet2"/>
            </w:pPr>
            <w:r w:rsidRPr="00023C6C">
              <w:t>ama</w:t>
            </w:r>
          </w:p>
          <w:p w:rsidR="00000000" w:rsidRPr="00023C6C" w:rsidP="00023C6C">
            <w:pPr>
              <w:pStyle w:val="ListBullet2"/>
            </w:pPr>
            <w:r w:rsidRPr="00023C6C">
              <w:t>assessment of ojas</w:t>
            </w:r>
          </w:p>
          <w:p w:rsidR="00000000" w:rsidRPr="00023C6C" w:rsidP="00023C6C">
            <w:pPr>
              <w:pStyle w:val="ListBullet2"/>
            </w:pPr>
            <w:r w:rsidRPr="00023C6C">
              <w:t>ayurvedic tissues (dhatus)</w:t>
            </w:r>
          </w:p>
          <w:p w:rsidR="00000000" w:rsidRPr="00023C6C" w:rsidP="00023C6C">
            <w:pPr>
              <w:pStyle w:val="ListBullet2"/>
            </w:pPr>
            <w:r w:rsidRPr="00023C6C">
              <w:t>constitutions (prakruti)</w:t>
            </w:r>
          </w:p>
          <w:p w:rsidR="00000000" w:rsidRPr="00023C6C" w:rsidP="00023C6C">
            <w:pPr>
              <w:pStyle w:val="ListBullet2"/>
            </w:pPr>
            <w:r w:rsidRPr="00023C6C">
              <w:t>malas</w:t>
            </w:r>
          </w:p>
          <w:p w:rsidR="00000000" w:rsidRPr="00023C6C" w:rsidP="00023C6C">
            <w:pPr>
              <w:pStyle w:val="ListBullet2"/>
            </w:pPr>
            <w:r w:rsidRPr="00023C6C">
              <w:t>srotas</w:t>
            </w:r>
          </w:p>
          <w:p w:rsidR="00000000" w:rsidRPr="00023C6C" w:rsidP="00023C6C">
            <w:pPr>
              <w:pStyle w:val="ListBullet2"/>
            </w:pPr>
            <w:r w:rsidRPr="00023C6C">
              <w:t>subtle life force (prana, ojas, tejas)</w:t>
            </w:r>
          </w:p>
          <w:p w:rsidR="00000000" w:rsidRPr="00023C6C" w:rsidP="00023C6C">
            <w:pPr>
              <w:pStyle w:val="ListBullet2"/>
            </w:pPr>
            <w:r w:rsidRPr="00023C6C">
              <w:t>the five prime elements (pancha mahabhutas)</w:t>
            </w:r>
          </w:p>
          <w:p w:rsidR="00000000" w:rsidRPr="00023C6C" w:rsidP="00023C6C">
            <w:pPr>
              <w:pStyle w:val="ListBullet2"/>
            </w:pPr>
            <w:r w:rsidRPr="00023C6C">
              <w:t>tridosha</w:t>
            </w:r>
          </w:p>
          <w:p w:rsidR="00000000" w:rsidRPr="00023C6C" w:rsidP="00023C6C">
            <w:pPr>
              <w:pStyle w:val="ListBullet2"/>
            </w:pPr>
            <w:r w:rsidRPr="00023C6C">
              <w:t>triguna</w:t>
            </w:r>
          </w:p>
          <w:p w:rsidR="00000000" w:rsidRPr="00023C6C" w:rsidP="00023C6C">
            <w:pPr>
              <w:pStyle w:val="ListBullet2"/>
            </w:pPr>
            <w:r w:rsidRPr="00023C6C">
              <w:t>twenty opposites (guna dvandva)</w:t>
            </w:r>
          </w:p>
          <w:p w:rsidR="00000000" w:rsidRPr="00023C6C" w:rsidP="00023C6C">
            <w:pPr>
              <w:pStyle w:val="ListBullet"/>
            </w:pPr>
            <w:r w:rsidRPr="00023C6C">
              <w:t>Orthodox medical diagnoses and pathology</w:t>
            </w:r>
          </w:p>
          <w:p w:rsidR="00000000" w:rsidRPr="00023C6C" w:rsidP="00023C6C">
            <w:pPr>
              <w:pStyle w:val="ListBullet"/>
            </w:pPr>
            <w:r w:rsidRPr="00023C6C">
              <w:t>Relevant testing and assessment options and procedures</w:t>
            </w:r>
          </w:p>
          <w:p w:rsidR="00000000" w:rsidRPr="00023C6C" w:rsidP="00023C6C">
            <w:pPr>
              <w:pStyle w:val="ListBullet"/>
            </w:pPr>
            <w:r w:rsidRPr="00023C6C">
              <w:t>Signs and symptoms of disea</w:t>
            </w:r>
            <w:r w:rsidRPr="00023C6C">
              <w:t>se and disorder/dysfunction</w:t>
            </w:r>
          </w:p>
          <w:p w:rsidR="00000000" w:rsidRPr="00023C6C" w:rsidP="00023C6C">
            <w:pPr>
              <w:pStyle w:val="ListBullet"/>
            </w:pPr>
            <w:r w:rsidRPr="00023C6C">
              <w:t>The contribution of the different schools of thought and historical theories of clinical practice</w:t>
            </w:r>
          </w:p>
          <w:p w:rsidR="00000000" w:rsidRPr="00023C6C" w:rsidP="00023C6C">
            <w:pPr>
              <w:pStyle w:val="ListBullet"/>
            </w:pPr>
            <w:r w:rsidRPr="00023C6C">
              <w:t>The six stages of disease</w:t>
            </w:r>
          </w:p>
          <w:p w:rsidR="00000000" w:rsidP="00023C6C">
            <w:pPr>
              <w:pStyle w:val="ListBullet"/>
              <w:rPr>
                <w:lang w:val="en-NZ"/>
              </w:rPr>
            </w:pPr>
            <w:r w:rsidRPr="00023C6C">
              <w:t>Types of further investigation available</w:t>
            </w:r>
          </w:p>
        </w:tc>
      </w:tr>
      <w:tr w:rsidTr="009174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rPr>
                <w:rStyle w:val="Emphasis"/>
              </w:rPr>
              <w:t>Essential skills</w:t>
            </w:r>
            <w:r w:rsidRPr="00023C6C">
              <w:t>:</w:t>
            </w:r>
          </w:p>
          <w:p w:rsidR="00000000" w:rsidRPr="00023C6C" w:rsidP="00023C6C">
            <w:pPr>
              <w:pStyle w:val="BodyText"/>
            </w:pPr>
            <w:r w:rsidRPr="00023C6C">
              <w:t>It is critical that the candidate demonstrate the ability to effectively do the task outlined in elements and performance criteria of this unit, manage the task and manage contingencies in the context of the identified work role</w:t>
            </w:r>
          </w:p>
          <w:p w:rsidR="00000000" w:rsidRPr="00023C6C" w:rsidP="00023C6C">
            <w:pPr>
              <w:pStyle w:val="BodyText"/>
            </w:pPr>
            <w:r w:rsidRPr="00023C6C">
              <w:t>This includes the ability t</w:t>
            </w:r>
            <w:r w:rsidRPr="00023C6C">
              <w:t>o:</w:t>
            </w:r>
          </w:p>
          <w:p w:rsidR="00000000" w:rsidRPr="00023C6C" w:rsidP="00023C6C">
            <w:pPr>
              <w:pStyle w:val="ListBullet"/>
            </w:pPr>
            <w:r w:rsidRPr="00023C6C">
              <w:t>Access and interpret up-to-date information</w:t>
            </w:r>
          </w:p>
          <w:p w:rsidR="00000000" w:rsidRPr="00023C6C" w:rsidP="00023C6C">
            <w:pPr>
              <w:pStyle w:val="ListBullet"/>
            </w:pPr>
            <w:r w:rsidRPr="00023C6C">
              <w:t>Apply ayurvedic differential diagnosis</w:t>
            </w:r>
          </w:p>
          <w:p w:rsidR="00000000" w:rsidRPr="00023C6C" w:rsidP="00023C6C">
            <w:pPr>
              <w:pStyle w:val="ListBullet"/>
            </w:pPr>
            <w:r w:rsidRPr="00023C6C">
              <w:t>Apply knowledge of referral process</w:t>
            </w:r>
          </w:p>
          <w:p w:rsidR="00000000" w:rsidRPr="00023C6C" w:rsidP="00023C6C">
            <w:pPr>
              <w:pStyle w:val="ListBullet"/>
            </w:pPr>
            <w:r w:rsidRPr="00023C6C">
              <w:t>Demonstrate differential diagnostic skills</w:t>
            </w:r>
          </w:p>
          <w:p w:rsidR="00000000" w:rsidRPr="00023C6C" w:rsidP="00023C6C">
            <w:pPr>
              <w:pStyle w:val="ListBullet"/>
            </w:pPr>
            <w:r w:rsidRPr="00023C6C">
              <w:t>Establish urgency for treatment required</w:t>
            </w:r>
          </w:p>
          <w:p w:rsidR="00000000" w:rsidRPr="00023C6C" w:rsidP="00023C6C">
            <w:pPr>
              <w:pStyle w:val="ListBullet"/>
            </w:pPr>
            <w:r w:rsidRPr="00023C6C">
              <w:t>Identify prophylactic measures</w:t>
            </w:r>
          </w:p>
          <w:p w:rsidR="00000000" w:rsidRPr="00023C6C" w:rsidP="00023C6C">
            <w:pPr>
              <w:pStyle w:val="ListBullet"/>
            </w:pPr>
            <w:r w:rsidRPr="00023C6C">
              <w:t>Interpret investig</w:t>
            </w:r>
            <w:r w:rsidRPr="00023C6C">
              <w:t>ative findings</w:t>
            </w:r>
          </w:p>
          <w:p w:rsidR="00000000" w:rsidRPr="00023C6C" w:rsidP="00023C6C">
            <w:pPr>
              <w:pStyle w:val="ListBullet"/>
            </w:pPr>
            <w:r w:rsidRPr="00023C6C">
              <w:t>Prioritise presenting conditions</w:t>
            </w:r>
          </w:p>
          <w:p w:rsidR="00000000" w:rsidRPr="00023C6C" w:rsidP="00023C6C">
            <w:pPr>
              <w:pStyle w:val="ListBullet"/>
            </w:pPr>
            <w:r w:rsidRPr="00023C6C">
              <w:t>Write referrals, appraisal letters for insurance companies and other documentation</w:t>
            </w:r>
          </w:p>
        </w:tc>
      </w:tr>
    </w:tbl>
    <w:p w:rsidR="00917459" w:rsidP="00023C6C">
      <w:pPr>
        <w:pStyle w:val="BodyText"/>
      </w:pPr>
    </w:p>
    <w:p w:rsidR="00917459" w:rsidP="00023C6C">
      <w:pPr>
        <w:pStyle w:val="BodyText"/>
      </w:pPr>
    </w:p>
    <w:p w:rsidR="00000000" w:rsidRPr="00023C6C" w:rsidP="00023C6C">
      <w:pPr>
        <w:pStyle w:val="Heading1"/>
      </w:pPr>
      <w:bookmarkStart w:id="10" w:name="O_243756"/>
      <w:bookmarkEnd w:id="10"/>
      <w:r w:rsidRPr="00023C6C">
        <w:t>Evidence Guide</w:t>
      </w:r>
    </w:p>
    <w:tbl>
      <w:tblPr>
        <w:tblW w:w="0" w:type="auto"/>
        <w:tblLayout w:type="fixed"/>
        <w:tblCellMar>
          <w:left w:w="62" w:type="dxa"/>
          <w:right w:w="62" w:type="dxa"/>
        </w:tblCellMar>
        <w:tblLook w:val="0000"/>
      </w:tblPr>
      <w:tblGrid>
        <w:gridCol w:w="3402"/>
        <w:gridCol w:w="5670"/>
      </w:tblGrid>
      <w:tr w:rsidTr="009174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SpecialBold"/>
              </w:rPr>
              <w:t>EVIDENCE GUIDE</w:t>
            </w:r>
          </w:p>
        </w:tc>
      </w:tr>
      <w:tr w:rsidTr="009174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t>The evidence guide provides advice on assessment and must be read in conjunction with the Performance Criteria, Required Skills and Knowledge, the Range Statement and the Assessment Guidelines for this Training Package.</w:t>
            </w:r>
          </w:p>
        </w:tc>
      </w:tr>
      <w:tr w:rsidTr="009174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Emphasis"/>
              </w:rPr>
              <w:t>Critical aspects for assessment</w:t>
            </w:r>
            <w:r w:rsidRPr="00023C6C">
              <w:rPr>
                <w:rStyle w:val="Emphasis"/>
              </w:rPr>
              <w:t xml:space="preserve"> and evidence required to demonstrate this competency unit</w:t>
            </w:r>
            <w:r w:rsidRPr="00023C6C">
              <w:t xml:space="preserve">: </w:t>
            </w: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ListBullet"/>
            </w:pPr>
            <w:r w:rsidRPr="00023C6C">
              <w:t>The individual being assessed must provide evidence of specified essential knowledge as well as skills</w:t>
            </w:r>
          </w:p>
          <w:p w:rsidR="00000000" w:rsidRPr="00023C6C" w:rsidP="00023C6C">
            <w:pPr>
              <w:pStyle w:val="ListBullet"/>
            </w:pPr>
            <w:r w:rsidRPr="00023C6C">
              <w:t>Observation of performance in the workplace or a simulated workplace (defined as a supervised clinic) is essential for assessment of this unit</w:t>
            </w:r>
          </w:p>
          <w:p w:rsidR="00000000" w:rsidRPr="00023C6C" w:rsidP="00023C6C">
            <w:pPr>
              <w:pStyle w:val="ListBullet"/>
            </w:pPr>
            <w:r w:rsidRPr="00023C6C">
              <w:t>Consistency of performance should be demonstrated over a range of workplace situations</w:t>
            </w:r>
          </w:p>
          <w:p w:rsidR="00000000" w:rsidRPr="00023C6C" w:rsidP="00023C6C">
            <w:pPr>
              <w:pStyle w:val="ListBullet"/>
            </w:pPr>
            <w:r w:rsidRPr="00023C6C">
              <w:t>Assessment may contain bot</w:t>
            </w:r>
            <w:r w:rsidRPr="00023C6C">
              <w:t>h theoretical and practical components and examples covering a range of clinical situations</w:t>
            </w:r>
          </w:p>
          <w:p w:rsidR="00000000" w:rsidRPr="00023C6C" w:rsidP="00023C6C">
            <w:pPr>
              <w:pStyle w:val="ListBullet"/>
            </w:pPr>
            <w:r w:rsidRPr="00023C6C">
              <w:t>Evidence is required of both knowledge and skills application</w:t>
            </w:r>
          </w:p>
          <w:p w:rsidR="00000000" w:rsidRPr="00023C6C" w:rsidP="00023C6C">
            <w:pPr>
              <w:pStyle w:val="ListBullet"/>
            </w:pPr>
            <w:r w:rsidRPr="00023C6C">
              <w:t>Assessment of sole practitioners must include a range of clinical situations and different client grou</w:t>
            </w:r>
            <w:r w:rsidRPr="00023C6C">
              <w:t>ps covering at minimum, age, culture and gender</w:t>
            </w:r>
          </w:p>
          <w:p w:rsidR="00000000" w:rsidRPr="00023C6C" w:rsidP="00023C6C">
            <w:pPr>
              <w:pStyle w:val="ListBullet"/>
            </w:pPr>
            <w:r w:rsidRPr="00023C6C">
              <w:t>Assessment of sole practitioners must consider their unique workplace context, including:</w:t>
            </w:r>
          </w:p>
          <w:p w:rsidR="00000000" w:rsidRPr="00023C6C" w:rsidP="00023C6C">
            <w:pPr>
              <w:pStyle w:val="ListBullet2"/>
            </w:pPr>
            <w:r w:rsidRPr="00023C6C">
              <w:t>interaction with others in the broader professional community as part of the sole practitioner's workplace</w:t>
            </w:r>
          </w:p>
          <w:p w:rsidR="00000000" w:rsidRPr="00023C6C" w:rsidP="00023C6C">
            <w:pPr>
              <w:pStyle w:val="ListBullet2"/>
            </w:pPr>
            <w:r w:rsidRPr="00023C6C">
              <w:t>scope of p</w:t>
            </w:r>
            <w:r w:rsidRPr="00023C6C">
              <w:t>ractice as detailed in the qualification and component competency units</w:t>
            </w:r>
          </w:p>
          <w:p w:rsidR="00000000" w:rsidRPr="00023C6C" w:rsidP="00023C6C">
            <w:pPr>
              <w:pStyle w:val="ListBullet2"/>
            </w:pPr>
            <w:r w:rsidRPr="00023C6C">
              <w:t>holistic/integrated assessment including:</w:t>
            </w:r>
          </w:p>
          <w:p w:rsidR="00000000" w:rsidRPr="00023C6C" w:rsidP="00023C6C">
            <w:pPr>
              <w:pStyle w:val="ListBullet2"/>
            </w:pPr>
            <w:r w:rsidRPr="00023C6C">
              <w:t>working within the practice framework</w:t>
            </w:r>
          </w:p>
          <w:p w:rsidR="00000000" w:rsidRPr="00023C6C" w:rsidP="00023C6C">
            <w:pPr>
              <w:pStyle w:val="ListBullet2"/>
            </w:pPr>
            <w:r w:rsidRPr="00023C6C">
              <w:t>performing a health assessment</w:t>
            </w:r>
          </w:p>
          <w:p w:rsidR="00000000" w:rsidRPr="00023C6C" w:rsidP="00023C6C">
            <w:pPr>
              <w:pStyle w:val="ListBullet2"/>
            </w:pPr>
            <w:r w:rsidRPr="00023C6C">
              <w:t>assessing the client</w:t>
            </w:r>
          </w:p>
          <w:p w:rsidR="00000000" w:rsidRPr="00023C6C" w:rsidP="00023C6C">
            <w:pPr>
              <w:pStyle w:val="ListBullet2"/>
            </w:pPr>
            <w:r w:rsidRPr="00023C6C">
              <w:t>planning treatment</w:t>
            </w:r>
          </w:p>
          <w:p w:rsidR="00000000" w:rsidP="00023C6C">
            <w:pPr>
              <w:pStyle w:val="ListBullet2"/>
              <w:rPr>
                <w:lang w:val="en-NZ"/>
              </w:rPr>
            </w:pPr>
            <w:r w:rsidRPr="00023C6C">
              <w:t>providing treatment</w:t>
            </w: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Emphasis"/>
              </w:rPr>
              <w:t>Access and equity considerations</w:t>
            </w:r>
            <w:r w:rsidRPr="00023C6C">
              <w:t>:</w:t>
            </w: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ListBullet"/>
            </w:pPr>
            <w:r w:rsidRPr="00023C6C">
              <w:t>All workers in the health industry should be aware of access and equity issues in relation to their own area of work</w:t>
            </w:r>
          </w:p>
          <w:p w:rsidR="00000000" w:rsidRPr="00023C6C" w:rsidP="00023C6C">
            <w:pPr>
              <w:pStyle w:val="ListBullet"/>
            </w:pPr>
            <w:r w:rsidRPr="00023C6C">
              <w:t xml:space="preserve">All workers should develop their ability to work in a culturally diverse environment </w:t>
            </w:r>
          </w:p>
          <w:p w:rsidR="00000000" w:rsidRPr="00023C6C" w:rsidP="00023C6C">
            <w:pPr>
              <w:pStyle w:val="ListBullet"/>
            </w:pPr>
            <w:r w:rsidRPr="00023C6C">
              <w:t>In recognition of particular health issues facing Aboriginal and Torres Strait Islander communities, workers should be aware of cultural, historical and current issues impacting on health of Aboriginal and Torres Strait Islander people</w:t>
            </w:r>
          </w:p>
          <w:p w:rsidR="00000000" w:rsidP="00023C6C">
            <w:pPr>
              <w:pStyle w:val="ListBullet"/>
              <w:rPr>
                <w:lang w:val="en-NZ"/>
              </w:rPr>
            </w:pPr>
            <w:r w:rsidRPr="00023C6C">
              <w:t>Assessors and traine</w:t>
            </w:r>
            <w:r w:rsidRPr="00023C6C">
              <w:t>rs must take into account relevant access and equity issues, in particular relating to factors impacting on health of Aboriginal and/or Torres Strait Islander clients and communities</w:t>
            </w: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Emphasis"/>
              </w:rPr>
              <w:t>Context of and specific resources for assessment</w:t>
            </w:r>
            <w:r w:rsidRPr="00023C6C">
              <w:t xml:space="preserve">: </w:t>
            </w: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ListBullet"/>
            </w:pPr>
            <w:r w:rsidRPr="00023C6C">
              <w:t>Assessment should</w:t>
            </w:r>
            <w:r w:rsidRPr="00023C6C">
              <w:t xml:space="preserve"> replicate workplace conditions as far as possible</w:t>
            </w:r>
          </w:p>
          <w:p w:rsidR="00000000" w:rsidRPr="00023C6C" w:rsidP="00023C6C">
            <w:pPr>
              <w:pStyle w:val="ListBullet"/>
            </w:pPr>
            <w:r w:rsidRPr="00023C6C">
              <w:t>Simulations may be used to represent workplace conditions as closely as possible</w:t>
            </w:r>
          </w:p>
          <w:p w:rsidR="00000000" w:rsidRPr="00023C6C" w:rsidP="00023C6C">
            <w:pPr>
              <w:pStyle w:val="ListBullet"/>
            </w:pPr>
            <w:r w:rsidRPr="00023C6C">
              <w:t>Where, for reasons of safety, access to equipment and resources and space, assessment takes place away from the workplace, s</w:t>
            </w:r>
            <w:r w:rsidRPr="00023C6C">
              <w:t>imulations should be used to represent workplace conditions as closely as possible</w:t>
            </w:r>
          </w:p>
          <w:p w:rsidR="00000000" w:rsidRPr="00023C6C" w:rsidP="00023C6C">
            <w:pPr>
              <w:pStyle w:val="ListBullet"/>
            </w:pPr>
            <w:r w:rsidRPr="00023C6C">
              <w:t>Resources essential for assessment include:</w:t>
            </w:r>
          </w:p>
          <w:p w:rsidR="00000000" w:rsidRPr="00023C6C" w:rsidP="00023C6C">
            <w:pPr>
              <w:pStyle w:val="ListBullet2"/>
            </w:pPr>
            <w:r w:rsidRPr="00023C6C">
              <w:t>an appropriately stocked and equipped clinic or simulated clinic environment</w:t>
            </w:r>
          </w:p>
          <w:p w:rsidR="00000000" w:rsidRPr="00023C6C" w:rsidP="00023C6C">
            <w:pPr>
              <w:pStyle w:val="ListBullet2"/>
            </w:pPr>
            <w:r w:rsidRPr="00023C6C">
              <w:t>relevant texts or medical manuals</w:t>
            </w:r>
          </w:p>
          <w:p w:rsidR="00000000" w:rsidRPr="00023C6C" w:rsidP="00023C6C">
            <w:pPr>
              <w:pStyle w:val="ListBullet2"/>
            </w:pPr>
            <w:r w:rsidRPr="00023C6C">
              <w:t>relevant paper-based assessment instruments</w:t>
            </w:r>
          </w:p>
          <w:p w:rsidR="00000000" w:rsidP="00023C6C">
            <w:pPr>
              <w:pStyle w:val="ListBullet2"/>
              <w:rPr>
                <w:lang w:val="en-NZ"/>
              </w:rPr>
            </w:pPr>
            <w:r w:rsidRPr="00023C6C">
              <w:t>appropriate assessment environment</w:t>
            </w: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Emphasis"/>
              </w:rPr>
              <w:t>Method of assessment</w:t>
            </w:r>
            <w:r w:rsidRPr="00023C6C">
              <w:t xml:space="preserve"> </w:t>
            </w: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ListBullet"/>
            </w:pPr>
            <w:r w:rsidRPr="00023C6C">
              <w:t>Case study and scenario as a basis for discussion of diagnostic technique and strategies to contribute to best practice.</w:t>
            </w:r>
          </w:p>
          <w:p w:rsidR="00000000" w:rsidRPr="00023C6C" w:rsidP="00023C6C">
            <w:pPr>
              <w:pStyle w:val="ListBullet"/>
            </w:pPr>
            <w:r w:rsidRPr="00023C6C">
              <w:t>Diagnosis from assessment notes or simulated assessments</w:t>
            </w:r>
          </w:p>
          <w:p w:rsidR="00000000" w:rsidRPr="00023C6C" w:rsidP="00023C6C">
            <w:pPr>
              <w:pStyle w:val="ListBullet"/>
            </w:pPr>
            <w:r w:rsidRPr="00023C6C">
              <w:t xml:space="preserve">Observation in the work place </w:t>
            </w:r>
          </w:p>
          <w:p w:rsidR="00000000" w:rsidRPr="00023C6C" w:rsidP="00023C6C">
            <w:pPr>
              <w:pStyle w:val="ListBullet"/>
            </w:pPr>
            <w:r w:rsidRPr="00023C6C">
              <w:t>Questioning</w:t>
            </w:r>
          </w:p>
          <w:p w:rsidR="00000000" w:rsidRPr="00023C6C" w:rsidP="00023C6C">
            <w:pPr>
              <w:pStyle w:val="ListBullet"/>
            </w:pPr>
            <w:r w:rsidRPr="00023C6C">
              <w:t>Role play simulation</w:t>
            </w:r>
          </w:p>
          <w:p w:rsidR="00000000" w:rsidRPr="00023C6C" w:rsidP="00023C6C">
            <w:pPr>
              <w:pStyle w:val="ListBullet"/>
            </w:pPr>
            <w:r w:rsidRPr="00023C6C">
              <w:t>Short answer tests</w:t>
            </w:r>
          </w:p>
          <w:p w:rsidR="00000000" w:rsidP="00023C6C">
            <w:pPr>
              <w:pStyle w:val="ListBullet"/>
              <w:rPr>
                <w:lang w:val="en-NZ"/>
              </w:rPr>
            </w:pPr>
            <w:r w:rsidRPr="00023C6C">
              <w:t>Written assignments/projects with practical demonstration</w:t>
            </w: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Emphasis"/>
              </w:rPr>
              <w:t>Related units</w:t>
            </w:r>
            <w:r w:rsidRPr="00023C6C">
              <w:t>:</w:t>
            </w: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BodyText"/>
            </w:pPr>
            <w:r w:rsidRPr="00023C6C">
              <w:t>This unit should be assessed in conjunc</w:t>
            </w:r>
            <w:r w:rsidRPr="00023C6C">
              <w:t>tion with the following related units:</w:t>
            </w:r>
          </w:p>
          <w:p w:rsidR="00000000" w:rsidRPr="00023C6C" w:rsidP="00023C6C">
            <w:pPr>
              <w:pStyle w:val="ListBullet"/>
            </w:pPr>
            <w:r w:rsidRPr="00023C6C">
              <w:t xml:space="preserve">HLTAYV609C Perform ayurvedic health assessment </w:t>
            </w:r>
          </w:p>
          <w:p w:rsidR="00000000" w:rsidP="00023C6C">
            <w:pPr>
              <w:pStyle w:val="ListBullet"/>
              <w:rPr>
                <w:lang w:val="en-NZ"/>
              </w:rPr>
            </w:pPr>
            <w:r w:rsidRPr="00023C6C">
              <w:t>HLTCOM404C Communicate effectively with clients</w:t>
            </w: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BodyText"/>
            </w:pPr>
          </w:p>
        </w:tc>
      </w:tr>
    </w:tbl>
    <w:p w:rsidR="00917459" w:rsidP="00023C6C">
      <w:pPr>
        <w:pStyle w:val="BodyText"/>
      </w:pPr>
    </w:p>
    <w:p w:rsidR="00917459" w:rsidP="00023C6C">
      <w:pPr>
        <w:pStyle w:val="BodyText"/>
      </w:pPr>
    </w:p>
    <w:p w:rsidR="00000000" w:rsidRPr="00023C6C" w:rsidP="00023C6C">
      <w:pPr>
        <w:pStyle w:val="Heading1"/>
      </w:pPr>
      <w:bookmarkStart w:id="11" w:name="O_251739"/>
      <w:bookmarkEnd w:id="11"/>
      <w:r w:rsidRPr="00023C6C">
        <w:t>Range Statement</w:t>
      </w:r>
    </w:p>
    <w:tbl>
      <w:tblPr>
        <w:tblW w:w="0" w:type="auto"/>
        <w:tblLayout w:type="fixed"/>
        <w:tblCellMar>
          <w:left w:w="62" w:type="dxa"/>
          <w:right w:w="62" w:type="dxa"/>
        </w:tblCellMar>
        <w:tblLook w:val="0000"/>
      </w:tblPr>
      <w:tblGrid>
        <w:gridCol w:w="3402"/>
        <w:gridCol w:w="5670"/>
      </w:tblGrid>
      <w:tr w:rsidTr="009174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SpecialBold"/>
              </w:rPr>
              <w:t>RANGE STATEMENT</w:t>
            </w:r>
          </w:p>
        </w:tc>
      </w:tr>
      <w:tr w:rsidTr="009174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t>The Range Statement relates to the unit of competency as a whole.  It allows for different work environments and situations that may affect performance.  Add any essential operating conditions that may be present with training and assessment depending on t</w:t>
            </w:r>
            <w:r w:rsidRPr="00023C6C">
              <w:t>he work situation, needs of the candidate, accessibility of the item, and local industry and regional contexts.</w:t>
            </w: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C6C">
            <w:pPr>
              <w:pStyle w:val="BodyText"/>
              <w:rPr>
                <w:lang w:val="en-NZ"/>
              </w:rPr>
            </w:pPr>
            <w:r w:rsidRPr="00023C6C">
              <w:rPr>
                <w:rStyle w:val="Emphasis"/>
              </w:rPr>
              <w:t>Signs and symptoms of condition may include</w:t>
            </w:r>
            <w:r w:rsidRPr="00023C6C">
              <w:t>:</w:t>
            </w: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ListBullet"/>
            </w:pPr>
            <w:r w:rsidRPr="00023C6C">
              <w:t>Ameliorating and aggravating factors</w:t>
            </w:r>
          </w:p>
          <w:p w:rsidR="00000000" w:rsidRPr="00023C6C" w:rsidP="00023C6C">
            <w:pPr>
              <w:pStyle w:val="ListBullet"/>
            </w:pPr>
            <w:r w:rsidRPr="00023C6C">
              <w:t>Behavioural evidence</w:t>
            </w:r>
          </w:p>
          <w:p w:rsidR="00000000" w:rsidRPr="00023C6C" w:rsidP="00023C6C">
            <w:pPr>
              <w:pStyle w:val="ListBullet"/>
            </w:pPr>
            <w:r w:rsidRPr="00023C6C">
              <w:t>Causation</w:t>
            </w:r>
          </w:p>
          <w:p w:rsidR="00000000" w:rsidRPr="00023C6C" w:rsidP="00023C6C">
            <w:pPr>
              <w:pStyle w:val="ListBullet"/>
            </w:pPr>
            <w:r w:rsidRPr="00023C6C">
              <w:t>Functional and pathological disturbances</w:t>
            </w:r>
          </w:p>
          <w:p w:rsidR="00000000" w:rsidRPr="00023C6C" w:rsidP="00023C6C">
            <w:pPr>
              <w:pStyle w:val="ListBullet"/>
            </w:pPr>
            <w:r w:rsidRPr="00023C6C">
              <w:t>Location</w:t>
            </w:r>
          </w:p>
          <w:p w:rsidR="00000000" w:rsidRPr="00023C6C" w:rsidP="00023C6C">
            <w:pPr>
              <w:pStyle w:val="ListBullet"/>
            </w:pPr>
            <w:r w:rsidRPr="00023C6C">
              <w:t>Non-verbal signs and symptoms</w:t>
            </w:r>
          </w:p>
          <w:p w:rsidR="00000000" w:rsidRPr="00023C6C" w:rsidP="00023C6C">
            <w:pPr>
              <w:pStyle w:val="ListBullet"/>
            </w:pPr>
            <w:r w:rsidRPr="00023C6C">
              <w:t>Onset and duration</w:t>
            </w:r>
          </w:p>
          <w:p w:rsidR="00000000" w:rsidRPr="00023C6C" w:rsidP="00023C6C">
            <w:pPr>
              <w:pStyle w:val="ListBullet"/>
            </w:pPr>
            <w:r w:rsidRPr="00023C6C">
              <w:t>Physical evidence</w:t>
            </w:r>
          </w:p>
          <w:p w:rsidR="00000000" w:rsidRPr="00023C6C" w:rsidP="00023C6C">
            <w:pPr>
              <w:pStyle w:val="ListBullet"/>
            </w:pPr>
            <w:r w:rsidRPr="00023C6C">
              <w:t>Sensations</w:t>
            </w:r>
          </w:p>
          <w:p w:rsidR="00000000" w:rsidRPr="00023C6C" w:rsidP="00023C6C">
            <w:pPr>
              <w:pStyle w:val="ListBullet"/>
            </w:pPr>
            <w:r w:rsidRPr="00023C6C">
              <w:t>States of disorder</w:t>
            </w:r>
          </w:p>
          <w:p w:rsidR="00000000" w:rsidRPr="00023C6C" w:rsidP="00023C6C">
            <w:pPr>
              <w:pStyle w:val="ListBullet"/>
            </w:pPr>
            <w:r w:rsidRPr="00023C6C">
              <w:t>Symptom qualities (intensity, severity, nature of complaint)</w:t>
            </w:r>
          </w:p>
          <w:p w:rsidR="00000000" w:rsidP="00023C6C">
            <w:pPr>
              <w:pStyle w:val="ListBullet"/>
              <w:rPr>
                <w:lang w:val="en-NZ"/>
              </w:rPr>
            </w:pPr>
            <w:r w:rsidRPr="00023C6C">
              <w:t>Test or examination results</w:t>
            </w:r>
          </w:p>
        </w:tc>
      </w:tr>
      <w:tr w:rsidTr="009174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3C6C" w:rsidP="00023C6C">
            <w:pPr>
              <w:pStyle w:val="BodyText"/>
            </w:pPr>
          </w:p>
        </w:tc>
      </w:tr>
    </w:tbl>
    <w:p w:rsidR="00917459" w:rsidP="00023C6C">
      <w:pPr>
        <w:pStyle w:val="BodyText"/>
      </w:pPr>
    </w:p>
    <w:p w:rsidR="00917459" w:rsidP="00023C6C">
      <w:pPr>
        <w:pStyle w:val="BodyText"/>
      </w:pPr>
    </w:p>
    <w:p w:rsidR="00000000" w:rsidRPr="00023C6C" w:rsidP="00023C6C">
      <w:pPr>
        <w:pStyle w:val="Heading1"/>
      </w:pPr>
      <w:bookmarkStart w:id="12" w:name="O_294965"/>
      <w:bookmarkEnd w:id="12"/>
      <w:r w:rsidRPr="00023C6C">
        <w:t>Unit Sector(s)</w:t>
      </w:r>
    </w:p>
    <w:p w:rsidR="00000000" w:rsidRPr="00023C6C" w:rsidP="00023C6C">
      <w:pPr>
        <w:pStyle w:val="BodyText"/>
      </w:pPr>
      <w:r w:rsidRPr="00023C6C">
        <w:t>Not Applicable</w:t>
      </w:r>
    </w:p>
    <w:p w:rsidR="00000000" w:rsidRPr="00023C6C" w:rsidP="00023C6C"/>
    <w:sectPr w:rsidSect="00023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459" w:rsidP="00917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59" w:rsidP="00023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7459" w:rsidP="00023C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17459" w:rsidP="00023C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459" w:rsidP="009174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59" w:rsidP="00023C6C">
    <w:pPr>
      <w:pStyle w:val="Header"/>
      <w:framePr w:wrap="around"/>
    </w:pPr>
    <w:r>
      <w:fldChar w:fldCharType="begin"/>
    </w:r>
    <w:r>
      <w:instrText xml:space="preserve"> TITLE   \* MERGEFORMAT </w:instrText>
    </w:r>
    <w:r>
      <w:fldChar w:fldCharType="separate"/>
    </w:r>
    <w:r>
      <w:t>HLTAYV615C Apply ayurvedic diagnostic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7459" w:rsidP="00023C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4D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E0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223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C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3C6C"/>
    <w:pPr>
      <w:spacing w:before="360" w:after="60"/>
      <w:outlineLvl w:val="0"/>
    </w:pPr>
    <w:rPr>
      <w:sz w:val="32"/>
    </w:rPr>
  </w:style>
  <w:style w:type="paragraph" w:styleId="Heading2">
    <w:name w:val="heading 2"/>
    <w:basedOn w:val="HeadingBase"/>
    <w:next w:val="BodyText"/>
    <w:link w:val="Heading2Char"/>
    <w:qFormat/>
    <w:rsid w:val="00023C6C"/>
    <w:pPr>
      <w:keepLines/>
      <w:spacing w:before="240" w:after="120"/>
      <w:outlineLvl w:val="1"/>
    </w:pPr>
    <w:rPr>
      <w:sz w:val="28"/>
      <w:szCs w:val="40"/>
    </w:rPr>
  </w:style>
  <w:style w:type="paragraph" w:styleId="Heading3">
    <w:name w:val="heading 3"/>
    <w:basedOn w:val="HeadingBase"/>
    <w:next w:val="BodyText"/>
    <w:link w:val="Heading3Char"/>
    <w:qFormat/>
    <w:rsid w:val="00023C6C"/>
    <w:pPr>
      <w:spacing w:before="180" w:after="120"/>
      <w:outlineLvl w:val="2"/>
    </w:pPr>
    <w:rPr>
      <w:spacing w:val="-10"/>
      <w:kern w:val="32"/>
    </w:rPr>
  </w:style>
  <w:style w:type="paragraph" w:styleId="Heading4">
    <w:name w:val="heading 4"/>
    <w:basedOn w:val="HeadingBase"/>
    <w:next w:val="BodyText"/>
    <w:link w:val="Heading4Char"/>
    <w:qFormat/>
    <w:rsid w:val="00023C6C"/>
    <w:pPr>
      <w:spacing w:before="160" w:after="120"/>
      <w:outlineLvl w:val="3"/>
    </w:pPr>
    <w:rPr>
      <w:sz w:val="22"/>
    </w:rPr>
  </w:style>
  <w:style w:type="paragraph" w:styleId="Heading5">
    <w:name w:val="heading 5"/>
    <w:basedOn w:val="HeadingBase"/>
    <w:next w:val="Normal"/>
    <w:link w:val="Heading5Char"/>
    <w:qFormat/>
    <w:rsid w:val="00023C6C"/>
    <w:pPr>
      <w:spacing w:before="80"/>
      <w:outlineLvl w:val="4"/>
    </w:pPr>
    <w:rPr>
      <w:color w:val="918585"/>
      <w:sz w:val="20"/>
    </w:rPr>
  </w:style>
  <w:style w:type="paragraph" w:styleId="Heading6">
    <w:name w:val="heading 6"/>
    <w:basedOn w:val="HeadingBase"/>
    <w:next w:val="Normal"/>
    <w:link w:val="Heading6Char"/>
    <w:qFormat/>
    <w:rsid w:val="00023C6C"/>
    <w:pPr>
      <w:spacing w:before="60"/>
      <w:outlineLvl w:val="5"/>
    </w:pPr>
    <w:rPr>
      <w:color w:val="918585"/>
      <w:sz w:val="20"/>
    </w:rPr>
  </w:style>
  <w:style w:type="paragraph" w:styleId="Heading7">
    <w:name w:val="heading 7"/>
    <w:basedOn w:val="Normal"/>
    <w:next w:val="Normal"/>
    <w:link w:val="Heading7Char"/>
    <w:qFormat/>
    <w:rsid w:val="00023C6C"/>
    <w:pPr>
      <w:ind w:left="720"/>
      <w:outlineLvl w:val="6"/>
    </w:pPr>
    <w:rPr>
      <w:i/>
    </w:rPr>
  </w:style>
  <w:style w:type="paragraph" w:styleId="Heading8">
    <w:name w:val="heading 8"/>
    <w:basedOn w:val="Normal"/>
    <w:next w:val="Normal"/>
    <w:link w:val="Heading8Char"/>
    <w:qFormat/>
    <w:rsid w:val="00023C6C"/>
    <w:pPr>
      <w:ind w:left="720"/>
      <w:outlineLvl w:val="7"/>
    </w:pPr>
    <w:rPr>
      <w:i/>
    </w:rPr>
  </w:style>
  <w:style w:type="paragraph" w:styleId="Heading9">
    <w:name w:val="heading 9"/>
    <w:basedOn w:val="Normal"/>
    <w:next w:val="Normal"/>
    <w:link w:val="Heading9Char"/>
    <w:qFormat/>
    <w:rsid w:val="00023C6C"/>
    <w:pPr>
      <w:ind w:left="720"/>
      <w:outlineLvl w:val="8"/>
    </w:pPr>
    <w:rPr>
      <w:i/>
    </w:rPr>
  </w:style>
  <w:style w:type="character" w:default="1" w:styleId="DefaultParagraphFont">
    <w:name w:val="Default Paragraph Font"/>
    <w:uiPriority w:val="1"/>
    <w:unhideWhenUsed/>
    <w:rsid w:val="00023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C6C"/>
  </w:style>
  <w:style w:type="character" w:customStyle="1" w:styleId="Heading1Char">
    <w:name w:val="Heading 1 Char"/>
    <w:basedOn w:val="DefaultParagraphFont"/>
    <w:link w:val="Heading1"/>
    <w:rsid w:val="00023C6C"/>
    <w:rPr>
      <w:rFonts w:ascii="Times New Roman" w:eastAsia="Times New Roman" w:hAnsi="Times New Roman" w:cs="Times New Roman"/>
      <w:b/>
      <w:sz w:val="32"/>
      <w:szCs w:val="20"/>
      <w:lang w:eastAsia="en-US"/>
    </w:rPr>
  </w:style>
  <w:style w:type="paragraph" w:styleId="BodyText">
    <w:name w:val="Body Text"/>
    <w:basedOn w:val="Normal"/>
    <w:link w:val="BodyTextChar"/>
    <w:rsid w:val="00023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C6C"/>
    <w:rPr>
      <w:rFonts w:ascii="Times New Roman" w:eastAsia="Times New Roman" w:hAnsi="Times New Roman" w:cs="Times New Roman"/>
      <w:sz w:val="24"/>
      <w:lang w:val="en-US" w:eastAsia="en-US"/>
    </w:rPr>
  </w:style>
  <w:style w:type="paragraph" w:styleId="Footer">
    <w:name w:val="footer"/>
    <w:basedOn w:val="Normal"/>
    <w:link w:val="FooterChar"/>
    <w:rsid w:val="00023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C6C"/>
    <w:rPr>
      <w:rFonts w:ascii="Times New Roman" w:eastAsia="Times New Roman" w:hAnsi="Times New Roman" w:cs="Times New Roman"/>
      <w:sz w:val="16"/>
      <w:lang w:val="en-US" w:eastAsia="en-US"/>
    </w:rPr>
  </w:style>
  <w:style w:type="paragraph" w:styleId="List">
    <w:name w:val="List"/>
    <w:basedOn w:val="BodyText"/>
    <w:next w:val="BodyText"/>
    <w:rsid w:val="00023C6C"/>
    <w:pPr>
      <w:tabs>
        <w:tab w:val="left" w:pos="340"/>
      </w:tabs>
      <w:spacing w:before="60" w:after="60"/>
      <w:ind w:left="340" w:hanging="340"/>
    </w:pPr>
  </w:style>
  <w:style w:type="paragraph" w:styleId="ListBullet">
    <w:name w:val="List Bullet"/>
    <w:basedOn w:val="List"/>
    <w:rsid w:val="00023C6C"/>
    <w:pPr>
      <w:numPr>
        <w:numId w:val="13"/>
      </w:numPr>
      <w:tabs>
        <w:tab w:val="clear" w:pos="340"/>
      </w:tabs>
      <w:spacing w:before="40" w:after="40"/>
    </w:pPr>
  </w:style>
  <w:style w:type="character" w:customStyle="1" w:styleId="SpecialBold">
    <w:name w:val="Special Bold"/>
    <w:basedOn w:val="DefaultParagraphFont"/>
    <w:rsid w:val="00023C6C"/>
    <w:rPr>
      <w:b/>
      <w:spacing w:val="0"/>
    </w:rPr>
  </w:style>
  <w:style w:type="paragraph" w:styleId="ListBullet2">
    <w:name w:val="List Bullet 2"/>
    <w:basedOn w:val="List2"/>
    <w:rsid w:val="00023C6C"/>
    <w:pPr>
      <w:numPr>
        <w:numId w:val="14"/>
      </w:numPr>
      <w:tabs>
        <w:tab w:val="clear" w:pos="680"/>
      </w:tabs>
    </w:pPr>
  </w:style>
  <w:style w:type="paragraph" w:styleId="Header">
    <w:name w:val="header"/>
    <w:basedOn w:val="Normal"/>
    <w:link w:val="HeaderChar"/>
    <w:rsid w:val="00023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C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3C6C"/>
    <w:rPr>
      <w:i/>
    </w:rPr>
  </w:style>
  <w:style w:type="paragraph" w:customStyle="1" w:styleId="SuperHeading">
    <w:name w:val="SuperHeading"/>
    <w:basedOn w:val="Normal"/>
    <w:rsid w:val="00023C6C"/>
    <w:pPr>
      <w:spacing w:before="240" w:after="120"/>
      <w:outlineLvl w:val="0"/>
    </w:pPr>
    <w:rPr>
      <w:rFonts w:ascii="Times New Roman" w:hAnsi="Times New Roman"/>
      <w:b/>
      <w:sz w:val="28"/>
    </w:rPr>
  </w:style>
  <w:style w:type="paragraph" w:customStyle="1" w:styleId="AllowPageBreak">
    <w:name w:val="AllowPageBreak"/>
    <w:rsid w:val="00023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C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3C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3C6C"/>
    <w:rPr>
      <w:rFonts w:ascii="Courier New" w:eastAsia="Times New Roman" w:hAnsi="Courier New" w:cs="Times New Roman"/>
      <w:i/>
      <w:szCs w:val="20"/>
      <w:lang w:val="en-US" w:eastAsia="en-US"/>
    </w:rPr>
  </w:style>
  <w:style w:type="paragraph" w:customStyle="1" w:styleId="HeadingBase">
    <w:name w:val="Heading Base"/>
    <w:rsid w:val="00023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C6C"/>
    <w:pPr>
      <w:tabs>
        <w:tab w:val="right" w:leader="dot" w:pos="9072"/>
      </w:tabs>
      <w:ind w:left="567"/>
    </w:pPr>
    <w:rPr>
      <w:szCs w:val="22"/>
    </w:rPr>
  </w:style>
  <w:style w:type="paragraph" w:customStyle="1" w:styleId="TOCBase">
    <w:name w:val="TOC Base"/>
    <w:rsid w:val="00023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C6C"/>
    <w:pPr>
      <w:tabs>
        <w:tab w:val="right" w:leader="dot" w:pos="9072"/>
      </w:tabs>
      <w:spacing w:before="40" w:after="40"/>
      <w:ind w:left="284"/>
    </w:pPr>
    <w:rPr>
      <w:rFonts w:ascii="Times New Roman" w:hAnsi="Times New Roman"/>
    </w:rPr>
  </w:style>
  <w:style w:type="paragraph" w:styleId="TOC1">
    <w:name w:val="toc 1"/>
    <w:basedOn w:val="TOCBase"/>
    <w:next w:val="Normal"/>
    <w:rsid w:val="00023C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3C6C"/>
    <w:pPr>
      <w:spacing w:before="5040"/>
      <w:jc w:val="center"/>
    </w:pPr>
    <w:rPr>
      <w:sz w:val="48"/>
      <w:szCs w:val="72"/>
      <w:lang w:val="en-US"/>
    </w:rPr>
  </w:style>
  <w:style w:type="character" w:customStyle="1" w:styleId="TitleChar">
    <w:name w:val="Title Char"/>
    <w:basedOn w:val="DefaultParagraphFont"/>
    <w:link w:val="Title"/>
    <w:rsid w:val="00023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C6C"/>
    <w:pPr>
      <w:tabs>
        <w:tab w:val="left" w:pos="3600"/>
        <w:tab w:val="left" w:pos="3958"/>
      </w:tabs>
    </w:pPr>
  </w:style>
  <w:style w:type="paragraph" w:customStyle="1" w:styleId="Note">
    <w:name w:val="Note"/>
    <w:basedOn w:val="BodyText"/>
    <w:rsid w:val="00023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C6C"/>
    <w:pPr>
      <w:framePr w:wrap="auto" w:hAnchor="text" w:y="6049"/>
    </w:pPr>
    <w:rPr>
      <w:color w:val="000000"/>
      <w:sz w:val="40"/>
    </w:rPr>
  </w:style>
  <w:style w:type="paragraph" w:customStyle="1" w:styleId="TOCTitle">
    <w:name w:val="TOCTitle"/>
    <w:basedOn w:val="Heading1"/>
    <w:rsid w:val="00023C6C"/>
    <w:pPr>
      <w:spacing w:after="240"/>
      <w:jc w:val="center"/>
      <w:outlineLvl w:val="9"/>
    </w:pPr>
    <w:rPr>
      <w:caps/>
    </w:rPr>
  </w:style>
  <w:style w:type="paragraph" w:customStyle="1" w:styleId="Version">
    <w:name w:val="Version"/>
    <w:rsid w:val="00023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C6C"/>
    <w:pPr>
      <w:keepNext w:val="0"/>
      <w:tabs>
        <w:tab w:val="right" w:pos="4176"/>
      </w:tabs>
      <w:ind w:left="198" w:hanging="198"/>
    </w:pPr>
    <w:rPr>
      <w:rFonts w:ascii="Garamond" w:hAnsi="Garamond"/>
    </w:rPr>
  </w:style>
  <w:style w:type="paragraph" w:styleId="IndexHeading">
    <w:name w:val="index heading"/>
    <w:basedOn w:val="Normal"/>
    <w:next w:val="Index1"/>
    <w:semiHidden/>
    <w:rsid w:val="00023C6C"/>
    <w:pPr>
      <w:spacing w:before="120" w:after="120"/>
    </w:pPr>
    <w:rPr>
      <w:rFonts w:ascii="Arial" w:hAnsi="Arial"/>
      <w:b/>
      <w:color w:val="918585"/>
      <w:sz w:val="24"/>
    </w:rPr>
  </w:style>
  <w:style w:type="paragraph" w:customStyle="1" w:styleId="Chapter">
    <w:name w:val="Chapter"/>
    <w:basedOn w:val="Normal"/>
    <w:rsid w:val="00023C6C"/>
    <w:pPr>
      <w:spacing w:before="240"/>
    </w:pPr>
    <w:rPr>
      <w:rFonts w:ascii="Times New Roman" w:hAnsi="Times New Roman"/>
      <w:smallCaps/>
      <w:spacing w:val="80"/>
      <w:sz w:val="28"/>
    </w:rPr>
  </w:style>
  <w:style w:type="paragraph" w:customStyle="1" w:styleId="InChapter">
    <w:name w:val="InChapter"/>
    <w:basedOn w:val="Heading3"/>
    <w:rsid w:val="00023C6C"/>
    <w:pPr>
      <w:spacing w:after="240"/>
      <w:outlineLvl w:val="9"/>
    </w:pPr>
    <w:rPr>
      <w:noProof/>
    </w:rPr>
  </w:style>
  <w:style w:type="paragraph" w:styleId="Index2">
    <w:name w:val="index 2"/>
    <w:basedOn w:val="Normal"/>
    <w:next w:val="Normal"/>
    <w:semiHidden/>
    <w:rsid w:val="00023C6C"/>
    <w:pPr>
      <w:tabs>
        <w:tab w:val="right" w:pos="4176"/>
      </w:tabs>
      <w:ind w:left="568" w:hanging="284"/>
    </w:pPr>
    <w:rPr>
      <w:rFonts w:ascii="Garamond" w:hAnsi="Garamond"/>
    </w:rPr>
  </w:style>
  <w:style w:type="paragraph" w:customStyle="1" w:styleId="Byline">
    <w:name w:val="Byline"/>
    <w:rsid w:val="00023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C6C"/>
    <w:pPr>
      <w:tabs>
        <w:tab w:val="clear" w:pos="3600"/>
        <w:tab w:val="clear" w:pos="3958"/>
      </w:tabs>
      <w:jc w:val="right"/>
    </w:pPr>
  </w:style>
  <w:style w:type="paragraph" w:styleId="Caption">
    <w:name w:val="caption"/>
    <w:basedOn w:val="BodyText"/>
    <w:next w:val="Normal"/>
    <w:qFormat/>
    <w:rsid w:val="00023C6C"/>
    <w:pPr>
      <w:framePr w:w="2268" w:hSpace="181" w:vSpace="181" w:wrap="around" w:vAnchor="text" w:hAnchor="page" w:x="1135" w:y="285" w:anchorLock="1"/>
    </w:pPr>
    <w:rPr>
      <w:i/>
    </w:rPr>
  </w:style>
  <w:style w:type="paragraph" w:customStyle="1" w:styleId="MiniTOCTitle">
    <w:name w:val="MiniTOCTitle"/>
    <w:basedOn w:val="Heading4"/>
    <w:rsid w:val="00023C6C"/>
    <w:pPr>
      <w:spacing w:before="240"/>
      <w:outlineLvl w:val="9"/>
    </w:pPr>
    <w:rPr>
      <w:noProof/>
      <w:sz w:val="24"/>
    </w:rPr>
  </w:style>
  <w:style w:type="paragraph" w:customStyle="1" w:styleId="MiniTOCItem">
    <w:name w:val="MiniTOCItem"/>
    <w:basedOn w:val="ListBullet"/>
    <w:rsid w:val="00023C6C"/>
    <w:pPr>
      <w:numPr>
        <w:numId w:val="0"/>
      </w:numPr>
      <w:tabs>
        <w:tab w:val="right" w:leader="dot" w:pos="6521"/>
      </w:tabs>
      <w:spacing w:before="0" w:after="0"/>
    </w:pPr>
  </w:style>
  <w:style w:type="paragraph" w:customStyle="1" w:styleId="TOFTitle">
    <w:name w:val="TOFTitle"/>
    <w:basedOn w:val="TOCTitle"/>
    <w:rsid w:val="00023C6C"/>
  </w:style>
  <w:style w:type="paragraph" w:styleId="TableofFigures">
    <w:name w:val="table of figures"/>
    <w:basedOn w:val="Normal"/>
    <w:next w:val="Normal"/>
    <w:semiHidden/>
    <w:rsid w:val="00023C6C"/>
    <w:pPr>
      <w:tabs>
        <w:tab w:val="right" w:leader="dot" w:pos="9072"/>
      </w:tabs>
      <w:ind w:left="970" w:hanging="403"/>
    </w:pPr>
    <w:rPr>
      <w:rFonts w:ascii="Times New Roman" w:hAnsi="Times New Roman"/>
      <w:b/>
    </w:rPr>
  </w:style>
  <w:style w:type="paragraph" w:styleId="ListNumber">
    <w:name w:val="List Number"/>
    <w:basedOn w:val="List"/>
    <w:rsid w:val="00023C6C"/>
    <w:pPr>
      <w:numPr>
        <w:numId w:val="11"/>
      </w:numPr>
    </w:pPr>
  </w:style>
  <w:style w:type="character" w:customStyle="1" w:styleId="WingdingSymbols">
    <w:name w:val="Wingding Symbols"/>
    <w:rsid w:val="00023C6C"/>
    <w:rPr>
      <w:rFonts w:ascii="Wingdings" w:hAnsi="Wingdings"/>
    </w:rPr>
  </w:style>
  <w:style w:type="paragraph" w:customStyle="1" w:styleId="TableHeading">
    <w:name w:val="Table Heading"/>
    <w:basedOn w:val="HeadingBase"/>
    <w:rsid w:val="00023C6C"/>
    <w:pPr>
      <w:keepLines/>
      <w:pBdr>
        <w:bottom w:val="single" w:sz="6" w:space="1" w:color="918585"/>
      </w:pBdr>
      <w:spacing w:before="240"/>
    </w:pPr>
  </w:style>
  <w:style w:type="character" w:customStyle="1" w:styleId="HotSpot">
    <w:name w:val="HotSpot"/>
    <w:rsid w:val="00023C6C"/>
    <w:rPr>
      <w:color w:val="0033CC"/>
      <w:u w:val="none"/>
    </w:rPr>
  </w:style>
  <w:style w:type="paragraph" w:customStyle="1" w:styleId="BodyTextRight">
    <w:name w:val="Body Text Right"/>
    <w:basedOn w:val="BodyText"/>
    <w:rsid w:val="00023C6C"/>
    <w:pPr>
      <w:spacing w:before="0" w:after="0"/>
      <w:jc w:val="right"/>
    </w:pPr>
  </w:style>
  <w:style w:type="paragraph" w:styleId="Index3">
    <w:name w:val="index 3"/>
    <w:basedOn w:val="ListNumber2"/>
    <w:next w:val="Normal"/>
    <w:semiHidden/>
    <w:rsid w:val="00023C6C"/>
    <w:pPr>
      <w:numPr>
        <w:numId w:val="0"/>
      </w:numPr>
      <w:tabs>
        <w:tab w:val="right" w:leader="dot" w:pos="4176"/>
      </w:tabs>
    </w:pPr>
  </w:style>
  <w:style w:type="paragraph" w:styleId="ListNumber2">
    <w:name w:val="List Number 2"/>
    <w:basedOn w:val="List2"/>
    <w:rsid w:val="00023C6C"/>
    <w:pPr>
      <w:numPr>
        <w:numId w:val="10"/>
      </w:numPr>
      <w:tabs>
        <w:tab w:val="clear" w:pos="1060"/>
      </w:tabs>
    </w:pPr>
  </w:style>
  <w:style w:type="paragraph" w:customStyle="1" w:styleId="MarginNote">
    <w:name w:val="Margin Note"/>
    <w:basedOn w:val="BodyText"/>
    <w:rsid w:val="00023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C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3C6C"/>
    <w:rPr>
      <w:sz w:val="32"/>
    </w:rPr>
  </w:style>
  <w:style w:type="paragraph" w:customStyle="1" w:styleId="HeadingProcedure">
    <w:name w:val="Heading Procedure"/>
    <w:basedOn w:val="HeadingBase"/>
    <w:next w:val="Normal"/>
    <w:rsid w:val="00023C6C"/>
    <w:pPr>
      <w:tabs>
        <w:tab w:val="left" w:pos="0"/>
      </w:tabs>
      <w:spacing w:before="120" w:after="60"/>
    </w:pPr>
    <w:rPr>
      <w:i/>
      <w:color w:val="918585"/>
      <w:sz w:val="22"/>
    </w:rPr>
  </w:style>
  <w:style w:type="paragraph" w:customStyle="1" w:styleId="TableBodyText">
    <w:name w:val="Table Body Text"/>
    <w:basedOn w:val="BodyText"/>
    <w:rsid w:val="00023C6C"/>
    <w:pPr>
      <w:spacing w:before="60" w:after="60"/>
    </w:pPr>
  </w:style>
  <w:style w:type="paragraph" w:styleId="ListContinue">
    <w:name w:val="List Continue"/>
    <w:basedOn w:val="List"/>
    <w:rsid w:val="00023C6C"/>
    <w:pPr>
      <w:ind w:firstLine="0"/>
    </w:pPr>
  </w:style>
  <w:style w:type="paragraph" w:customStyle="1" w:styleId="ListNote">
    <w:name w:val="List Note"/>
    <w:basedOn w:val="List"/>
    <w:rsid w:val="00023C6C"/>
    <w:pPr>
      <w:pBdr>
        <w:top w:val="single" w:sz="6" w:space="2" w:color="918585"/>
        <w:bottom w:val="single" w:sz="6" w:space="2" w:color="918585"/>
      </w:pBdr>
      <w:tabs>
        <w:tab w:val="left" w:pos="1021"/>
      </w:tabs>
      <w:ind w:firstLine="0"/>
    </w:pPr>
  </w:style>
  <w:style w:type="paragraph" w:customStyle="1" w:styleId="Warning">
    <w:name w:val="Warning"/>
    <w:basedOn w:val="BodyText"/>
    <w:rsid w:val="00023C6C"/>
    <w:pPr>
      <w:shd w:val="clear" w:color="auto" w:fill="D9D9D9"/>
      <w:tabs>
        <w:tab w:val="left" w:pos="992"/>
      </w:tabs>
      <w:ind w:left="119" w:right="119"/>
    </w:pPr>
    <w:rPr>
      <w:sz w:val="20"/>
    </w:rPr>
  </w:style>
  <w:style w:type="paragraph" w:customStyle="1" w:styleId="MarginIcons">
    <w:name w:val="Margin Icons"/>
    <w:basedOn w:val="BodyText"/>
    <w:rsid w:val="00023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C6C"/>
    <w:rPr>
      <w:rFonts w:ascii="Courier New" w:hAnsi="Courier New"/>
    </w:rPr>
  </w:style>
  <w:style w:type="paragraph" w:customStyle="1" w:styleId="NoteBullet">
    <w:name w:val="Note Bullet"/>
    <w:basedOn w:val="Note"/>
    <w:rsid w:val="00023C6C"/>
    <w:pPr>
      <w:tabs>
        <w:tab w:val="clear" w:pos="680"/>
      </w:tabs>
      <w:spacing w:before="60" w:after="60"/>
    </w:pPr>
  </w:style>
  <w:style w:type="paragraph" w:customStyle="1" w:styleId="SubHeading2">
    <w:name w:val="SubHeading2"/>
    <w:basedOn w:val="HeadingBase"/>
    <w:rsid w:val="00023C6C"/>
    <w:pPr>
      <w:spacing w:before="240" w:after="60"/>
    </w:pPr>
    <w:rPr>
      <w:sz w:val="20"/>
    </w:rPr>
  </w:style>
  <w:style w:type="paragraph" w:customStyle="1" w:styleId="SubHeading1">
    <w:name w:val="SubHeading1"/>
    <w:basedOn w:val="HeadingBase"/>
    <w:rsid w:val="00023C6C"/>
    <w:pPr>
      <w:spacing w:before="240" w:after="60"/>
    </w:pPr>
    <w:rPr>
      <w:color w:val="918585"/>
      <w:sz w:val="22"/>
    </w:rPr>
  </w:style>
  <w:style w:type="paragraph" w:customStyle="1" w:styleId="SideHeading">
    <w:name w:val="Side Heading"/>
    <w:basedOn w:val="HeadingBase"/>
    <w:rsid w:val="00023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C6C"/>
    <w:pPr>
      <w:numPr>
        <w:numId w:val="12"/>
      </w:numPr>
    </w:pPr>
  </w:style>
  <w:style w:type="paragraph" w:styleId="PlainText">
    <w:name w:val="Plain Text"/>
    <w:basedOn w:val="Normal"/>
    <w:link w:val="PlainTextChar"/>
    <w:rsid w:val="00023C6C"/>
    <w:rPr>
      <w:sz w:val="20"/>
    </w:rPr>
  </w:style>
  <w:style w:type="character" w:customStyle="1" w:styleId="PlainTextChar">
    <w:name w:val="Plain Text Char"/>
    <w:basedOn w:val="DefaultParagraphFont"/>
    <w:link w:val="PlainText"/>
    <w:rsid w:val="00023C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3C6C"/>
    <w:rPr>
      <w:b/>
      <w:smallCaps/>
    </w:rPr>
  </w:style>
  <w:style w:type="paragraph" w:customStyle="1" w:styleId="TableListNumber">
    <w:name w:val="Table List Number"/>
    <w:basedOn w:val="ListNumber"/>
    <w:rsid w:val="00023C6C"/>
    <w:pPr>
      <w:numPr>
        <w:numId w:val="0"/>
      </w:numPr>
    </w:pPr>
  </w:style>
  <w:style w:type="paragraph" w:styleId="TOC4">
    <w:name w:val="toc 4"/>
    <w:basedOn w:val="TOCBase"/>
    <w:next w:val="Normal"/>
    <w:semiHidden/>
    <w:rsid w:val="00023C6C"/>
    <w:pPr>
      <w:tabs>
        <w:tab w:val="right" w:leader="dot" w:pos="9071"/>
      </w:tabs>
      <w:ind w:left="1701"/>
    </w:pPr>
  </w:style>
  <w:style w:type="paragraph" w:customStyle="1" w:styleId="ListAlpha">
    <w:name w:val="List Alpha"/>
    <w:basedOn w:val="List"/>
    <w:rsid w:val="00023C6C"/>
    <w:pPr>
      <w:numPr>
        <w:numId w:val="9"/>
      </w:numPr>
    </w:pPr>
  </w:style>
  <w:style w:type="paragraph" w:customStyle="1" w:styleId="ListAlpha2">
    <w:name w:val="List Alpha 2"/>
    <w:basedOn w:val="List2"/>
    <w:rsid w:val="00023C6C"/>
    <w:pPr>
      <w:numPr>
        <w:numId w:val="8"/>
      </w:numPr>
    </w:pPr>
  </w:style>
  <w:style w:type="paragraph" w:styleId="List2">
    <w:name w:val="List 2"/>
    <w:basedOn w:val="BodyText"/>
    <w:rsid w:val="00023C6C"/>
    <w:pPr>
      <w:tabs>
        <w:tab w:val="left" w:pos="680"/>
      </w:tabs>
      <w:spacing w:before="60" w:after="60"/>
      <w:ind w:left="680" w:hanging="340"/>
    </w:pPr>
  </w:style>
  <w:style w:type="paragraph" w:styleId="List3">
    <w:name w:val="List 3"/>
    <w:basedOn w:val="BodyText"/>
    <w:rsid w:val="00023C6C"/>
    <w:pPr>
      <w:tabs>
        <w:tab w:val="left" w:pos="1021"/>
      </w:tabs>
      <w:spacing w:before="60" w:after="60"/>
      <w:ind w:left="1020" w:hanging="340"/>
    </w:pPr>
  </w:style>
  <w:style w:type="paragraph" w:styleId="List4">
    <w:name w:val="List 4"/>
    <w:basedOn w:val="BodyText"/>
    <w:rsid w:val="00023C6C"/>
    <w:pPr>
      <w:tabs>
        <w:tab w:val="left" w:pos="1361"/>
      </w:tabs>
      <w:spacing w:before="60" w:after="60"/>
      <w:ind w:left="1361" w:hanging="340"/>
    </w:pPr>
  </w:style>
  <w:style w:type="paragraph" w:styleId="List5">
    <w:name w:val="List 5"/>
    <w:basedOn w:val="BodyText"/>
    <w:rsid w:val="00023C6C"/>
    <w:pPr>
      <w:tabs>
        <w:tab w:val="left" w:pos="1701"/>
      </w:tabs>
      <w:spacing w:before="60" w:after="60"/>
      <w:ind w:left="1701" w:hanging="340"/>
    </w:pPr>
  </w:style>
  <w:style w:type="paragraph" w:styleId="ListBullet3">
    <w:name w:val="List Bullet 3"/>
    <w:basedOn w:val="List3"/>
    <w:rsid w:val="00023C6C"/>
    <w:pPr>
      <w:numPr>
        <w:numId w:val="15"/>
      </w:numPr>
      <w:tabs>
        <w:tab w:val="clear" w:pos="1021"/>
      </w:tabs>
      <w:ind w:left="1037" w:hanging="357"/>
    </w:pPr>
  </w:style>
  <w:style w:type="paragraph" w:styleId="ListBullet4">
    <w:name w:val="List Bullet 4"/>
    <w:basedOn w:val="List4"/>
    <w:rsid w:val="00023C6C"/>
    <w:pPr>
      <w:numPr>
        <w:numId w:val="3"/>
      </w:numPr>
    </w:pPr>
  </w:style>
  <w:style w:type="paragraph" w:styleId="ListBullet5">
    <w:name w:val="List Bullet 5"/>
    <w:basedOn w:val="List5"/>
    <w:rsid w:val="00023C6C"/>
    <w:pPr>
      <w:numPr>
        <w:numId w:val="4"/>
      </w:numPr>
    </w:pPr>
  </w:style>
  <w:style w:type="paragraph" w:styleId="ListContinue2">
    <w:name w:val="List Continue 2"/>
    <w:basedOn w:val="List2"/>
    <w:rsid w:val="00023C6C"/>
    <w:pPr>
      <w:ind w:firstLine="0"/>
    </w:pPr>
  </w:style>
  <w:style w:type="paragraph" w:styleId="ListContinue3">
    <w:name w:val="List Continue 3"/>
    <w:basedOn w:val="List3"/>
    <w:rsid w:val="00023C6C"/>
    <w:pPr>
      <w:ind w:left="1021" w:firstLine="0"/>
    </w:pPr>
  </w:style>
  <w:style w:type="paragraph" w:styleId="ListContinue4">
    <w:name w:val="List Continue 4"/>
    <w:basedOn w:val="List4"/>
    <w:rsid w:val="00023C6C"/>
    <w:pPr>
      <w:ind w:firstLine="0"/>
    </w:pPr>
  </w:style>
  <w:style w:type="paragraph" w:styleId="ListContinue5">
    <w:name w:val="List Continue 5"/>
    <w:basedOn w:val="List5"/>
    <w:rsid w:val="00023C6C"/>
    <w:pPr>
      <w:ind w:firstLine="0"/>
    </w:pPr>
  </w:style>
  <w:style w:type="paragraph" w:styleId="ListNumber3">
    <w:name w:val="List Number 3"/>
    <w:basedOn w:val="List3"/>
    <w:rsid w:val="00023C6C"/>
    <w:pPr>
      <w:numPr>
        <w:numId w:val="5"/>
      </w:numPr>
    </w:pPr>
  </w:style>
  <w:style w:type="paragraph" w:styleId="ListNumber4">
    <w:name w:val="List Number 4"/>
    <w:basedOn w:val="List4"/>
    <w:rsid w:val="00023C6C"/>
    <w:pPr>
      <w:numPr>
        <w:numId w:val="6"/>
      </w:numPr>
    </w:pPr>
  </w:style>
  <w:style w:type="paragraph" w:styleId="ListNumber5">
    <w:name w:val="List Number 5"/>
    <w:basedOn w:val="List5"/>
    <w:rsid w:val="00023C6C"/>
    <w:pPr>
      <w:numPr>
        <w:numId w:val="7"/>
      </w:numPr>
    </w:pPr>
  </w:style>
  <w:style w:type="paragraph" w:styleId="BlockText">
    <w:name w:val="Block Text"/>
    <w:basedOn w:val="Normal"/>
    <w:rsid w:val="00023C6C"/>
    <w:pPr>
      <w:spacing w:after="120"/>
      <w:ind w:left="1440" w:right="1440"/>
    </w:pPr>
  </w:style>
  <w:style w:type="character" w:customStyle="1" w:styleId="Subscript">
    <w:name w:val="Subscript"/>
    <w:basedOn w:val="DefaultParagraphFont"/>
    <w:rsid w:val="00023C6C"/>
    <w:rPr>
      <w:sz w:val="16"/>
      <w:vertAlign w:val="subscript"/>
    </w:rPr>
  </w:style>
  <w:style w:type="character" w:customStyle="1" w:styleId="Superscript">
    <w:name w:val="Superscript"/>
    <w:basedOn w:val="DefaultParagraphFont"/>
    <w:rsid w:val="00023C6C"/>
    <w:rPr>
      <w:sz w:val="16"/>
      <w:vertAlign w:val="superscript"/>
    </w:rPr>
  </w:style>
  <w:style w:type="character" w:customStyle="1" w:styleId="Symbols">
    <w:name w:val="Symbols"/>
    <w:basedOn w:val="DefaultParagraphFont"/>
    <w:rsid w:val="00023C6C"/>
    <w:rPr>
      <w:rFonts w:ascii="Symbol" w:hAnsi="Symbol"/>
    </w:rPr>
  </w:style>
  <w:style w:type="character" w:customStyle="1" w:styleId="MenuOptions">
    <w:name w:val="Menu Options"/>
    <w:basedOn w:val="DefaultParagraphFont"/>
    <w:rsid w:val="00023C6C"/>
    <w:rPr>
      <w:rFonts w:ascii="Arial Narrow" w:hAnsi="Arial Narrow"/>
      <w:smallCaps/>
    </w:rPr>
  </w:style>
  <w:style w:type="character" w:customStyle="1" w:styleId="Buttons">
    <w:name w:val="Buttons"/>
    <w:basedOn w:val="DefaultParagraphFont"/>
    <w:rsid w:val="00023C6C"/>
    <w:rPr>
      <w:b/>
    </w:rPr>
  </w:style>
  <w:style w:type="character" w:customStyle="1" w:styleId="Underlined">
    <w:name w:val="Underlined"/>
    <w:basedOn w:val="DefaultParagraphFont"/>
    <w:rsid w:val="00023C6C"/>
    <w:rPr>
      <w:u w:val="single"/>
    </w:rPr>
  </w:style>
  <w:style w:type="paragraph" w:customStyle="1" w:styleId="TableBodyTextRight">
    <w:name w:val="Table Body Text Right"/>
    <w:basedOn w:val="TableBodyText"/>
    <w:rsid w:val="00023C6C"/>
    <w:pPr>
      <w:widowControl w:val="0"/>
      <w:autoSpaceDE w:val="0"/>
      <w:autoSpaceDN w:val="0"/>
      <w:adjustRightInd w:val="0"/>
      <w:jc w:val="right"/>
    </w:pPr>
    <w:rPr>
      <w:rFonts w:cs="Arial"/>
      <w:szCs w:val="18"/>
    </w:rPr>
  </w:style>
  <w:style w:type="paragraph" w:customStyle="1" w:styleId="CopyrightText">
    <w:name w:val="Copyright Text"/>
    <w:basedOn w:val="BodyText"/>
    <w:rsid w:val="00023C6C"/>
    <w:rPr>
      <w:sz w:val="18"/>
    </w:rPr>
  </w:style>
  <w:style w:type="paragraph" w:customStyle="1" w:styleId="BodySmallRight">
    <w:name w:val="Body Small Right"/>
    <w:basedOn w:val="BodyTextRight"/>
    <w:rsid w:val="00023C6C"/>
    <w:rPr>
      <w:sz w:val="18"/>
      <w:szCs w:val="18"/>
    </w:rPr>
  </w:style>
  <w:style w:type="paragraph" w:customStyle="1" w:styleId="MarginEdition">
    <w:name w:val="Margin Edition"/>
    <w:basedOn w:val="MarginNote"/>
    <w:rsid w:val="00023C6C"/>
    <w:pPr>
      <w:spacing w:before="0" w:after="0"/>
    </w:pPr>
    <w:rPr>
      <w:rFonts w:ascii="Times New Roman" w:hAnsi="Times New Roman"/>
      <w:color w:val="999999"/>
    </w:rPr>
  </w:style>
  <w:style w:type="paragraph" w:customStyle="1" w:styleId="Spacer">
    <w:name w:val="Spacer"/>
    <w:basedOn w:val="Normal"/>
    <w:rsid w:val="00023C6C"/>
    <w:rPr>
      <w:sz w:val="2"/>
      <w:szCs w:val="2"/>
    </w:rPr>
  </w:style>
  <w:style w:type="character" w:customStyle="1" w:styleId="Small">
    <w:name w:val="Small"/>
    <w:basedOn w:val="DefaultParagraphFont"/>
    <w:rsid w:val="00023C6C"/>
    <w:rPr>
      <w:sz w:val="16"/>
    </w:rPr>
  </w:style>
  <w:style w:type="paragraph" w:customStyle="1" w:styleId="WideTable">
    <w:name w:val="Wide Table"/>
    <w:basedOn w:val="Normal"/>
    <w:rsid w:val="00023C6C"/>
    <w:pPr>
      <w:ind w:left="-1418"/>
    </w:pPr>
    <w:rPr>
      <w:sz w:val="2"/>
      <w:szCs w:val="2"/>
    </w:rPr>
  </w:style>
  <w:style w:type="character" w:styleId="PageNumber">
    <w:name w:val="page number"/>
    <w:basedOn w:val="DefaultParagraphFont"/>
    <w:rsid w:val="00023C6C"/>
  </w:style>
  <w:style w:type="paragraph" w:styleId="Quote">
    <w:name w:val="Quote"/>
    <w:basedOn w:val="Heading1"/>
    <w:link w:val="QuoteChar"/>
    <w:qFormat/>
    <w:rsid w:val="00023C6C"/>
    <w:rPr>
      <w:b w:val="0"/>
      <w:sz w:val="72"/>
      <w:szCs w:val="72"/>
      <w:lang w:val="en-NZ"/>
    </w:rPr>
  </w:style>
  <w:style w:type="character" w:customStyle="1" w:styleId="QuoteChar">
    <w:name w:val="Quote Char"/>
    <w:basedOn w:val="DefaultParagraphFont"/>
    <w:link w:val="Quote"/>
    <w:rsid w:val="00023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C6C"/>
    <w:pPr>
      <w:pageBreakBefore/>
    </w:pPr>
  </w:style>
  <w:style w:type="paragraph" w:customStyle="1" w:styleId="Border">
    <w:name w:val="Border"/>
    <w:basedOn w:val="Normal"/>
    <w:qFormat/>
    <w:rsid w:val="00023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C6C"/>
    <w:rPr>
      <w:b/>
      <w:bCs/>
      <w:i/>
      <w:iCs/>
      <w:color w:val="auto"/>
    </w:rPr>
  </w:style>
  <w:style w:type="paragraph" w:styleId="IntenseQuote">
    <w:name w:val="Intense Quote"/>
    <w:basedOn w:val="Normal"/>
    <w:next w:val="Normal"/>
    <w:link w:val="IntenseQuoteChar"/>
    <w:uiPriority w:val="30"/>
    <w:qFormat/>
    <w:rsid w:val="00023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C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3C6C"/>
    <w:rPr>
      <w:smallCaps/>
      <w:color w:val="auto"/>
      <w:u w:val="single"/>
    </w:rPr>
  </w:style>
  <w:style w:type="character" w:styleId="IntenseReference">
    <w:name w:val="Intense Reference"/>
    <w:basedOn w:val="DefaultParagraphFont"/>
    <w:uiPriority w:val="32"/>
    <w:qFormat/>
    <w:rsid w:val="00023C6C"/>
    <w:rPr>
      <w:b/>
      <w:bCs/>
      <w:smallCaps/>
      <w:color w:val="auto"/>
      <w:spacing w:val="5"/>
      <w:u w:val="single"/>
    </w:rPr>
  </w:style>
  <w:style w:type="paragraph" w:customStyle="1" w:styleId="2ColumnHeading">
    <w:name w:val="2Column Heading"/>
    <w:basedOn w:val="BodyText"/>
    <w:qFormat/>
    <w:rsid w:val="00023C6C"/>
    <w:pPr>
      <w:spacing w:after="60"/>
      <w:ind w:left="-2268"/>
    </w:pPr>
    <w:rPr>
      <w:b/>
    </w:rPr>
  </w:style>
  <w:style w:type="paragraph" w:customStyle="1" w:styleId="Heading1TOC">
    <w:name w:val="Heading1 TOC"/>
    <w:basedOn w:val="Normal"/>
    <w:qFormat/>
    <w:rsid w:val="00023C6C"/>
    <w:pPr>
      <w:spacing w:before="240" w:after="120"/>
    </w:pPr>
    <w:rPr>
      <w:rFonts w:ascii="Times New Roman" w:hAnsi="Times New Roman"/>
      <w:b/>
      <w:sz w:val="32"/>
    </w:rPr>
  </w:style>
  <w:style w:type="paragraph" w:customStyle="1" w:styleId="Heading2TOC">
    <w:name w:val="Heading2 TOC"/>
    <w:basedOn w:val="Normal"/>
    <w:qFormat/>
    <w:rsid w:val="00023C6C"/>
    <w:pPr>
      <w:spacing w:before="240" w:after="60"/>
    </w:pPr>
    <w:rPr>
      <w:rFonts w:ascii="Times New Roman" w:hAnsi="Times New Roman"/>
      <w:b/>
      <w:sz w:val="28"/>
    </w:rPr>
  </w:style>
  <w:style w:type="character" w:customStyle="1" w:styleId="Underline">
    <w:name w:val="Underline"/>
    <w:basedOn w:val="DefaultParagraphFont"/>
    <w:qFormat/>
    <w:rsid w:val="00023C6C"/>
    <w:rPr>
      <w:u w:val="single"/>
    </w:rPr>
  </w:style>
  <w:style w:type="character" w:customStyle="1" w:styleId="BoldandItalics">
    <w:name w:val="Bold and Italics"/>
    <w:qFormat/>
    <w:rsid w:val="00023C6C"/>
    <w:rPr>
      <w:b/>
      <w:i/>
      <w:u w:val="none"/>
    </w:rPr>
  </w:style>
  <w:style w:type="paragraph" w:styleId="BalloonText">
    <w:name w:val="Balloon Text"/>
    <w:basedOn w:val="Normal"/>
    <w:link w:val="BalloonTextChar"/>
    <w:rsid w:val="00023C6C"/>
    <w:rPr>
      <w:rFonts w:ascii="Tahoma" w:hAnsi="Tahoma" w:cs="Tahoma"/>
      <w:sz w:val="16"/>
      <w:szCs w:val="16"/>
    </w:rPr>
  </w:style>
  <w:style w:type="character" w:customStyle="1" w:styleId="BalloonTextChar">
    <w:name w:val="Balloon Text Char"/>
    <w:basedOn w:val="DefaultParagraphFont"/>
    <w:link w:val="BalloonText"/>
    <w:rsid w:val="00023C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3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C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1181</Words>
  <Characters>7529</Characters>
  <Application>Microsoft Office Word</Application>
  <DocSecurity>0</DocSecurity>
  <Lines>285</Lines>
  <Paragraphs>154</Paragraphs>
  <ScaleCrop>false</ScaleCrop>
  <Company>Author-it Software Corporation Ltd.</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HLTAYV615C Apply ayurvedic diagnostic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