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0560" w:rsidP="008E0560">
      <w:pPr>
        <w:pStyle w:val="Title"/>
      </w:pPr>
      <w:r>
        <w:fldChar w:fldCharType="begin"/>
      </w:r>
      <w:r>
        <w:instrText xml:space="preserve"> TITLE   \* MERGEFORMAT </w:instrText>
      </w:r>
      <w:r>
        <w:fldChar w:fldCharType="separate"/>
      </w:r>
      <w:r>
        <w:t>HLTAN401D Prepare the anaesthetic environment</w:t>
      </w:r>
      <w:r>
        <w:fldChar w:fldCharType="end"/>
      </w:r>
    </w:p>
    <w:p w:rsidR="008E0560" w:rsidP="008E0560">
      <w:pPr>
        <w:pStyle w:val="Version"/>
        <w:sectPr w:rsidSect="00DD54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54BC" w:rsidP="00DD54BC">
      <w:pPr>
        <w:pStyle w:val="SuperHeading"/>
      </w:pPr>
      <w:r w:rsidRPr="00DD54BC">
        <w:t>HLTAN401D Prepare the anaesthetic environment</w:t>
      </w:r>
    </w:p>
    <w:p w:rsidR="00000000" w:rsidRPr="00DD54BC" w:rsidP="00DD54BC">
      <w:pPr>
        <w:pStyle w:val="Heading1"/>
      </w:pPr>
      <w:bookmarkStart w:id="1" w:name="O_426804"/>
      <w:bookmarkEnd w:id="1"/>
      <w:r w:rsidRPr="00DD54BC">
        <w:t>Modification History</w:t>
      </w:r>
    </w:p>
    <w:tbl>
      <w:tblPr>
        <w:tblW w:w="0" w:type="auto"/>
        <w:tblCellMar>
          <w:left w:w="62" w:type="dxa"/>
          <w:right w:w="62" w:type="dxa"/>
        </w:tblCellMar>
        <w:tblLook w:val="0000"/>
      </w:tblPr>
      <w:tblGrid>
        <w:gridCol w:w="3007"/>
        <w:gridCol w:w="3095"/>
        <w:gridCol w:w="3094"/>
      </w:tblGrid>
      <w:tr w:rsidTr="008E0560">
        <w:tblPrEx>
          <w:tblW w:w="0" w:type="auto"/>
          <w:tblCellMar>
            <w:left w:w="62" w:type="dxa"/>
            <w:right w:w="62" w:type="dxa"/>
          </w:tblCellMar>
          <w:tblLook w:val="0000"/>
        </w:tblPrEx>
        <w:trPr>
          <w:trHeight w:val="4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4BC">
            <w:pPr>
              <w:pStyle w:val="BodyText"/>
              <w:rPr>
                <w:lang w:val="en-NZ"/>
              </w:rPr>
            </w:pPr>
            <w:r w:rsidRPr="00DD54BC">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4BC">
            <w:pPr>
              <w:pStyle w:val="BodyText"/>
              <w:rPr>
                <w:lang w:val="en-NZ"/>
              </w:rPr>
            </w:pPr>
            <w:r w:rsidRPr="00DD54BC">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4BC">
            <w:pPr>
              <w:pStyle w:val="BodyText"/>
              <w:rPr>
                <w:lang w:val="en-NZ"/>
              </w:rPr>
            </w:pPr>
            <w:r w:rsidRPr="00DD54BC">
              <w:t>Comments</w:t>
            </w:r>
          </w:p>
        </w:tc>
      </w:tr>
      <w:tr w:rsidTr="008E0560">
        <w:tblPrEx>
          <w:tblW w:w="0" w:type="auto"/>
          <w:tblCellMar>
            <w:left w:w="62" w:type="dxa"/>
            <w:right w:w="62" w:type="dxa"/>
          </w:tblCellMar>
          <w:tblLook w:val="0000"/>
        </w:tblPrEx>
        <w:trPr>
          <w:trHeight w:val="45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4BC">
            <w:pPr>
              <w:pStyle w:val="BodyText"/>
              <w:rPr>
                <w:lang w:val="en-NZ"/>
              </w:rPr>
            </w:pPr>
            <w:r w:rsidRPr="00DD54BC">
              <w:t>HLTAN401C Prepare the anaesthetic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4BC">
            <w:pPr>
              <w:pStyle w:val="BodyText"/>
              <w:rPr>
                <w:lang w:val="en-NZ"/>
              </w:rPr>
            </w:pPr>
            <w:r w:rsidRPr="00DD54BC">
              <w:t>HLTAN401D - Prepare the anaesthetic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4BC" w:rsidP="00DD54BC">
            <w:pPr>
              <w:pStyle w:val="BodyText"/>
            </w:pPr>
            <w:r w:rsidRPr="00DD54BC">
              <w:t>Unit updated in V5.</w:t>
            </w:r>
          </w:p>
          <w:p w:rsidR="00000000" w:rsidRPr="00DD54BC" w:rsidP="00DD54BC">
            <w:pPr>
              <w:pStyle w:val="BodyText"/>
            </w:pPr>
            <w:r w:rsidRPr="00DD54BC">
              <w:t>ISC upgrade changes to remove references to old OHS legislation and replace with references to new WHS legislation. No change to competency outcome.</w:t>
            </w:r>
          </w:p>
        </w:tc>
      </w:tr>
    </w:tbl>
    <w:p w:rsidR="00000000" w:rsidRPr="00DD54BC" w:rsidP="00DD54BC">
      <w:pPr>
        <w:pStyle w:val="BodyText"/>
      </w:pPr>
    </w:p>
    <w:p w:rsidR="00000000" w:rsidRPr="00DD54BC" w:rsidP="00DD54BC">
      <w:pPr>
        <w:pStyle w:val="AllowPageBreak"/>
      </w:pPr>
    </w:p>
    <w:p w:rsidR="00000000" w:rsidRPr="00DD54BC" w:rsidP="00DD54BC">
      <w:pPr>
        <w:pStyle w:val="Heading1"/>
      </w:pPr>
      <w:bookmarkStart w:id="2" w:name="O_426802"/>
      <w:bookmarkEnd w:id="2"/>
      <w:r w:rsidRPr="00DD54BC">
        <w:t>Unit Descriptor</w:t>
      </w:r>
    </w:p>
    <w:tbl>
      <w:tblPr>
        <w:tblW w:w="0" w:type="auto"/>
        <w:tblLayout w:type="fixed"/>
        <w:tblCellMar>
          <w:left w:w="62" w:type="dxa"/>
          <w:right w:w="62" w:type="dxa"/>
        </w:tblCellMar>
        <w:tblLook w:val="0000"/>
      </w:tblPr>
      <w:tblGrid>
        <w:gridCol w:w="3338"/>
        <w:gridCol w:w="5218"/>
      </w:tblGrid>
      <w:tr w:rsidTr="008E0560">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r w:rsidRPr="00DD54BC">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DD54BC" w:rsidP="00DD54BC">
            <w:pPr>
              <w:pStyle w:val="BodyText"/>
            </w:pPr>
            <w:r w:rsidRPr="00DD54BC">
              <w:t>This unit of competency describes the skills and knowledge re</w:t>
            </w:r>
            <w:r w:rsidRPr="00DD54BC">
              <w:t>quired to maintain stocks of consumable items and anaesthetic equipment and to prepare the necessary anaesthetic equipment and materials to meet the preferences of the anaesthetist and the requirements of the clients and in accordance with clinical procedu</w:t>
            </w:r>
            <w:r w:rsidRPr="00DD54BC">
              <w:t>re</w:t>
            </w:r>
          </w:p>
        </w:tc>
      </w:tr>
    </w:tbl>
    <w:p w:rsidR="008E0560" w:rsidP="00DD54BC">
      <w:pPr>
        <w:pStyle w:val="BodyText"/>
      </w:pPr>
    </w:p>
    <w:p w:rsidR="008E0560" w:rsidP="00DD54BC">
      <w:pPr>
        <w:pStyle w:val="BodyText"/>
      </w:pPr>
    </w:p>
    <w:p w:rsidR="00000000" w:rsidRPr="00DD54BC" w:rsidP="00DD54BC">
      <w:pPr>
        <w:pStyle w:val="Heading1"/>
      </w:pPr>
      <w:bookmarkStart w:id="3" w:name="O_426792"/>
      <w:bookmarkEnd w:id="3"/>
      <w:r w:rsidRPr="00DD54BC">
        <w:t>Application of the Unit</w:t>
      </w:r>
    </w:p>
    <w:tbl>
      <w:tblPr>
        <w:tblW w:w="0" w:type="auto"/>
        <w:tblLayout w:type="fixed"/>
        <w:tblCellMar>
          <w:left w:w="62" w:type="dxa"/>
          <w:right w:w="62" w:type="dxa"/>
        </w:tblCellMar>
        <w:tblLook w:val="0000"/>
      </w:tblPr>
      <w:tblGrid>
        <w:gridCol w:w="3335"/>
        <w:gridCol w:w="5221"/>
      </w:tblGrid>
      <w:tr w:rsidTr="008E0560">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r w:rsidRPr="00DD54BC">
              <w:rPr>
                <w:rStyle w:val="SpecialBold"/>
              </w:rPr>
              <w:t>Application</w:t>
            </w:r>
          </w:p>
        </w:tc>
        <w:tc>
          <w:tcPr>
            <w:tcW w:w="5221" w:type="dxa"/>
            <w:tcBorders>
              <w:top w:val="nil"/>
              <w:left w:val="nil"/>
              <w:bottom w:val="nil"/>
              <w:right w:val="nil"/>
            </w:tcBorders>
            <w:tcMar>
              <w:top w:w="0" w:type="dxa"/>
              <w:left w:w="62" w:type="dxa"/>
              <w:bottom w:w="0" w:type="dxa"/>
              <w:right w:w="62" w:type="dxa"/>
            </w:tcMar>
          </w:tcPr>
          <w:p w:rsidR="00000000" w:rsidRPr="00DD54BC" w:rsidP="00DD54BC">
            <w:pPr>
              <w:pStyle w:val="BodyText"/>
            </w:pPr>
            <w:r w:rsidRPr="00DD54BC">
              <w:t>Work performed requires a broad knowledge, range of well developed skills and the ability to develop and apply solutions to a range of predictable and unpr</w:t>
            </w:r>
            <w:r w:rsidRPr="00DD54BC">
              <w:t>edictable problems. Individuals use discretion and judgement and take responsibility for their own outputs</w:t>
            </w:r>
          </w:p>
          <w:p w:rsidR="00000000" w:rsidRPr="00DD54BC" w:rsidP="00DD54BC">
            <w:pPr>
              <w:pStyle w:val="BodyText"/>
            </w:pPr>
            <w:r w:rsidRPr="00DD54BC">
              <w:t>Administration of anaesthesia may occur in various locations within the hospital environment e.g. operating theatres, emergency department, intensive</w:t>
            </w:r>
            <w:r w:rsidRPr="00DD54BC">
              <w:t xml:space="preserve"> care unit (ICU) or radiology department</w:t>
            </w:r>
          </w:p>
          <w:p w:rsidR="00000000" w:rsidRPr="00DD54BC" w:rsidP="00DD54BC">
            <w:pPr>
              <w:pStyle w:val="BodyText"/>
            </w:pPr>
            <w:r w:rsidRPr="00DD54BC">
              <w:t>All activities are carried out in accordance with relevant Australian and New Zealand College of Anaesthetists' Policy Documents, organisation policies and procedures, infection control guidelines and state/territor</w:t>
            </w:r>
            <w:r w:rsidRPr="00DD54BC">
              <w:t>y legislation</w:t>
            </w:r>
          </w:p>
        </w:tc>
      </w:tr>
    </w:tbl>
    <w:p w:rsidR="008E0560" w:rsidP="00DD54BC">
      <w:pPr>
        <w:pStyle w:val="BodyText"/>
      </w:pPr>
    </w:p>
    <w:p w:rsidR="008E0560" w:rsidP="00DD54BC">
      <w:pPr>
        <w:pStyle w:val="BodyText"/>
      </w:pPr>
    </w:p>
    <w:p w:rsidR="00000000" w:rsidRPr="00DD54BC" w:rsidP="00DD54BC">
      <w:pPr>
        <w:pStyle w:val="Heading1"/>
      </w:pPr>
      <w:bookmarkStart w:id="4" w:name="O_426798"/>
      <w:bookmarkEnd w:id="4"/>
      <w:r w:rsidRPr="00DD54BC">
        <w:t>Licensing/Regulatory Information</w:t>
      </w:r>
    </w:p>
    <w:p w:rsidR="00000000" w:rsidRPr="00DD54BC" w:rsidP="00DD54BC">
      <w:pPr>
        <w:pStyle w:val="BodyText"/>
      </w:pPr>
      <w:r w:rsidRPr="00DD54BC">
        <w:t>Not Applicable</w:t>
      </w:r>
    </w:p>
    <w:p w:rsidR="00000000" w:rsidRPr="00DD54BC" w:rsidP="00DD54BC">
      <w:pPr>
        <w:pStyle w:val="AllowPageBreak"/>
      </w:pPr>
    </w:p>
    <w:p w:rsidR="00000000" w:rsidRPr="00DD54BC" w:rsidP="00DD54BC">
      <w:pPr>
        <w:pStyle w:val="Heading1"/>
      </w:pPr>
      <w:bookmarkStart w:id="5" w:name="O_426799"/>
      <w:bookmarkEnd w:id="5"/>
      <w:r w:rsidRPr="00DD54BC">
        <w:t>Pre-Requisites</w:t>
      </w:r>
    </w:p>
    <w:p w:rsidR="00000000" w:rsidRPr="00DD54BC" w:rsidP="00DD54BC">
      <w:pPr>
        <w:pStyle w:val="BodyText"/>
      </w:pPr>
      <w:r w:rsidRPr="00DD54BC">
        <w:t>Not Applicable</w:t>
      </w:r>
    </w:p>
    <w:p w:rsidR="00000000" w:rsidRPr="00DD54BC" w:rsidP="00DD54BC">
      <w:pPr>
        <w:pStyle w:val="AllowPageBreak"/>
      </w:pPr>
    </w:p>
    <w:p w:rsidR="00000000" w:rsidRPr="00DD54BC" w:rsidP="00DD54BC">
      <w:pPr>
        <w:pStyle w:val="Heading1"/>
      </w:pPr>
      <w:bookmarkStart w:id="6" w:name="O_426795"/>
      <w:bookmarkEnd w:id="6"/>
      <w:r w:rsidRPr="00DD54BC">
        <w:t>Employability Skills Information</w:t>
      </w:r>
    </w:p>
    <w:tbl>
      <w:tblPr>
        <w:tblW w:w="0" w:type="auto"/>
        <w:tblLayout w:type="fixed"/>
        <w:tblCellMar>
          <w:left w:w="62" w:type="dxa"/>
          <w:right w:w="62" w:type="dxa"/>
        </w:tblCellMar>
        <w:tblLook w:val="0000"/>
      </w:tblPr>
      <w:tblGrid>
        <w:gridCol w:w="3320"/>
        <w:gridCol w:w="5236"/>
      </w:tblGrid>
      <w:tr w:rsidTr="008E056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r w:rsidRPr="00DD54B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D54BC" w:rsidP="00DD54BC">
            <w:pPr>
              <w:pStyle w:val="BodyText"/>
            </w:pPr>
            <w:r w:rsidRPr="00DD54BC">
              <w:t>This unit contains Employability Skills</w:t>
            </w:r>
          </w:p>
        </w:tc>
      </w:tr>
    </w:tbl>
    <w:p w:rsidR="008E0560" w:rsidP="00DD54BC">
      <w:pPr>
        <w:pStyle w:val="BodyText"/>
      </w:pPr>
    </w:p>
    <w:p w:rsidR="008E0560" w:rsidP="00DD54BC">
      <w:pPr>
        <w:pStyle w:val="BodyText"/>
      </w:pPr>
    </w:p>
    <w:p w:rsidR="00000000" w:rsidRPr="00DD54BC" w:rsidP="00DD54BC">
      <w:pPr>
        <w:pStyle w:val="Heading1"/>
      </w:pPr>
      <w:bookmarkStart w:id="7" w:name="O_426794"/>
      <w:bookmarkEnd w:id="7"/>
      <w:r w:rsidRPr="00DD54BC">
        <w:t>Elements and Performance Criteria Pre-Content</w:t>
      </w:r>
    </w:p>
    <w:tbl>
      <w:tblPr>
        <w:tblW w:w="0" w:type="auto"/>
        <w:tblLayout w:type="fixed"/>
        <w:tblCellMar>
          <w:left w:w="62" w:type="dxa"/>
          <w:right w:w="62" w:type="dxa"/>
        </w:tblCellMar>
        <w:tblLook w:val="0000"/>
      </w:tblPr>
      <w:tblGrid>
        <w:gridCol w:w="3369"/>
        <w:gridCol w:w="5702"/>
      </w:tblGrid>
      <w:tr w:rsidTr="008E05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r w:rsidRPr="00DD54B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D54BC" w:rsidP="00DD54BC">
            <w:pPr>
              <w:pStyle w:val="BodyText"/>
            </w:pPr>
            <w:r w:rsidRPr="00DD54BC">
              <w:t>The Performance Criteria specify the level of performance required to demonstrate achievement of the Element. Terms in italics are elabora</w:t>
            </w:r>
            <w:r w:rsidRPr="00DD54BC">
              <w:t xml:space="preserve">ted in the Range Statement. </w:t>
            </w:r>
          </w:p>
        </w:tc>
      </w:tr>
    </w:tbl>
    <w:p w:rsidR="00000000" w:rsidRPr="00DD54BC" w:rsidP="00DD54BC">
      <w:pPr>
        <w:pStyle w:val="BodyText"/>
      </w:pPr>
    </w:p>
    <w:p w:rsidR="00000000" w:rsidRPr="00DD54BC" w:rsidP="00DD54BC">
      <w:pPr>
        <w:pStyle w:val="AllowPageBreak"/>
      </w:pPr>
    </w:p>
    <w:p w:rsidR="00000000" w:rsidRPr="00DD54BC" w:rsidP="00DD54BC">
      <w:pPr>
        <w:pStyle w:val="Heading1"/>
      </w:pPr>
      <w:bookmarkStart w:id="8" w:name="O_426793"/>
      <w:bookmarkEnd w:id="8"/>
      <w:r w:rsidRPr="00DD54BC">
        <w:t>Elements and Performance Criteria</w:t>
      </w:r>
    </w:p>
    <w:tbl>
      <w:tblPr>
        <w:tblW w:w="0" w:type="auto"/>
        <w:tblLayout w:type="fixed"/>
        <w:tblCellMar>
          <w:left w:w="62" w:type="dxa"/>
          <w:right w:w="62" w:type="dxa"/>
        </w:tblCellMar>
        <w:tblLook w:val="0000"/>
      </w:tblPr>
      <w:tblGrid>
        <w:gridCol w:w="3369"/>
        <w:gridCol w:w="5702"/>
      </w:tblGrid>
      <w:tr w:rsidTr="008E056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D54BC" w:rsidP="00DD54BC">
            <w:pPr>
              <w:pStyle w:val="BodyText"/>
            </w:pPr>
            <w:r w:rsidRPr="00DD54B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r w:rsidRPr="00DD54BC">
              <w:rPr>
                <w:rStyle w:val="SpecialBold"/>
              </w:rPr>
              <w:t>PERFORMANCE CRITERIA</w:t>
            </w:r>
          </w:p>
        </w:tc>
      </w:tr>
      <w:tr w:rsidTr="008E05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54BC">
            <w:pPr>
              <w:pStyle w:val="List"/>
              <w:rPr>
                <w:lang w:val="en-NZ"/>
              </w:rPr>
            </w:pPr>
            <w:r w:rsidRPr="00DD54BC">
              <w:t>1.</w:t>
            </w:r>
            <w:r w:rsidRPr="00DD54BC">
              <w:tab/>
              <w:t xml:space="preserve">Organise, assemble and position anaesthetic equipment and materials </w:t>
            </w:r>
          </w:p>
        </w:tc>
        <w:tc>
          <w:tcPr>
            <w:tcW w:w="5702" w:type="dxa"/>
            <w:tcBorders>
              <w:top w:val="nil"/>
              <w:left w:val="nil"/>
              <w:bottom w:val="nil"/>
              <w:right w:val="nil"/>
            </w:tcBorders>
            <w:tcMar>
              <w:top w:w="0" w:type="dxa"/>
              <w:left w:w="62" w:type="dxa"/>
              <w:bottom w:w="0" w:type="dxa"/>
              <w:right w:w="62" w:type="dxa"/>
            </w:tcMar>
          </w:tcPr>
          <w:p w:rsidR="00000000" w:rsidRPr="00DD54BC" w:rsidP="00DD54BC">
            <w:pPr>
              <w:pStyle w:val="BodyText"/>
            </w:pPr>
            <w:r w:rsidRPr="00DD54BC">
              <w:t>1.1</w:t>
            </w:r>
            <w:r w:rsidRPr="00DD54BC">
              <w:tab/>
            </w:r>
            <w:r w:rsidRPr="00DD54BC">
              <w:t>Ensure availability of minimum equipment requirements as per ANZCA policy guidelines</w:t>
            </w:r>
          </w:p>
          <w:p w:rsidR="00000000" w:rsidRPr="00DD54BC" w:rsidP="00DD54BC">
            <w:pPr>
              <w:pStyle w:val="BodyText"/>
            </w:pPr>
            <w:r w:rsidRPr="00DD54BC">
              <w:t>1.2</w:t>
            </w:r>
            <w:r w:rsidRPr="00DD54BC">
              <w:tab/>
              <w:t xml:space="preserve">Select </w:t>
            </w:r>
            <w:r w:rsidRPr="00DD54BC">
              <w:rPr>
                <w:rStyle w:val="Emphasis"/>
              </w:rPr>
              <w:t>equipment</w:t>
            </w:r>
            <w:r w:rsidRPr="00DD54BC">
              <w:t xml:space="preserve"> and </w:t>
            </w:r>
            <w:r w:rsidRPr="00DD54BC">
              <w:rPr>
                <w:rStyle w:val="Emphasis"/>
              </w:rPr>
              <w:t>materials</w:t>
            </w:r>
            <w:r w:rsidRPr="00DD54BC">
              <w:t xml:space="preserve"> and prepare correctly in relation to sequence and </w:t>
            </w:r>
            <w:r w:rsidRPr="00DD54BC">
              <w:rPr>
                <w:rStyle w:val="Emphasis"/>
              </w:rPr>
              <w:t>requirements of the clients and their clinical procedure</w:t>
            </w:r>
          </w:p>
          <w:p w:rsidR="00000000" w:rsidRPr="00DD54BC" w:rsidP="00DD54BC">
            <w:pPr>
              <w:pStyle w:val="BodyText"/>
            </w:pPr>
            <w:r w:rsidRPr="00DD54BC">
              <w:t>1.3</w:t>
            </w:r>
            <w:r w:rsidRPr="00DD54BC">
              <w:tab/>
              <w:t>Ensure all relevant anaes</w:t>
            </w:r>
            <w:r w:rsidRPr="00DD54BC">
              <w:t>thetic equipment and materials are clean/disinfected/sterile, functioning correctly, prepared for use, and, if necessary, calibrated</w:t>
            </w:r>
          </w:p>
          <w:p w:rsidR="00000000" w:rsidRPr="00DD54BC" w:rsidP="00DD54BC">
            <w:pPr>
              <w:pStyle w:val="BodyText"/>
            </w:pPr>
            <w:r w:rsidRPr="00DD54BC">
              <w:t>1.4</w:t>
            </w:r>
            <w:r w:rsidRPr="00DD54BC">
              <w:tab/>
              <w:t>Position equipment and materials for accessibility with reference to other health professionals to meet the requirement</w:t>
            </w:r>
            <w:r w:rsidRPr="00DD54BC">
              <w:t>s of the clinical procedure and according to the anaesthetist's preference</w:t>
            </w:r>
          </w:p>
          <w:p w:rsidR="00000000" w:rsidP="00DD54BC">
            <w:pPr>
              <w:pStyle w:val="BodyText"/>
              <w:rPr>
                <w:lang w:val="en-NZ"/>
              </w:rPr>
            </w:pPr>
            <w:r w:rsidRPr="00DD54BC">
              <w:t>1.5</w:t>
            </w:r>
            <w:r w:rsidRPr="00DD54BC">
              <w:tab/>
              <w:t xml:space="preserve">Confirm the </w:t>
            </w:r>
            <w:r w:rsidRPr="00DD54BC">
              <w:rPr>
                <w:rStyle w:val="Emphasis"/>
              </w:rPr>
              <w:t>anaesthetist's requirements</w:t>
            </w:r>
            <w:r w:rsidRPr="00DD54BC">
              <w:t xml:space="preserve"> and preferences </w:t>
            </w:r>
          </w:p>
        </w:tc>
      </w:tr>
      <w:tr w:rsidTr="008E05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p>
        </w:tc>
      </w:tr>
      <w:tr w:rsidTr="008E05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54BC">
            <w:pPr>
              <w:pStyle w:val="List"/>
              <w:rPr>
                <w:lang w:val="en-NZ"/>
              </w:rPr>
            </w:pPr>
            <w:r w:rsidRPr="00DD54BC">
              <w:t>2.</w:t>
            </w:r>
            <w:r w:rsidRPr="00DD54BC">
              <w:tab/>
            </w:r>
            <w:r w:rsidRPr="00DD54BC">
              <w:t>Prepare for intravascular infusion and transfusion in accordance with request from anaesthetist and organisation policies and procedures</w:t>
            </w:r>
          </w:p>
        </w:tc>
        <w:tc>
          <w:tcPr>
            <w:tcW w:w="5702" w:type="dxa"/>
            <w:tcBorders>
              <w:top w:val="nil"/>
              <w:left w:val="nil"/>
              <w:bottom w:val="nil"/>
              <w:right w:val="nil"/>
            </w:tcBorders>
            <w:tcMar>
              <w:top w:w="0" w:type="dxa"/>
              <w:left w:w="62" w:type="dxa"/>
              <w:bottom w:w="0" w:type="dxa"/>
              <w:right w:w="62" w:type="dxa"/>
            </w:tcMar>
          </w:tcPr>
          <w:p w:rsidR="00000000" w:rsidRPr="00DD54BC" w:rsidP="00DD54BC">
            <w:pPr>
              <w:pStyle w:val="BodyText"/>
            </w:pPr>
            <w:r w:rsidRPr="00DD54BC">
              <w:t>2.1</w:t>
            </w:r>
            <w:r w:rsidRPr="00DD54BC">
              <w:tab/>
              <w:t xml:space="preserve">Ensure </w:t>
            </w:r>
            <w:r w:rsidRPr="00DD54BC">
              <w:rPr>
                <w:rStyle w:val="Emphasis"/>
              </w:rPr>
              <w:t>intravascular solution</w:t>
            </w:r>
            <w:r w:rsidRPr="00DD54BC">
              <w:t>, blood or blood product is correctly selected in accordance with anaesthetist's instr</w:t>
            </w:r>
            <w:r w:rsidRPr="00DD54BC">
              <w:t>uctions and client documentation</w:t>
            </w:r>
          </w:p>
          <w:p w:rsidR="00000000" w:rsidRPr="00DD54BC" w:rsidP="00DD54BC">
            <w:pPr>
              <w:pStyle w:val="BodyText"/>
            </w:pPr>
            <w:r w:rsidRPr="00DD54BC">
              <w:t>2.2</w:t>
            </w:r>
            <w:r w:rsidRPr="00DD54BC">
              <w:tab/>
              <w:t>Confirm selected solution, blood or blood as fit for use in accordance with organisation policies and procedures</w:t>
            </w:r>
          </w:p>
          <w:p w:rsidR="00000000" w:rsidRPr="00DD54BC" w:rsidP="00DD54BC">
            <w:pPr>
              <w:pStyle w:val="BodyText"/>
            </w:pPr>
            <w:r w:rsidRPr="00DD54BC">
              <w:t>2.3</w:t>
            </w:r>
            <w:r w:rsidRPr="00DD54BC">
              <w:tab/>
              <w:t xml:space="preserve">Correctly select </w:t>
            </w:r>
            <w:r w:rsidRPr="00DD54BC">
              <w:rPr>
                <w:rStyle w:val="Emphasis"/>
              </w:rPr>
              <w:t>infusion</w:t>
            </w:r>
            <w:r w:rsidRPr="00DD54BC">
              <w:t xml:space="preserve"> set, connectors and/ or filters </w:t>
            </w:r>
          </w:p>
          <w:p w:rsidR="00000000" w:rsidRPr="00DD54BC" w:rsidP="00DD54BC">
            <w:pPr>
              <w:pStyle w:val="BodyText"/>
            </w:pPr>
            <w:r w:rsidRPr="00DD54BC">
              <w:t>2.4</w:t>
            </w:r>
            <w:r w:rsidRPr="00DD54BC">
              <w:tab/>
              <w:t>Correctly assemble equipment and materi</w:t>
            </w:r>
            <w:r w:rsidRPr="00DD54BC">
              <w:t>als and prime in an aseptic manner and ready for use</w:t>
            </w:r>
          </w:p>
          <w:p w:rsidR="00000000" w:rsidP="00DD54BC">
            <w:pPr>
              <w:pStyle w:val="BodyText"/>
              <w:rPr>
                <w:lang w:val="en-NZ"/>
              </w:rPr>
            </w:pPr>
            <w:r w:rsidRPr="00DD54BC">
              <w:t>2.5</w:t>
            </w:r>
            <w:r w:rsidRPr="00DD54BC">
              <w:tab/>
              <w:t>Store infusion equipment and solutions correctly</w:t>
            </w:r>
          </w:p>
        </w:tc>
      </w:tr>
      <w:tr w:rsidTr="008E05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p>
        </w:tc>
      </w:tr>
      <w:tr w:rsidTr="008E05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54BC">
            <w:pPr>
              <w:pStyle w:val="List"/>
              <w:rPr>
                <w:lang w:val="en-NZ"/>
              </w:rPr>
            </w:pPr>
            <w:r w:rsidRPr="00DD54BC">
              <w:t>3.</w:t>
            </w:r>
            <w:r w:rsidRPr="00DD54BC">
              <w:tab/>
              <w:t xml:space="preserve">Maintain adequate stock levels of anaesthetic consumable items </w:t>
            </w:r>
          </w:p>
        </w:tc>
        <w:tc>
          <w:tcPr>
            <w:tcW w:w="5702" w:type="dxa"/>
            <w:tcBorders>
              <w:top w:val="nil"/>
              <w:left w:val="nil"/>
              <w:bottom w:val="nil"/>
              <w:right w:val="nil"/>
            </w:tcBorders>
            <w:tcMar>
              <w:top w:w="0" w:type="dxa"/>
              <w:left w:w="62" w:type="dxa"/>
              <w:bottom w:w="0" w:type="dxa"/>
              <w:right w:w="62" w:type="dxa"/>
            </w:tcMar>
          </w:tcPr>
          <w:p w:rsidR="00000000" w:rsidRPr="00DD54BC" w:rsidP="00DD54BC">
            <w:pPr>
              <w:pStyle w:val="BodyText"/>
            </w:pPr>
            <w:r w:rsidRPr="00DD54BC">
              <w:t>3.1</w:t>
            </w:r>
            <w:r w:rsidRPr="00DD54BC">
              <w:tab/>
              <w:t>Check stock levels and take appropriate action to maintain supply</w:t>
            </w:r>
          </w:p>
          <w:p w:rsidR="00000000" w:rsidRPr="00DD54BC" w:rsidP="00DD54BC">
            <w:pPr>
              <w:pStyle w:val="BodyText"/>
            </w:pPr>
            <w:r w:rsidRPr="00DD54BC">
              <w:t>3.2</w:t>
            </w:r>
            <w:r w:rsidRPr="00DD54BC">
              <w:tab/>
              <w:t>Commu</w:t>
            </w:r>
            <w:r w:rsidRPr="00DD54BC">
              <w:t>nicate unavailability of stock to relevant personnel</w:t>
            </w:r>
          </w:p>
          <w:p w:rsidR="00000000" w:rsidRPr="00DD54BC" w:rsidP="00DD54BC">
            <w:pPr>
              <w:pStyle w:val="BodyText"/>
            </w:pPr>
            <w:r w:rsidRPr="00DD54BC">
              <w:t>3.3</w:t>
            </w:r>
            <w:r w:rsidRPr="00DD54BC">
              <w:tab/>
              <w:t>Rotate stock where necessary</w:t>
            </w:r>
          </w:p>
          <w:p w:rsidR="00000000" w:rsidRPr="00DD54BC" w:rsidP="00DD54BC">
            <w:pPr>
              <w:pStyle w:val="BodyText"/>
            </w:pPr>
            <w:r w:rsidRPr="00DD54BC">
              <w:t>3.4</w:t>
            </w:r>
            <w:r w:rsidRPr="00DD54BC">
              <w:tab/>
              <w:t>Store materials according to manufacturer's recommendations and legal requirements</w:t>
            </w:r>
          </w:p>
          <w:p w:rsidR="00000000" w:rsidRPr="00DD54BC" w:rsidP="00DD54BC">
            <w:pPr>
              <w:pStyle w:val="BodyText"/>
            </w:pPr>
            <w:r w:rsidRPr="00DD54BC">
              <w:t>3.5</w:t>
            </w:r>
            <w:r w:rsidRPr="00DD54BC">
              <w:tab/>
              <w:t>Carry out ordering procedures to organisation's requirements</w:t>
            </w:r>
          </w:p>
          <w:p w:rsidR="00000000" w:rsidRPr="00DD54BC" w:rsidP="00DD54BC">
            <w:pPr>
              <w:pStyle w:val="BodyText"/>
            </w:pPr>
            <w:r w:rsidRPr="00DD54BC">
              <w:t>3.6</w:t>
            </w:r>
            <w:r w:rsidRPr="00DD54BC">
              <w:tab/>
              <w:t>Withdraw relev</w:t>
            </w:r>
            <w:r w:rsidRPr="00DD54BC">
              <w:t>ant stock and dispose of in compliance with health hazard notices</w:t>
            </w:r>
          </w:p>
          <w:p w:rsidR="00000000" w:rsidRPr="00DD54BC" w:rsidP="00DD54BC">
            <w:pPr>
              <w:pStyle w:val="BodyText"/>
            </w:pPr>
            <w:r w:rsidRPr="00DD54BC">
              <w:t>3.7</w:t>
            </w:r>
            <w:r w:rsidRPr="00DD54BC">
              <w:tab/>
              <w:t xml:space="preserve">Dispose of expired stock promptly and safely in accordance with legislative requirements </w:t>
            </w:r>
          </w:p>
          <w:p w:rsidR="00000000" w:rsidP="00DD54BC">
            <w:pPr>
              <w:pStyle w:val="BodyText"/>
              <w:rPr>
                <w:lang w:val="en-NZ"/>
              </w:rPr>
            </w:pPr>
            <w:r w:rsidRPr="00DD54BC">
              <w:t>3.8</w:t>
            </w:r>
            <w:r w:rsidRPr="00DD54BC">
              <w:tab/>
              <w:t>Ensure relevant material safety data sheets are available and referenced as required</w:t>
            </w:r>
          </w:p>
        </w:tc>
      </w:tr>
      <w:tr w:rsidTr="008E05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p>
        </w:tc>
      </w:tr>
      <w:tr w:rsidTr="008E056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54BC">
            <w:pPr>
              <w:pStyle w:val="List"/>
              <w:rPr>
                <w:lang w:val="en-NZ"/>
              </w:rPr>
            </w:pPr>
            <w:r w:rsidRPr="00DD54BC">
              <w:t>4.</w:t>
            </w:r>
            <w:r w:rsidRPr="00DD54BC">
              <w:tab/>
            </w:r>
            <w:r w:rsidRPr="00DD54BC">
              <w:t>Prepare the environment for the administration of anaesthesia</w:t>
            </w:r>
          </w:p>
        </w:tc>
        <w:tc>
          <w:tcPr>
            <w:tcW w:w="5702" w:type="dxa"/>
            <w:tcBorders>
              <w:top w:val="nil"/>
              <w:left w:val="nil"/>
              <w:bottom w:val="nil"/>
              <w:right w:val="nil"/>
            </w:tcBorders>
            <w:tcMar>
              <w:top w:w="0" w:type="dxa"/>
              <w:left w:w="62" w:type="dxa"/>
              <w:bottom w:w="0" w:type="dxa"/>
              <w:right w:w="62" w:type="dxa"/>
            </w:tcMar>
          </w:tcPr>
          <w:p w:rsidR="00000000" w:rsidRPr="00DD54BC" w:rsidP="00DD54BC">
            <w:pPr>
              <w:pStyle w:val="BodyText"/>
            </w:pPr>
            <w:r w:rsidRPr="00DD54BC">
              <w:t>4.1</w:t>
            </w:r>
            <w:r w:rsidRPr="00DD54BC">
              <w:tab/>
              <w:t>Check humidity and temperature levels and adjust in accordance with relevant industry standards and clinical procedure</w:t>
            </w:r>
          </w:p>
          <w:p w:rsidR="00000000" w:rsidRPr="00DD54BC" w:rsidP="00DD54BC">
            <w:pPr>
              <w:pStyle w:val="BodyText"/>
            </w:pPr>
            <w:r w:rsidRPr="00DD54BC">
              <w:t>4.2</w:t>
            </w:r>
            <w:r w:rsidRPr="00DD54BC">
              <w:tab/>
              <w:t>Check lighting for suitability for the administration of anaesthesi</w:t>
            </w:r>
            <w:r w:rsidRPr="00DD54BC">
              <w:t>a</w:t>
            </w:r>
          </w:p>
          <w:p w:rsidR="00000000" w:rsidRPr="00DD54BC" w:rsidP="00DD54BC">
            <w:pPr>
              <w:pStyle w:val="BodyText"/>
            </w:pPr>
            <w:r w:rsidRPr="00DD54BC">
              <w:t>4.3</w:t>
            </w:r>
            <w:r w:rsidRPr="00DD54BC">
              <w:tab/>
              <w:t xml:space="preserve">Keep noise levels to a minimum </w:t>
            </w:r>
          </w:p>
        </w:tc>
      </w:tr>
    </w:tbl>
    <w:p w:rsidR="008E0560" w:rsidP="00DD54BC">
      <w:pPr>
        <w:pStyle w:val="BodyText"/>
      </w:pPr>
    </w:p>
    <w:p w:rsidR="008E0560" w:rsidP="00DD54BC">
      <w:pPr>
        <w:pStyle w:val="BodyText"/>
      </w:pPr>
    </w:p>
    <w:p w:rsidR="00000000" w:rsidRPr="00DD54BC" w:rsidP="00DD54BC">
      <w:pPr>
        <w:pStyle w:val="Heading1"/>
      </w:pPr>
      <w:bookmarkStart w:id="9" w:name="O_426801"/>
      <w:bookmarkEnd w:id="9"/>
      <w:r w:rsidRPr="00DD54BC">
        <w:t>Required Skills and Knowledge</w:t>
      </w:r>
    </w:p>
    <w:tbl>
      <w:tblPr>
        <w:tblW w:w="0" w:type="auto"/>
        <w:tblLayout w:type="fixed"/>
        <w:tblCellMar>
          <w:left w:w="62" w:type="dxa"/>
          <w:right w:w="62" w:type="dxa"/>
        </w:tblCellMar>
        <w:tblLook w:val="0000"/>
      </w:tblPr>
      <w:tblGrid>
        <w:gridCol w:w="9072"/>
      </w:tblGrid>
      <w:tr w:rsidTr="008E056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r w:rsidRPr="00DD54BC">
              <w:rPr>
                <w:rStyle w:val="SpecialBold"/>
              </w:rPr>
              <w:t>REQUIRED SKILLS AND KNOWLEDGE</w:t>
            </w:r>
          </w:p>
        </w:tc>
      </w:tr>
      <w:tr w:rsidTr="008E05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p>
        </w:tc>
      </w:tr>
      <w:tr w:rsidTr="008E05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r w:rsidRPr="00DD54BC">
              <w:t>This describes the essential skills and knowledge and their level required for this unit.</w:t>
            </w:r>
          </w:p>
        </w:tc>
      </w:tr>
      <w:tr w:rsidTr="008E05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p>
        </w:tc>
      </w:tr>
      <w:tr w:rsidTr="008E05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D54BC" w:rsidP="00DD54BC">
            <w:pPr>
              <w:pStyle w:val="BodyText"/>
            </w:pPr>
            <w:r w:rsidRPr="00DD54BC">
              <w:rPr>
                <w:rStyle w:val="Emphasis"/>
              </w:rPr>
              <w:t>Essential knowledge</w:t>
            </w:r>
            <w:r w:rsidRPr="00DD54BC">
              <w:t>:</w:t>
            </w:r>
          </w:p>
          <w:p w:rsidR="00000000" w:rsidRPr="00DD54BC" w:rsidP="00DD54BC">
            <w:pPr>
              <w:pStyle w:val="BodyText"/>
            </w:pPr>
            <w:r w:rsidRPr="00DD54B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D54BC" w:rsidP="00DD54BC">
            <w:pPr>
              <w:pStyle w:val="BodyText"/>
            </w:pPr>
            <w:r w:rsidRPr="00DD54BC">
              <w:t xml:space="preserve">This includes </w:t>
            </w:r>
            <w:r w:rsidRPr="00DD54BC">
              <w:t>knowledge of:</w:t>
            </w:r>
          </w:p>
          <w:p w:rsidR="00000000" w:rsidRPr="00DD54BC" w:rsidP="00DD54BC">
            <w:pPr>
              <w:pStyle w:val="ListBullet"/>
            </w:pPr>
            <w:r w:rsidRPr="00DD54BC">
              <w:t>Anatomy and physiology relevant to providing assistance in anaesthesia</w:t>
            </w:r>
          </w:p>
          <w:p w:rsidR="00000000" w:rsidRPr="00DD54BC" w:rsidP="00DD54BC">
            <w:pPr>
              <w:pStyle w:val="ListBullet"/>
            </w:pPr>
            <w:r w:rsidRPr="00DD54BC">
              <w:t>Fluid balance relevant to providing assistance in anaesthesia maintenance</w:t>
            </w:r>
          </w:p>
          <w:p w:rsidR="00000000" w:rsidRPr="00DD54BC" w:rsidP="00DD54BC">
            <w:pPr>
              <w:pStyle w:val="ListBullet"/>
            </w:pPr>
            <w:r w:rsidRPr="00DD54BC">
              <w:t>Medical terminology relevant to providing assistance in anaesthesia</w:t>
            </w:r>
          </w:p>
          <w:p w:rsidR="00000000" w:rsidRPr="00DD54BC" w:rsidP="00DD54BC">
            <w:pPr>
              <w:pStyle w:val="ListBullet"/>
            </w:pPr>
            <w:r w:rsidRPr="00DD54BC">
              <w:t>Clinical/operative procedures and the interrelationship with anaesthesia relevant to providing assistance in anaesthesia</w:t>
            </w:r>
          </w:p>
          <w:p w:rsidR="00000000" w:rsidRPr="00DD54BC" w:rsidP="00DD54BC">
            <w:pPr>
              <w:pStyle w:val="ListBullet"/>
            </w:pPr>
            <w:r w:rsidRPr="00DD54BC">
              <w:t>General knowledge of pathophysiology of disease relevant to providing assistance during anaesthesia</w:t>
            </w:r>
          </w:p>
          <w:p w:rsidR="00000000" w:rsidRPr="00DD54BC" w:rsidP="00DD54BC">
            <w:pPr>
              <w:pStyle w:val="ListBullet"/>
            </w:pPr>
            <w:r w:rsidRPr="00DD54BC">
              <w:t xml:space="preserve">Anaesthetic procedures relevant to </w:t>
            </w:r>
            <w:r w:rsidRPr="00DD54BC">
              <w:t>providing assistance during anaesthesia</w:t>
            </w:r>
          </w:p>
          <w:p w:rsidR="00000000" w:rsidRPr="00DD54BC" w:rsidP="00DD54BC">
            <w:pPr>
              <w:pStyle w:val="ListBullet"/>
            </w:pPr>
            <w:r w:rsidRPr="00DD54BC">
              <w:t>Use of pain management equipment relevant to providing assistance during anaesthesia</w:t>
            </w:r>
          </w:p>
          <w:p w:rsidR="00000000" w:rsidRPr="00DD54BC" w:rsidP="00DD54BC">
            <w:pPr>
              <w:pStyle w:val="ListBullet"/>
            </w:pPr>
            <w:r w:rsidRPr="00DD54BC">
              <w:t>Principles of function, usage, indications, limitations and care of equipment required for clinical and anaesthetic procedures</w:t>
            </w:r>
          </w:p>
          <w:p w:rsidR="00000000" w:rsidRPr="00DD54BC" w:rsidP="00DD54BC">
            <w:pPr>
              <w:pStyle w:val="ListBullet"/>
            </w:pPr>
            <w:r w:rsidRPr="00DD54BC">
              <w:t>Proc</w:t>
            </w:r>
            <w:r w:rsidRPr="00DD54BC">
              <w:t>edures for managing anaesthetic equipment faults</w:t>
            </w:r>
          </w:p>
          <w:p w:rsidR="00000000" w:rsidRPr="00DD54BC" w:rsidP="00DD54BC">
            <w:pPr>
              <w:pStyle w:val="ListBullet"/>
            </w:pPr>
            <w:r w:rsidRPr="00DD54BC">
              <w:t>Microbiology relevant to providing assistance in anaesthesia</w:t>
            </w:r>
          </w:p>
          <w:p w:rsidR="00000000" w:rsidRPr="00DD54BC" w:rsidP="00DD54BC">
            <w:pPr>
              <w:pStyle w:val="ListBullet"/>
            </w:pPr>
            <w:r w:rsidRPr="00DD54BC">
              <w:t>Occupational health and safety procedures in relation to anaesthetic equipment</w:t>
            </w:r>
          </w:p>
          <w:p w:rsidR="00000000" w:rsidRPr="00DD54BC" w:rsidP="00DD54BC">
            <w:pPr>
              <w:pStyle w:val="ListBullet"/>
            </w:pPr>
            <w:r w:rsidRPr="00DD54BC">
              <w:t>Infection control policies, including standard and additional preca</w:t>
            </w:r>
            <w:r w:rsidRPr="00DD54BC">
              <w:t>utions, in relation to anaesthetic equipment and clinical procedures</w:t>
            </w:r>
          </w:p>
          <w:p w:rsidR="00000000" w:rsidRPr="00DD54BC" w:rsidP="00DD54BC">
            <w:pPr>
              <w:pStyle w:val="ListBullet"/>
            </w:pPr>
            <w:r w:rsidRPr="00DD54BC">
              <w:t>Manual handling techniques</w:t>
            </w:r>
          </w:p>
          <w:p w:rsidR="00000000" w:rsidRPr="00DD54BC" w:rsidP="00DD54BC">
            <w:pPr>
              <w:pStyle w:val="ListBullet"/>
            </w:pPr>
            <w:r w:rsidRPr="00DD54BC">
              <w:t>Types of infusion solutions, their indication for use and hazards, including incompatibilities</w:t>
            </w:r>
          </w:p>
          <w:p w:rsidR="00000000" w:rsidRPr="00DD54BC" w:rsidP="00DD54BC">
            <w:pPr>
              <w:pStyle w:val="ListBullet"/>
            </w:pPr>
            <w:r w:rsidRPr="00DD54BC">
              <w:t xml:space="preserve">Clinical recognition of adverse client reaction to transfusions, </w:t>
            </w:r>
            <w:r w:rsidRPr="00DD54BC">
              <w:t xml:space="preserve">infusions and drug therapy </w:t>
            </w:r>
          </w:p>
          <w:p w:rsidR="00000000" w:rsidRPr="00DD54BC" w:rsidP="00DD54BC">
            <w:pPr>
              <w:pStyle w:val="ListBullet"/>
            </w:pPr>
            <w:r w:rsidRPr="00DD54BC">
              <w:t>Medico-legal requirements relevant to providing assistance in anaesthesia</w:t>
            </w:r>
          </w:p>
          <w:p w:rsidR="00000000" w:rsidRPr="00DD54BC" w:rsidP="00DD54BC">
            <w:pPr>
              <w:pStyle w:val="ListBullet"/>
            </w:pPr>
            <w:r w:rsidRPr="00DD54BC">
              <w:t>Understanding of gas laws and physical properties of gas</w:t>
            </w:r>
          </w:p>
          <w:p w:rsidR="00000000" w:rsidRPr="00DD54BC" w:rsidP="00DD54BC">
            <w:pPr>
              <w:pStyle w:val="ListBullet"/>
            </w:pPr>
            <w:r w:rsidRPr="00DD54BC">
              <w:t>Gas cylinders and piped gas, including hazards and safe handling</w:t>
            </w:r>
          </w:p>
          <w:p w:rsidR="00000000" w:rsidP="00DD54BC">
            <w:pPr>
              <w:pStyle w:val="ListBullet"/>
              <w:rPr>
                <w:lang w:val="en-NZ"/>
              </w:rPr>
            </w:pPr>
            <w:r w:rsidRPr="00DD54BC">
              <w:t xml:space="preserve">Methods and principles of stock </w:t>
            </w:r>
            <w:r w:rsidRPr="00DD54BC">
              <w:t>control and rotation and storage in accordance with organisation policies and procedures and manufacturers' regulations</w:t>
            </w:r>
          </w:p>
        </w:tc>
      </w:tr>
      <w:tr w:rsidTr="008E05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p>
        </w:tc>
      </w:tr>
      <w:tr w:rsidTr="008E056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D54BC" w:rsidP="00DD54BC">
            <w:pPr>
              <w:pStyle w:val="BodyText"/>
            </w:pPr>
            <w:r w:rsidRPr="00DD54BC">
              <w:rPr>
                <w:rStyle w:val="Emphasis"/>
              </w:rPr>
              <w:t>Essential skills</w:t>
            </w:r>
            <w:r w:rsidRPr="00DD54BC">
              <w:t>:</w:t>
            </w:r>
          </w:p>
          <w:p w:rsidR="00000000" w:rsidRPr="00DD54BC" w:rsidP="00DD54BC">
            <w:pPr>
              <w:pStyle w:val="BodyText"/>
            </w:pPr>
            <w:r w:rsidRPr="00DD54BC">
              <w:t>It is critical that the candidate demonstrate the ability to:</w:t>
            </w:r>
          </w:p>
          <w:p w:rsidR="00000000" w:rsidRPr="00DD54BC" w:rsidP="00DD54BC">
            <w:pPr>
              <w:pStyle w:val="ListBullet"/>
            </w:pPr>
            <w:r w:rsidRPr="00DD54BC">
              <w:t>Comply with organisation policies and procedures including those of work health and safety (WHS), and infection control, and current standards</w:t>
            </w:r>
          </w:p>
          <w:p w:rsidR="00000000" w:rsidRPr="00DD54BC" w:rsidP="00DD54BC">
            <w:pPr>
              <w:pStyle w:val="ListBullet"/>
            </w:pPr>
            <w:r w:rsidRPr="00DD54BC">
              <w:t>Identify the anaesthetic equipment and material requirements for a range of clinical procedures</w:t>
            </w:r>
          </w:p>
          <w:p w:rsidR="00000000" w:rsidRPr="00DD54BC" w:rsidP="00DD54BC">
            <w:pPr>
              <w:pStyle w:val="ListBullet"/>
            </w:pPr>
            <w:r w:rsidRPr="00DD54BC">
              <w:t>Prepare anaesthet</w:t>
            </w:r>
            <w:r w:rsidRPr="00DD54BC">
              <w:t>ic equipment and materials for use in a broad range of clinical procedures</w:t>
            </w:r>
          </w:p>
          <w:p w:rsidR="00000000" w:rsidRPr="00DD54BC" w:rsidP="00DD54BC">
            <w:pPr>
              <w:pStyle w:val="ListBullet"/>
            </w:pPr>
            <w:r w:rsidRPr="00DD54BC">
              <w:t>Recognise hazards related to the use of each item of a range of anaesthetic equipment</w:t>
            </w:r>
          </w:p>
          <w:p w:rsidR="00000000" w:rsidRPr="00DD54BC" w:rsidP="00DD54BC">
            <w:pPr>
              <w:pStyle w:val="ListBullet"/>
            </w:pPr>
            <w:r w:rsidRPr="00DD54BC">
              <w:t>Apply knowledge of boundaries of responsibilities and refer problems to supervisor, anaesthetis</w:t>
            </w:r>
            <w:r w:rsidRPr="00DD54BC">
              <w:t>t or other appropriate health professional</w:t>
            </w:r>
          </w:p>
          <w:p w:rsidR="00000000" w:rsidRPr="00DD54BC" w:rsidP="00DD54BC">
            <w:pPr>
              <w:pStyle w:val="ListBullet"/>
            </w:pPr>
            <w:r w:rsidRPr="00DD54BC">
              <w:t>Correctly apply relevant Australian Standards and organisation policy and procedures for cleaning, disinfecting and/or sterilisation of anaesthetic equipment where applicable</w:t>
            </w:r>
          </w:p>
          <w:p w:rsidR="00000000" w:rsidRPr="00DD54BC" w:rsidP="00DD54BC">
            <w:pPr>
              <w:pStyle w:val="ListBullet"/>
            </w:pPr>
            <w:r w:rsidRPr="00DD54BC">
              <w:t>Identify and manage faults in anaesthe</w:t>
            </w:r>
            <w:r w:rsidRPr="00DD54BC">
              <w:t>tic and monitoring equipment and materials</w:t>
            </w:r>
          </w:p>
          <w:p w:rsidR="00000000" w:rsidRPr="00DD54BC" w:rsidP="00DD54BC">
            <w:pPr>
              <w:pStyle w:val="ListBullet"/>
            </w:pPr>
            <w:r w:rsidRPr="00DD54BC">
              <w:t xml:space="preserve">Assemble and prime infusion in an aseptic manner and prepare infusion equipment </w:t>
            </w:r>
          </w:p>
          <w:p w:rsidR="00000000" w:rsidRPr="00DD54BC" w:rsidP="00DD54BC">
            <w:pPr>
              <w:pStyle w:val="BodyText"/>
            </w:pPr>
          </w:p>
          <w:p w:rsidR="00000000" w:rsidRPr="00DD54BC" w:rsidP="00DD54BC">
            <w:pPr>
              <w:pStyle w:val="BodyText"/>
            </w:pPr>
            <w:r w:rsidRPr="00DD54BC">
              <w:t>In addition, the candidate must be able to effectively do the task outlined in elements and performance criteria of this unit, mana</w:t>
            </w:r>
            <w:r w:rsidRPr="00DD54BC">
              <w:t>ge the task and manage contingencies in the context of the identified work role</w:t>
            </w:r>
          </w:p>
          <w:p w:rsidR="00000000" w:rsidRPr="00DD54BC" w:rsidP="00DD54BC">
            <w:pPr>
              <w:pStyle w:val="BodyText"/>
            </w:pPr>
            <w:r w:rsidRPr="00DD54BC">
              <w:t>This includes the ability to:</w:t>
            </w:r>
          </w:p>
          <w:p w:rsidR="00000000" w:rsidRPr="00DD54BC" w:rsidP="00DD54BC">
            <w:pPr>
              <w:pStyle w:val="ListBullet"/>
            </w:pPr>
            <w:r w:rsidRPr="00DD54BC">
              <w:t>Use basic computer skills</w:t>
            </w:r>
          </w:p>
          <w:p w:rsidR="00000000" w:rsidRPr="00DD54BC" w:rsidP="00DD54BC">
            <w:pPr>
              <w:pStyle w:val="ListBullet"/>
            </w:pPr>
            <w:r w:rsidRPr="00DD54BC">
              <w:t>Use reading and writing skills-literacy competence required to fulfil job roles in a safe manner and as specified by the organisation. The level of skill required involves reading and documenting clinical information and understanding complex policy and pr</w:t>
            </w:r>
            <w:r w:rsidRPr="00DD54BC">
              <w:t xml:space="preserve">ocedure manuals. </w:t>
            </w:r>
          </w:p>
          <w:p w:rsidR="00000000" w:rsidRPr="00DD54BC" w:rsidP="00DD54BC">
            <w:pPr>
              <w:pStyle w:val="ListBullet"/>
            </w:pPr>
            <w:r w:rsidRPr="00DD54BC">
              <w:t>Use oral communication skills-language competence required to fulfil job roles in a safe manner and as specified by the organisation. Assessors should look for skills in asking questions, providing clear information, listening to and unde</w:t>
            </w:r>
            <w:r w:rsidRPr="00DD54BC">
              <w:t xml:space="preserve">rstanding workplace instructions, and clarifying workplace instructions when necessary. Effective verbal and non verbal communication skills with a range of personnel, within and outside of the organisation, are essential. </w:t>
            </w:r>
          </w:p>
          <w:p w:rsidR="00000000" w:rsidRPr="00DD54BC" w:rsidP="00DD54BC">
            <w:pPr>
              <w:pStyle w:val="ListBullet"/>
            </w:pPr>
            <w:r w:rsidRPr="00DD54BC">
              <w:t>Use numeracy skills ranging from</w:t>
            </w:r>
            <w:r w:rsidRPr="00DD54BC">
              <w:t xml:space="preserve"> the ability to complete basic arithmetic calculations, recording stock levels and statistical information</w:t>
            </w:r>
          </w:p>
          <w:p w:rsidR="00000000" w:rsidRPr="00DD54BC" w:rsidP="00DD54BC">
            <w:pPr>
              <w:pStyle w:val="ListBullet"/>
            </w:pPr>
            <w:r w:rsidRPr="00DD54BC">
              <w:t>Use problem solving skills required, including an ability to use available resources</w:t>
            </w:r>
          </w:p>
          <w:p w:rsidR="00000000" w:rsidRPr="00DD54BC" w:rsidP="00DD54BC">
            <w:pPr>
              <w:pStyle w:val="ListBullet"/>
            </w:pPr>
            <w:r w:rsidRPr="00DD54BC">
              <w:t>Deal with conflict</w:t>
            </w:r>
          </w:p>
          <w:p w:rsidR="00000000" w:rsidRPr="00DD54BC" w:rsidP="00DD54BC">
            <w:pPr>
              <w:pStyle w:val="ListBullet"/>
            </w:pPr>
            <w:r w:rsidRPr="00DD54BC">
              <w:t>Work with others within a team</w:t>
            </w:r>
          </w:p>
          <w:p w:rsidR="00000000" w:rsidRPr="00DD54BC" w:rsidP="00DD54BC">
            <w:pPr>
              <w:pStyle w:val="ListBullet"/>
            </w:pPr>
            <w:r w:rsidRPr="00DD54BC">
              <w:t>Display empath</w:t>
            </w:r>
            <w:r w:rsidRPr="00DD54BC">
              <w:t>y with client and relatives</w:t>
            </w:r>
          </w:p>
        </w:tc>
      </w:tr>
    </w:tbl>
    <w:p w:rsidR="008E0560" w:rsidP="00DD54BC">
      <w:pPr>
        <w:pStyle w:val="BodyText"/>
      </w:pPr>
    </w:p>
    <w:p w:rsidR="008E0560" w:rsidP="00DD54BC">
      <w:pPr>
        <w:pStyle w:val="BodyText"/>
      </w:pPr>
    </w:p>
    <w:p w:rsidR="00000000" w:rsidRPr="00DD54BC" w:rsidP="00DD54BC">
      <w:pPr>
        <w:pStyle w:val="Heading1"/>
      </w:pPr>
      <w:bookmarkStart w:id="10" w:name="O_426796"/>
      <w:bookmarkEnd w:id="10"/>
      <w:r w:rsidRPr="00DD54BC">
        <w:t>Evidence Guide</w:t>
      </w:r>
    </w:p>
    <w:tbl>
      <w:tblPr>
        <w:tblW w:w="0" w:type="auto"/>
        <w:tblLayout w:type="fixed"/>
        <w:tblCellMar>
          <w:left w:w="62" w:type="dxa"/>
          <w:right w:w="62" w:type="dxa"/>
        </w:tblCellMar>
        <w:tblLook w:val="0000"/>
      </w:tblPr>
      <w:tblGrid>
        <w:gridCol w:w="3402"/>
        <w:gridCol w:w="5670"/>
      </w:tblGrid>
      <w:tr w:rsidTr="008E056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D54BC">
            <w:pPr>
              <w:pStyle w:val="BodyText"/>
              <w:rPr>
                <w:lang w:val="en-NZ"/>
              </w:rPr>
            </w:pPr>
            <w:r w:rsidRPr="00DD54BC">
              <w:rPr>
                <w:rStyle w:val="SpecialBold"/>
              </w:rPr>
              <w:t>EVIDENCE GUIDE</w:t>
            </w:r>
          </w:p>
        </w:tc>
      </w:tr>
      <w:tr w:rsidTr="008E05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54BC">
            <w:pPr>
              <w:pStyle w:val="BodyText"/>
              <w:rPr>
                <w:lang w:val="en-NZ"/>
              </w:rPr>
            </w:pPr>
          </w:p>
        </w:tc>
      </w:tr>
      <w:tr w:rsidTr="008E05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54BC">
            <w:pPr>
              <w:pStyle w:val="BodyText"/>
              <w:rPr>
                <w:lang w:val="en-NZ"/>
              </w:rPr>
            </w:pPr>
            <w:r w:rsidRPr="00DD54BC">
              <w:t xml:space="preserve">The evidence guide provides advice on assessment and must be read in conjunction with the Performance Criteria, Required Skills and Knowledge, </w:t>
            </w:r>
            <w:r w:rsidRPr="00DD54BC">
              <w:t>the Range Statement and the Assessment Guidelines for this Training Package.</w:t>
            </w:r>
          </w:p>
        </w:tc>
      </w:tr>
      <w:tr w:rsidTr="008E05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54BC">
            <w:pPr>
              <w:pStyle w:val="BodyText"/>
              <w:rPr>
                <w:lang w:val="en-NZ"/>
              </w:rPr>
            </w:pPr>
          </w:p>
        </w:tc>
      </w:tr>
      <w:tr w:rsidTr="008E05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r w:rsidRPr="00DD54BC">
              <w:rPr>
                <w:rStyle w:val="Emphasis"/>
              </w:rPr>
              <w:t>Critical aspects for assessment and evidence required to demonstrate this competency unit</w:t>
            </w:r>
            <w:r w:rsidRPr="00DD54BC">
              <w:t xml:space="preserve">: </w:t>
            </w:r>
          </w:p>
        </w:tc>
        <w:tc>
          <w:tcPr>
            <w:tcW w:w="5670" w:type="dxa"/>
            <w:tcBorders>
              <w:top w:val="nil"/>
              <w:left w:val="nil"/>
              <w:bottom w:val="nil"/>
              <w:right w:val="nil"/>
            </w:tcBorders>
            <w:tcMar>
              <w:top w:w="0" w:type="dxa"/>
              <w:left w:w="62" w:type="dxa"/>
              <w:bottom w:w="0" w:type="dxa"/>
              <w:right w:w="62" w:type="dxa"/>
            </w:tcMar>
          </w:tcPr>
          <w:p w:rsidR="00000000" w:rsidRPr="00DD54BC" w:rsidP="00DD54BC">
            <w:pPr>
              <w:pStyle w:val="ListBullet"/>
            </w:pPr>
            <w:r w:rsidRPr="00DD54BC">
              <w:t>The individual being assessed must provide evidence of specified essential knowle</w:t>
            </w:r>
            <w:r w:rsidRPr="00DD54BC">
              <w:t>dge as well as skills</w:t>
            </w:r>
          </w:p>
          <w:p w:rsidR="00000000" w:rsidRPr="00DD54BC" w:rsidP="00DD54BC">
            <w:pPr>
              <w:pStyle w:val="ListBullet"/>
            </w:pPr>
            <w:r w:rsidRPr="00DD54BC">
              <w:t>Observation of workplace performance is essential for assessment of this unit</w:t>
            </w:r>
          </w:p>
          <w:p w:rsidR="00000000" w:rsidRPr="00DD54BC" w:rsidP="00DD54BC">
            <w:pPr>
              <w:pStyle w:val="ListBullet"/>
            </w:pPr>
            <w:r w:rsidRPr="00DD54BC">
              <w:t>Consistency of performance should be demonstrated over the required range of situations relevant to the workplace</w:t>
            </w:r>
          </w:p>
          <w:p w:rsidR="00000000" w:rsidP="00DD54BC">
            <w:pPr>
              <w:pStyle w:val="ListBullet"/>
              <w:rPr>
                <w:lang w:val="en-NZ"/>
              </w:rPr>
            </w:pPr>
            <w:r w:rsidRPr="00DD54BC">
              <w:t>Where, for reasons of safety, space, or access to equipment and resources, assessment takes place away from the workplace, the assessment environment should represent workplace conditions as closely as possible</w:t>
            </w:r>
          </w:p>
        </w:tc>
      </w:tr>
      <w:tr w:rsidTr="008E05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p>
        </w:tc>
      </w:tr>
      <w:tr w:rsidTr="008E05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r w:rsidRPr="00DD54BC">
              <w:rPr>
                <w:rStyle w:val="Emphasis"/>
              </w:rPr>
              <w:t>Context of and specific resources for ass</w:t>
            </w:r>
            <w:r w:rsidRPr="00DD54BC">
              <w:rPr>
                <w:rStyle w:val="Emphasis"/>
              </w:rPr>
              <w:t>essment</w:t>
            </w:r>
            <w:r w:rsidRPr="00DD54BC">
              <w:t xml:space="preserve">: </w:t>
            </w:r>
          </w:p>
        </w:tc>
        <w:tc>
          <w:tcPr>
            <w:tcW w:w="5670" w:type="dxa"/>
            <w:tcBorders>
              <w:top w:val="nil"/>
              <w:left w:val="nil"/>
              <w:bottom w:val="nil"/>
              <w:right w:val="nil"/>
            </w:tcBorders>
            <w:tcMar>
              <w:top w:w="0" w:type="dxa"/>
              <w:left w:w="62" w:type="dxa"/>
              <w:bottom w:w="0" w:type="dxa"/>
              <w:right w:w="62" w:type="dxa"/>
            </w:tcMar>
          </w:tcPr>
          <w:p w:rsidR="00000000" w:rsidRPr="00DD54BC" w:rsidP="00DD54BC">
            <w:pPr>
              <w:pStyle w:val="ListBullet"/>
            </w:pPr>
            <w:r w:rsidRPr="00DD54BC">
              <w:t>Access to appropriate workplace where assessment can take place</w:t>
            </w:r>
          </w:p>
          <w:p w:rsidR="00000000" w:rsidRPr="00DD54BC" w:rsidP="00DD54BC">
            <w:pPr>
              <w:pStyle w:val="ListBullet"/>
            </w:pPr>
            <w:r w:rsidRPr="00DD54BC">
              <w:t xml:space="preserve">Simulation of realistic workplace setting for assessment </w:t>
            </w:r>
          </w:p>
          <w:p w:rsidR="00000000" w:rsidP="00DD54BC">
            <w:pPr>
              <w:pStyle w:val="ListBullet"/>
              <w:rPr>
                <w:lang w:val="en-NZ"/>
              </w:rPr>
            </w:pPr>
            <w:r w:rsidRPr="00DD54BC">
              <w:t>Relevant organisation policy, guidelines, procedures and protocols</w:t>
            </w:r>
          </w:p>
        </w:tc>
      </w:tr>
      <w:tr w:rsidTr="008E05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p>
        </w:tc>
      </w:tr>
      <w:tr w:rsidTr="008E05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r w:rsidRPr="00DD54BC">
              <w:rPr>
                <w:rStyle w:val="Emphasis"/>
              </w:rPr>
              <w:t>Access and equity considerations</w:t>
            </w:r>
            <w:r w:rsidRPr="00DD54BC">
              <w:t>:</w:t>
            </w:r>
          </w:p>
        </w:tc>
        <w:tc>
          <w:tcPr>
            <w:tcW w:w="5670" w:type="dxa"/>
            <w:tcBorders>
              <w:top w:val="nil"/>
              <w:left w:val="nil"/>
              <w:bottom w:val="nil"/>
              <w:right w:val="nil"/>
            </w:tcBorders>
            <w:tcMar>
              <w:top w:w="0" w:type="dxa"/>
              <w:left w:w="62" w:type="dxa"/>
              <w:bottom w:w="0" w:type="dxa"/>
              <w:right w:w="62" w:type="dxa"/>
            </w:tcMar>
          </w:tcPr>
          <w:p w:rsidR="00000000" w:rsidRPr="00DD54BC" w:rsidP="00DD54BC">
            <w:pPr>
              <w:pStyle w:val="ListBullet"/>
            </w:pPr>
            <w:r w:rsidRPr="00DD54BC">
              <w:t>All workers in the health industry should be aware of access and equity issues in relation to their own area of work</w:t>
            </w:r>
          </w:p>
          <w:p w:rsidR="00000000" w:rsidRPr="00DD54BC" w:rsidP="00DD54BC">
            <w:pPr>
              <w:pStyle w:val="ListBullet"/>
            </w:pPr>
            <w:r w:rsidRPr="00DD54BC">
              <w:t xml:space="preserve">All workers should develop their ability to work in a culturally diverse environment </w:t>
            </w:r>
          </w:p>
          <w:p w:rsidR="00000000" w:rsidRPr="00DD54BC" w:rsidP="00DD54BC">
            <w:pPr>
              <w:pStyle w:val="ListBullet"/>
            </w:pPr>
            <w:r w:rsidRPr="00DD54BC">
              <w:t>In recognition of particular health issues facing Abo</w:t>
            </w:r>
            <w:r w:rsidRPr="00DD54BC">
              <w:t>riginal and Torres Strait Islander communities, workers should be aware of cultural, historical and current issues impacting on health of Aboriginal and Torres Strait Islander people</w:t>
            </w:r>
          </w:p>
          <w:p w:rsidR="00000000" w:rsidP="00DD54BC">
            <w:pPr>
              <w:pStyle w:val="ListBullet"/>
              <w:rPr>
                <w:lang w:val="en-NZ"/>
              </w:rPr>
            </w:pPr>
            <w:r w:rsidRPr="00DD54BC">
              <w:t xml:space="preserve">Assessors and trainers must take into account relevant access and equity </w:t>
            </w:r>
            <w:r w:rsidRPr="00DD54BC">
              <w:t>issues, in particular relating to factors impacting on health of Aboriginal and/or Torres Strait Islander clients and communities</w:t>
            </w:r>
          </w:p>
        </w:tc>
      </w:tr>
      <w:tr w:rsidTr="008E05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p>
        </w:tc>
      </w:tr>
      <w:tr w:rsidTr="008E05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r w:rsidRPr="00DD54BC">
              <w:rPr>
                <w:rStyle w:val="Emphasis"/>
              </w:rPr>
              <w:t>Method of assessment</w:t>
            </w:r>
            <w:r w:rsidRPr="00DD54BC">
              <w:t xml:space="preserve"> </w:t>
            </w:r>
          </w:p>
        </w:tc>
        <w:tc>
          <w:tcPr>
            <w:tcW w:w="5670" w:type="dxa"/>
            <w:tcBorders>
              <w:top w:val="nil"/>
              <w:left w:val="nil"/>
              <w:bottom w:val="nil"/>
              <w:right w:val="nil"/>
            </w:tcBorders>
            <w:tcMar>
              <w:top w:w="0" w:type="dxa"/>
              <w:left w:w="62" w:type="dxa"/>
              <w:bottom w:w="0" w:type="dxa"/>
              <w:right w:w="62" w:type="dxa"/>
            </w:tcMar>
          </w:tcPr>
          <w:p w:rsidR="00000000" w:rsidRPr="00DD54BC" w:rsidP="00DD54BC">
            <w:pPr>
              <w:pStyle w:val="ListBullet"/>
            </w:pPr>
            <w:r w:rsidRPr="00DD54BC">
              <w:t xml:space="preserve">Observation in the workplace </w:t>
            </w:r>
          </w:p>
          <w:p w:rsidR="00000000" w:rsidRPr="00DD54BC" w:rsidP="00DD54BC">
            <w:pPr>
              <w:pStyle w:val="ListBullet"/>
            </w:pPr>
            <w:r w:rsidRPr="00DD54BC">
              <w:t>Evidence gathered from clinical work environment</w:t>
            </w:r>
          </w:p>
          <w:p w:rsidR="00000000" w:rsidRPr="00DD54BC" w:rsidP="00DD54BC">
            <w:pPr>
              <w:pStyle w:val="ListBullet"/>
            </w:pPr>
            <w:r w:rsidRPr="00DD54BC">
              <w:t>Written assignments/</w:t>
            </w:r>
            <w:r w:rsidRPr="00DD54BC">
              <w:t>projects or questioning should be used to assess knowledge</w:t>
            </w:r>
          </w:p>
          <w:p w:rsidR="00000000" w:rsidRPr="00DD54BC" w:rsidP="00DD54BC">
            <w:pPr>
              <w:pStyle w:val="ListBullet"/>
            </w:pPr>
            <w:r w:rsidRPr="00DD54BC">
              <w:t>Case study and scenario as a basis for discussion of issues and strategies to contribute to best practice</w:t>
            </w:r>
          </w:p>
          <w:p w:rsidR="00000000" w:rsidRPr="00DD54BC" w:rsidP="00DD54BC">
            <w:pPr>
              <w:pStyle w:val="ListBullet"/>
            </w:pPr>
            <w:r w:rsidRPr="00DD54BC">
              <w:t>Questioning - verbal and written</w:t>
            </w:r>
          </w:p>
          <w:p w:rsidR="00000000" w:rsidRPr="00DD54BC" w:rsidP="00DD54BC">
            <w:pPr>
              <w:pStyle w:val="ListBullet"/>
            </w:pPr>
            <w:r w:rsidRPr="00DD54BC">
              <w:t>Role play/simulation</w:t>
            </w:r>
          </w:p>
          <w:p w:rsidR="00000000" w:rsidP="00DD54BC">
            <w:pPr>
              <w:pStyle w:val="ListBullet"/>
              <w:rPr>
                <w:lang w:val="en-NZ"/>
              </w:rPr>
            </w:pPr>
            <w:r w:rsidRPr="00DD54BC">
              <w:t>Clinical skills involving direct client care are to be assessed initially in a simulated clinical setting (laboratory). If successful, a second assessment is to be conducted during workplace application under direct supervision</w:t>
            </w:r>
          </w:p>
        </w:tc>
      </w:tr>
      <w:tr w:rsidTr="008E05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p>
        </w:tc>
      </w:tr>
      <w:tr w:rsidTr="008E05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r w:rsidRPr="00DD54BC">
              <w:rPr>
                <w:rStyle w:val="Emphasis"/>
              </w:rPr>
              <w:t>Related units</w:t>
            </w:r>
            <w:r w:rsidRPr="00DD54BC">
              <w:t>:</w:t>
            </w:r>
          </w:p>
        </w:tc>
        <w:tc>
          <w:tcPr>
            <w:tcW w:w="5670" w:type="dxa"/>
            <w:tcBorders>
              <w:top w:val="nil"/>
              <w:left w:val="nil"/>
              <w:bottom w:val="nil"/>
              <w:right w:val="nil"/>
            </w:tcBorders>
            <w:tcMar>
              <w:top w:w="0" w:type="dxa"/>
              <w:left w:w="62" w:type="dxa"/>
              <w:bottom w:w="0" w:type="dxa"/>
              <w:right w:w="62" w:type="dxa"/>
            </w:tcMar>
          </w:tcPr>
          <w:p w:rsidR="00000000" w:rsidP="00DD54BC">
            <w:pPr>
              <w:pStyle w:val="ListBullet"/>
              <w:rPr>
                <w:lang w:val="en-NZ"/>
              </w:rPr>
            </w:pPr>
            <w:r w:rsidRPr="00DD54BC">
              <w:t>This uni</w:t>
            </w:r>
            <w:r w:rsidRPr="00DD54BC">
              <w:t xml:space="preserve">t can be assessed independently, however holistic assessment practice with other health services units of competency is encouraged </w:t>
            </w:r>
          </w:p>
        </w:tc>
      </w:tr>
      <w:tr w:rsidTr="008E05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D54BC" w:rsidP="00DD54BC">
            <w:pPr>
              <w:pStyle w:val="BodyText"/>
            </w:pPr>
          </w:p>
        </w:tc>
      </w:tr>
    </w:tbl>
    <w:p w:rsidR="008E0560" w:rsidP="00DD54BC">
      <w:pPr>
        <w:pStyle w:val="BodyText"/>
      </w:pPr>
    </w:p>
    <w:p w:rsidR="008E0560" w:rsidP="00DD54BC">
      <w:pPr>
        <w:pStyle w:val="BodyText"/>
      </w:pPr>
    </w:p>
    <w:p w:rsidR="00000000" w:rsidRPr="00DD54BC" w:rsidP="00DD54BC">
      <w:pPr>
        <w:pStyle w:val="Heading1"/>
      </w:pPr>
      <w:bookmarkStart w:id="11" w:name="O_426800"/>
      <w:bookmarkEnd w:id="11"/>
      <w:r w:rsidRPr="00DD54BC">
        <w:t>Range Statement</w:t>
      </w:r>
    </w:p>
    <w:tbl>
      <w:tblPr>
        <w:tblW w:w="0" w:type="auto"/>
        <w:tblLayout w:type="fixed"/>
        <w:tblCellMar>
          <w:left w:w="62" w:type="dxa"/>
          <w:right w:w="62" w:type="dxa"/>
        </w:tblCellMar>
        <w:tblLook w:val="0000"/>
      </w:tblPr>
      <w:tblGrid>
        <w:gridCol w:w="3402"/>
        <w:gridCol w:w="5670"/>
      </w:tblGrid>
      <w:tr w:rsidTr="008E056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D54BC">
            <w:pPr>
              <w:pStyle w:val="BodyText"/>
              <w:rPr>
                <w:lang w:val="en-NZ"/>
              </w:rPr>
            </w:pPr>
            <w:r w:rsidRPr="00DD54BC">
              <w:rPr>
                <w:rStyle w:val="SpecialBold"/>
              </w:rPr>
              <w:t>RANGE STATEMENT</w:t>
            </w:r>
          </w:p>
        </w:tc>
      </w:tr>
      <w:tr w:rsidTr="008E05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54BC">
            <w:pPr>
              <w:pStyle w:val="BodyText"/>
              <w:rPr>
                <w:lang w:val="en-NZ"/>
              </w:rPr>
            </w:pPr>
          </w:p>
        </w:tc>
      </w:tr>
      <w:tr w:rsidTr="008E05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54BC">
            <w:pPr>
              <w:pStyle w:val="BodyText"/>
              <w:rPr>
                <w:lang w:val="en-NZ"/>
              </w:rPr>
            </w:pPr>
            <w:r w:rsidRPr="00DD54BC">
              <w:t>The Range Statement relates to the unit of competency as a whole. It allows for different work environments and situations that may affect performance. Add any essential operating conditions that may be present with training and assessment depending on the</w:t>
            </w:r>
            <w:r w:rsidRPr="00DD54BC">
              <w:t xml:space="preserve"> work situation, needs of the candidate, accessibility of the item, and local industry and regional contexts.</w:t>
            </w:r>
          </w:p>
        </w:tc>
      </w:tr>
      <w:tr w:rsidTr="008E05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p>
        </w:tc>
      </w:tr>
      <w:tr w:rsidTr="008E05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r w:rsidRPr="00DD54BC">
              <w:rPr>
                <w:rStyle w:val="Emphasis"/>
              </w:rPr>
              <w:t>Equipment made available for selection includes</w:t>
            </w:r>
            <w:r w:rsidRPr="00DD54BC">
              <w:t>:</w:t>
            </w:r>
          </w:p>
        </w:tc>
        <w:tc>
          <w:tcPr>
            <w:tcW w:w="5670" w:type="dxa"/>
            <w:tcBorders>
              <w:top w:val="nil"/>
              <w:left w:val="nil"/>
              <w:bottom w:val="nil"/>
              <w:right w:val="nil"/>
            </w:tcBorders>
            <w:tcMar>
              <w:top w:w="0" w:type="dxa"/>
              <w:left w:w="62" w:type="dxa"/>
              <w:bottom w:w="0" w:type="dxa"/>
              <w:right w:w="62" w:type="dxa"/>
            </w:tcMar>
          </w:tcPr>
          <w:p w:rsidR="00000000" w:rsidRPr="00DD54BC" w:rsidP="00DD54BC">
            <w:pPr>
              <w:pStyle w:val="ListBullet"/>
            </w:pPr>
            <w:r w:rsidRPr="00DD54BC">
              <w:t>Anaesthetic machine and components, including alarms and scavenger</w:t>
            </w:r>
          </w:p>
          <w:p w:rsidR="00000000" w:rsidRPr="00DD54BC" w:rsidP="00DD54BC">
            <w:pPr>
              <w:pStyle w:val="ListBullet"/>
            </w:pPr>
            <w:r w:rsidRPr="00DD54BC">
              <w:t>Work station/trolley</w:t>
            </w:r>
          </w:p>
          <w:p w:rsidR="00000000" w:rsidRPr="00DD54BC" w:rsidP="00DD54BC">
            <w:pPr>
              <w:pStyle w:val="ListBullet"/>
            </w:pPr>
            <w:r w:rsidRPr="00DD54BC">
              <w:t>Ventilator and components</w:t>
            </w:r>
          </w:p>
          <w:p w:rsidR="00000000" w:rsidRPr="00DD54BC" w:rsidP="00DD54BC">
            <w:pPr>
              <w:pStyle w:val="ListBullet"/>
            </w:pPr>
            <w:r w:rsidRPr="00DD54BC">
              <w:t>Vaporisers or other systems designed for delivery of inhalation anaesthetic agents</w:t>
            </w:r>
          </w:p>
          <w:p w:rsidR="00000000" w:rsidRPr="00DD54BC" w:rsidP="00DD54BC">
            <w:pPr>
              <w:pStyle w:val="ListBullet"/>
            </w:pPr>
            <w:r w:rsidRPr="00DD54BC">
              <w:t>Breathing systems and attachments</w:t>
            </w:r>
          </w:p>
          <w:p w:rsidR="00000000" w:rsidRPr="00DD54BC" w:rsidP="00DD54BC">
            <w:pPr>
              <w:pStyle w:val="ListBullet"/>
            </w:pPr>
            <w:r w:rsidRPr="00DD54BC">
              <w:t>Bougies</w:t>
            </w:r>
          </w:p>
          <w:p w:rsidR="00000000" w:rsidRPr="00DD54BC" w:rsidP="00DD54BC">
            <w:pPr>
              <w:pStyle w:val="ListBullet"/>
            </w:pPr>
            <w:r w:rsidRPr="00DD54BC">
              <w:t>Oxygen masks</w:t>
            </w:r>
          </w:p>
          <w:p w:rsidR="00000000" w:rsidRPr="00DD54BC" w:rsidP="00DD54BC">
            <w:pPr>
              <w:pStyle w:val="ListBullet"/>
            </w:pPr>
            <w:r w:rsidRPr="00DD54BC">
              <w:t>Laryngoscopes</w:t>
            </w:r>
          </w:p>
          <w:p w:rsidR="00000000" w:rsidRPr="00DD54BC" w:rsidP="00DD54BC">
            <w:pPr>
              <w:pStyle w:val="ListBullet"/>
            </w:pPr>
            <w:r w:rsidRPr="00DD54BC">
              <w:t>Fibreoptic bronchoscopes</w:t>
            </w:r>
          </w:p>
          <w:p w:rsidR="00000000" w:rsidRPr="00DD54BC" w:rsidP="00DD54BC">
            <w:pPr>
              <w:pStyle w:val="ListBullet"/>
            </w:pPr>
            <w:r w:rsidRPr="00DD54BC">
              <w:t>Intubation aids, including difficult intubation equip</w:t>
            </w:r>
            <w:r w:rsidRPr="00DD54BC">
              <w:t>ment</w:t>
            </w:r>
          </w:p>
          <w:p w:rsidR="00000000" w:rsidRPr="00DD54BC" w:rsidP="00DD54BC">
            <w:pPr>
              <w:pStyle w:val="ListBullet"/>
            </w:pPr>
            <w:r w:rsidRPr="00DD54BC">
              <w:t xml:space="preserve">Artificial airways </w:t>
            </w:r>
          </w:p>
          <w:p w:rsidR="00000000" w:rsidRPr="00DD54BC" w:rsidP="00DD54BC">
            <w:pPr>
              <w:pStyle w:val="ListBullet"/>
            </w:pPr>
            <w:r w:rsidRPr="00DD54BC">
              <w:t>Suction equipment for oesophageal and tracheal suction</w:t>
            </w:r>
          </w:p>
          <w:p w:rsidR="00000000" w:rsidRPr="00DD54BC" w:rsidP="00DD54BC">
            <w:pPr>
              <w:pStyle w:val="BodyText"/>
            </w:pPr>
            <w:r w:rsidRPr="00DD54BC">
              <w:rPr>
                <w:rStyle w:val="Emphasis"/>
              </w:rPr>
              <w:t>Monitoring equipment includes</w:t>
            </w:r>
            <w:r w:rsidRPr="00DD54BC">
              <w:t>:</w:t>
            </w:r>
          </w:p>
          <w:p w:rsidR="00000000" w:rsidRPr="00DD54BC" w:rsidP="00DD54BC">
            <w:pPr>
              <w:pStyle w:val="ListBullet"/>
            </w:pPr>
            <w:r w:rsidRPr="00DD54BC">
              <w:t>Electrocardiography (ECG)</w:t>
            </w:r>
          </w:p>
          <w:p w:rsidR="00000000" w:rsidRPr="00DD54BC" w:rsidP="00DD54BC">
            <w:pPr>
              <w:pStyle w:val="ListBullet"/>
            </w:pPr>
            <w:r w:rsidRPr="00DD54BC">
              <w:t>Pulse oximetry</w:t>
            </w:r>
          </w:p>
          <w:p w:rsidR="00000000" w:rsidRPr="00DD54BC" w:rsidP="00DD54BC">
            <w:pPr>
              <w:pStyle w:val="ListBullet"/>
            </w:pPr>
            <w:r w:rsidRPr="00DD54BC">
              <w:t>Non-invasive and invasive blood pressure monitoring</w:t>
            </w:r>
          </w:p>
          <w:p w:rsidR="00000000" w:rsidRPr="00DD54BC" w:rsidP="00DD54BC">
            <w:pPr>
              <w:pStyle w:val="ListBullet"/>
            </w:pPr>
            <w:r w:rsidRPr="00DD54BC">
              <w:t>Temperature monitoring</w:t>
            </w:r>
          </w:p>
          <w:p w:rsidR="00000000" w:rsidRPr="00DD54BC" w:rsidP="00DD54BC">
            <w:pPr>
              <w:pStyle w:val="ListBullet"/>
            </w:pPr>
            <w:r w:rsidRPr="00DD54BC">
              <w:t>Central venous pressure (CVP) monitoring</w:t>
            </w:r>
          </w:p>
          <w:p w:rsidR="00000000" w:rsidRPr="00DD54BC" w:rsidP="00DD54BC">
            <w:pPr>
              <w:pStyle w:val="ListBullet"/>
            </w:pPr>
            <w:r w:rsidRPr="00DD54BC">
              <w:t>Intravascular monitoring</w:t>
            </w:r>
          </w:p>
          <w:p w:rsidR="00000000" w:rsidRPr="00DD54BC" w:rsidP="00DD54BC">
            <w:pPr>
              <w:pStyle w:val="ListBullet"/>
            </w:pPr>
            <w:r w:rsidRPr="00DD54BC">
              <w:t>Gas analysers, including oxygen, carbon dioxide and anaesthetic agent</w:t>
            </w:r>
          </w:p>
          <w:p w:rsidR="00000000" w:rsidRPr="00DD54BC" w:rsidP="00DD54BC">
            <w:pPr>
              <w:pStyle w:val="ListBullet"/>
            </w:pPr>
            <w:r w:rsidRPr="00DD54BC">
              <w:t>Expired/inspired volume/pressure</w:t>
            </w:r>
          </w:p>
          <w:p w:rsidR="00000000" w:rsidRPr="00DD54BC" w:rsidP="00DD54BC">
            <w:pPr>
              <w:pStyle w:val="ListBullet"/>
            </w:pPr>
            <w:r w:rsidRPr="00DD54BC">
              <w:t>Neuromuscular transmission</w:t>
            </w:r>
          </w:p>
          <w:p w:rsidR="00000000" w:rsidRPr="00DD54BC" w:rsidP="00DD54BC">
            <w:pPr>
              <w:pStyle w:val="ListBullet"/>
            </w:pPr>
            <w:r w:rsidRPr="00DD54BC">
              <w:t xml:space="preserve">Cardiac output monitoring </w:t>
            </w:r>
          </w:p>
          <w:p w:rsidR="00000000" w:rsidRPr="00DD54BC" w:rsidP="00DD54BC">
            <w:pPr>
              <w:pStyle w:val="ListBullet"/>
            </w:pPr>
            <w:r w:rsidRPr="00DD54BC">
              <w:t>Cerebral activity monitoring</w:t>
            </w:r>
          </w:p>
          <w:p w:rsidR="00000000" w:rsidRPr="00DD54BC" w:rsidP="00DD54BC">
            <w:pPr>
              <w:pStyle w:val="ListBullet"/>
            </w:pPr>
            <w:r w:rsidRPr="00DD54BC">
              <w:t>Stet</w:t>
            </w:r>
            <w:r w:rsidRPr="00DD54BC">
              <w:t>hoscopes, including oesophageal</w:t>
            </w:r>
          </w:p>
          <w:p w:rsidR="00000000" w:rsidP="00DD54BC">
            <w:pPr>
              <w:pStyle w:val="BodyText"/>
              <w:rPr>
                <w:lang w:val="en-NZ"/>
              </w:rPr>
            </w:pPr>
            <w:r w:rsidRPr="00DD54BC">
              <w:rPr>
                <w:rStyle w:val="Emphasis"/>
              </w:rPr>
              <w:t>continued</w:t>
            </w:r>
            <w:r w:rsidRPr="00DD54BC">
              <w:t xml:space="preserve"> ...</w:t>
            </w:r>
          </w:p>
        </w:tc>
      </w:tr>
      <w:tr w:rsidTr="008E05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DD54BC" w:rsidP="00DD54BC">
            <w:pPr>
              <w:pStyle w:val="BodyText"/>
            </w:pPr>
            <w:r w:rsidRPr="00DD54BC">
              <w:rPr>
                <w:rStyle w:val="Emphasis"/>
              </w:rPr>
              <w:t>Equipment made available for selection includes</w:t>
            </w:r>
            <w:r w:rsidRPr="00DD54BC">
              <w:t xml:space="preserve"> (</w:t>
            </w:r>
            <w:r w:rsidRPr="00DD54BC">
              <w:rPr>
                <w:rStyle w:val="Emphasis"/>
              </w:rPr>
              <w:t>contd</w:t>
            </w:r>
            <w:r w:rsidRPr="00DD54BC">
              <w:t>):</w:t>
            </w:r>
          </w:p>
        </w:tc>
        <w:tc>
          <w:tcPr>
            <w:tcW w:w="5670" w:type="dxa"/>
            <w:tcBorders>
              <w:top w:val="nil"/>
              <w:left w:val="nil"/>
              <w:bottom w:val="nil"/>
              <w:right w:val="nil"/>
            </w:tcBorders>
            <w:tcMar>
              <w:top w:w="0" w:type="dxa"/>
              <w:left w:w="62" w:type="dxa"/>
              <w:bottom w:w="0" w:type="dxa"/>
              <w:right w:w="62" w:type="dxa"/>
            </w:tcMar>
          </w:tcPr>
          <w:p w:rsidR="00000000" w:rsidRPr="00DD54BC" w:rsidP="00DD54BC">
            <w:pPr>
              <w:pStyle w:val="BodyText"/>
            </w:pPr>
            <w:r w:rsidRPr="00DD54BC">
              <w:rPr>
                <w:rStyle w:val="Emphasis"/>
              </w:rPr>
              <w:t>Other equipment includes</w:t>
            </w:r>
            <w:r w:rsidRPr="00DD54BC">
              <w:t>:</w:t>
            </w:r>
          </w:p>
          <w:p w:rsidR="00000000" w:rsidRPr="00DD54BC" w:rsidP="00DD54BC">
            <w:pPr>
              <w:pStyle w:val="ListBullet"/>
            </w:pPr>
            <w:r w:rsidRPr="00DD54BC">
              <w:t>Defibrillators and cardioverters</w:t>
            </w:r>
          </w:p>
          <w:p w:rsidR="00000000" w:rsidRPr="00DD54BC" w:rsidP="00DD54BC">
            <w:pPr>
              <w:pStyle w:val="ListBullet"/>
            </w:pPr>
            <w:r w:rsidRPr="00DD54BC">
              <w:t>Infusion equipment, including oxygen, carbon dioxide and anaesthetic agent</w:t>
            </w:r>
          </w:p>
          <w:p w:rsidR="00000000" w:rsidRPr="00DD54BC" w:rsidP="00DD54BC">
            <w:pPr>
              <w:pStyle w:val="ListBullet"/>
            </w:pPr>
            <w:r w:rsidRPr="00DD54BC">
              <w:t>Warming/cooling equipment for client and intravenous fluids</w:t>
            </w:r>
          </w:p>
          <w:p w:rsidR="00000000" w:rsidRPr="00DD54BC" w:rsidP="00DD54BC">
            <w:pPr>
              <w:pStyle w:val="ListBullet"/>
            </w:pPr>
            <w:r w:rsidRPr="00DD54BC">
              <w:t>Equipment to minimise heat loss</w:t>
            </w:r>
          </w:p>
          <w:p w:rsidR="00000000" w:rsidRPr="00DD54BC" w:rsidP="00DD54BC">
            <w:pPr>
              <w:pStyle w:val="ListBullet"/>
            </w:pPr>
            <w:r w:rsidRPr="00DD54BC">
              <w:t>Tourniquets and exsanguinators</w:t>
            </w:r>
          </w:p>
          <w:p w:rsidR="00000000" w:rsidRPr="00DD54BC" w:rsidP="00DD54BC">
            <w:pPr>
              <w:pStyle w:val="ListBullet"/>
            </w:pPr>
            <w:r w:rsidRPr="00DD54BC">
              <w:t>Neuromuscular function monitor</w:t>
            </w:r>
          </w:p>
          <w:p w:rsidR="00000000" w:rsidRPr="00DD54BC" w:rsidP="00DD54BC">
            <w:pPr>
              <w:pStyle w:val="ListBullet"/>
            </w:pPr>
            <w:r w:rsidRPr="00DD54BC">
              <w:t>Calf stimulators/compression devices</w:t>
            </w:r>
          </w:p>
          <w:p w:rsidR="00000000" w:rsidRPr="00DD54BC" w:rsidP="00DD54BC">
            <w:pPr>
              <w:pStyle w:val="ListBullet"/>
            </w:pPr>
            <w:r w:rsidRPr="00DD54BC">
              <w:t>Operating table and attachments for positioning and pressure care</w:t>
            </w:r>
          </w:p>
          <w:p w:rsidR="00000000" w:rsidRPr="00DD54BC" w:rsidP="00DD54BC">
            <w:pPr>
              <w:pStyle w:val="ListBullet"/>
            </w:pPr>
            <w:r w:rsidRPr="00DD54BC">
              <w:t>Humidifiers</w:t>
            </w:r>
          </w:p>
          <w:p w:rsidR="00000000" w:rsidP="00DD54BC">
            <w:pPr>
              <w:pStyle w:val="ListBullet"/>
              <w:rPr>
                <w:lang w:val="en-NZ"/>
              </w:rPr>
            </w:pPr>
            <w:r w:rsidRPr="00DD54BC">
              <w:t>Scissors, clamps and forceps</w:t>
            </w:r>
          </w:p>
        </w:tc>
      </w:tr>
      <w:tr w:rsidTr="008E05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p>
        </w:tc>
      </w:tr>
      <w:tr w:rsidTr="008E05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r w:rsidRPr="00DD54BC">
              <w:rPr>
                <w:rStyle w:val="Emphasis"/>
              </w:rPr>
              <w:t>Materials made available for selection includes</w:t>
            </w:r>
            <w:r w:rsidRPr="00DD54BC">
              <w:t>:</w:t>
            </w:r>
          </w:p>
        </w:tc>
        <w:tc>
          <w:tcPr>
            <w:tcW w:w="5670" w:type="dxa"/>
            <w:tcBorders>
              <w:top w:val="nil"/>
              <w:left w:val="nil"/>
              <w:bottom w:val="nil"/>
              <w:right w:val="nil"/>
            </w:tcBorders>
            <w:tcMar>
              <w:top w:w="0" w:type="dxa"/>
              <w:left w:w="62" w:type="dxa"/>
              <w:bottom w:w="0" w:type="dxa"/>
              <w:right w:w="62" w:type="dxa"/>
            </w:tcMar>
          </w:tcPr>
          <w:p w:rsidR="00000000" w:rsidRPr="00DD54BC" w:rsidP="00DD54BC">
            <w:pPr>
              <w:pStyle w:val="ListBullet"/>
            </w:pPr>
            <w:r w:rsidRPr="00DD54BC">
              <w:t xml:space="preserve">Drugs, including anaesthetic, emergency, those associated with the administration </w:t>
            </w:r>
            <w:r w:rsidRPr="00DD54BC">
              <w:t>of anaesthetics, and those necessary for the management of conditions which may complicate or co-exist with anaesthesia</w:t>
            </w:r>
          </w:p>
          <w:p w:rsidR="00000000" w:rsidRPr="00DD54BC" w:rsidP="00DD54BC">
            <w:pPr>
              <w:pStyle w:val="ListBullet"/>
            </w:pPr>
            <w:r w:rsidRPr="00DD54BC">
              <w:t>Materials for fibreoptic intubation</w:t>
            </w:r>
          </w:p>
          <w:p w:rsidR="00000000" w:rsidRPr="00DD54BC" w:rsidP="00DD54BC">
            <w:pPr>
              <w:pStyle w:val="ListBullet"/>
            </w:pPr>
            <w:r w:rsidRPr="00DD54BC">
              <w:t>Microbiologic filter</w:t>
            </w:r>
          </w:p>
          <w:p w:rsidR="00000000" w:rsidRPr="00DD54BC" w:rsidP="00DD54BC">
            <w:pPr>
              <w:pStyle w:val="ListBullet"/>
            </w:pPr>
            <w:r w:rsidRPr="00DD54BC">
              <w:t>Heat and moisture exchanger</w:t>
            </w:r>
          </w:p>
          <w:p w:rsidR="00000000" w:rsidRPr="00DD54BC" w:rsidP="00DD54BC">
            <w:pPr>
              <w:pStyle w:val="ListBullet"/>
            </w:pPr>
            <w:r w:rsidRPr="00DD54BC">
              <w:t>Needles</w:t>
            </w:r>
          </w:p>
          <w:p w:rsidR="00000000" w:rsidRPr="00DD54BC" w:rsidP="00DD54BC">
            <w:pPr>
              <w:pStyle w:val="ListBullet"/>
            </w:pPr>
            <w:r w:rsidRPr="00DD54BC">
              <w:t>Syringes</w:t>
            </w:r>
          </w:p>
          <w:p w:rsidR="00000000" w:rsidRPr="00DD54BC" w:rsidP="00DD54BC">
            <w:pPr>
              <w:pStyle w:val="ListBullet"/>
            </w:pPr>
            <w:r w:rsidRPr="00DD54BC">
              <w:t>Cannulas</w:t>
            </w:r>
          </w:p>
          <w:p w:rsidR="00000000" w:rsidRPr="00DD54BC" w:rsidP="00DD54BC">
            <w:pPr>
              <w:pStyle w:val="ListBullet"/>
            </w:pPr>
            <w:r w:rsidRPr="00DD54BC">
              <w:t>Antiseptic solutions</w:t>
            </w:r>
          </w:p>
          <w:p w:rsidR="00000000" w:rsidRPr="00DD54BC" w:rsidP="00DD54BC">
            <w:pPr>
              <w:pStyle w:val="ListBullet"/>
            </w:pPr>
            <w:r w:rsidRPr="00DD54BC">
              <w:t xml:space="preserve"> Inf</w:t>
            </w:r>
            <w:r w:rsidRPr="00DD54BC">
              <w:t>usion sets and attachments</w:t>
            </w:r>
          </w:p>
          <w:p w:rsidR="00000000" w:rsidRPr="00DD54BC" w:rsidP="00DD54BC">
            <w:pPr>
              <w:pStyle w:val="ListBullet"/>
            </w:pPr>
            <w:r w:rsidRPr="00DD54BC">
              <w:t>Lubricant</w:t>
            </w:r>
          </w:p>
          <w:p w:rsidR="00000000" w:rsidRPr="00DD54BC" w:rsidP="00DD54BC">
            <w:pPr>
              <w:pStyle w:val="ListBullet"/>
            </w:pPr>
            <w:r w:rsidRPr="00DD54BC">
              <w:t>Gauze</w:t>
            </w:r>
          </w:p>
          <w:p w:rsidR="00000000" w:rsidRPr="00DD54BC" w:rsidP="00DD54BC">
            <w:pPr>
              <w:pStyle w:val="ListBullet"/>
            </w:pPr>
            <w:r w:rsidRPr="00DD54BC">
              <w:t>Throat packs</w:t>
            </w:r>
          </w:p>
          <w:p w:rsidR="00000000" w:rsidRPr="00DD54BC" w:rsidP="00DD54BC">
            <w:pPr>
              <w:pStyle w:val="ListBullet"/>
            </w:pPr>
            <w:r w:rsidRPr="00DD54BC">
              <w:t>Adhesive tapes</w:t>
            </w:r>
          </w:p>
          <w:p w:rsidR="00000000" w:rsidRPr="00DD54BC" w:rsidP="00DD54BC">
            <w:pPr>
              <w:pStyle w:val="ListBullet"/>
            </w:pPr>
            <w:r w:rsidRPr="00DD54BC">
              <w:t>Ties</w:t>
            </w:r>
          </w:p>
          <w:p w:rsidR="00000000" w:rsidRPr="00DD54BC" w:rsidP="00DD54BC">
            <w:pPr>
              <w:pStyle w:val="ListBullet"/>
            </w:pPr>
            <w:r w:rsidRPr="00DD54BC">
              <w:t>ECG dots</w:t>
            </w:r>
          </w:p>
          <w:p w:rsidR="00000000" w:rsidRPr="00DD54BC" w:rsidP="00DD54BC">
            <w:pPr>
              <w:pStyle w:val="ListBullet"/>
            </w:pPr>
            <w:r w:rsidRPr="00DD54BC">
              <w:t>Introducers</w:t>
            </w:r>
          </w:p>
          <w:p w:rsidR="00000000" w:rsidRPr="00DD54BC" w:rsidP="00DD54BC">
            <w:pPr>
              <w:pStyle w:val="ListBullet"/>
            </w:pPr>
            <w:r w:rsidRPr="00DD54BC">
              <w:t>Materials for subarachnoid, epidural or regional nerve blocks</w:t>
            </w:r>
          </w:p>
          <w:p w:rsidR="00000000" w:rsidRPr="00DD54BC" w:rsidP="00DD54BC">
            <w:pPr>
              <w:pStyle w:val="ListBullet"/>
            </w:pPr>
            <w:r w:rsidRPr="00DD54BC">
              <w:t>Interpleural drainage sets</w:t>
            </w:r>
          </w:p>
          <w:p w:rsidR="00000000" w:rsidP="00DD54BC">
            <w:pPr>
              <w:pStyle w:val="ListBullet"/>
              <w:rPr>
                <w:lang w:val="en-NZ"/>
              </w:rPr>
            </w:pPr>
            <w:r w:rsidRPr="00DD54BC">
              <w:t>Materials for protection against biological contaminants, including sharps containers</w:t>
            </w:r>
          </w:p>
        </w:tc>
      </w:tr>
      <w:tr w:rsidTr="008E05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p>
        </w:tc>
      </w:tr>
      <w:tr w:rsidTr="008E05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r w:rsidRPr="00DD54BC">
              <w:rPr>
                <w:rStyle w:val="Emphasis"/>
              </w:rPr>
              <w:t>Requirements of client may include</w:t>
            </w:r>
            <w:r w:rsidRPr="00DD54BC">
              <w:t>:</w:t>
            </w:r>
          </w:p>
        </w:tc>
        <w:tc>
          <w:tcPr>
            <w:tcW w:w="5670" w:type="dxa"/>
            <w:tcBorders>
              <w:top w:val="nil"/>
              <w:left w:val="nil"/>
              <w:bottom w:val="nil"/>
              <w:right w:val="nil"/>
            </w:tcBorders>
            <w:tcMar>
              <w:top w:w="0" w:type="dxa"/>
              <w:left w:w="62" w:type="dxa"/>
              <w:bottom w:w="0" w:type="dxa"/>
              <w:right w:w="62" w:type="dxa"/>
            </w:tcMar>
          </w:tcPr>
          <w:p w:rsidR="00000000" w:rsidRPr="00DD54BC" w:rsidP="00DD54BC">
            <w:pPr>
              <w:pStyle w:val="ListBullet"/>
            </w:pPr>
            <w:r w:rsidRPr="00DD54BC">
              <w:t>Relevant medical history</w:t>
            </w:r>
          </w:p>
          <w:p w:rsidR="00000000" w:rsidRPr="00DD54BC" w:rsidP="00DD54BC">
            <w:pPr>
              <w:pStyle w:val="ListBullet"/>
            </w:pPr>
            <w:r w:rsidRPr="00DD54BC">
              <w:t>Individual anaesthetist requests according to operative or clinical procedure</w:t>
            </w:r>
          </w:p>
          <w:p w:rsidR="00000000" w:rsidP="00DD54BC">
            <w:pPr>
              <w:pStyle w:val="ListBullet"/>
              <w:rPr>
                <w:lang w:val="en-NZ"/>
              </w:rPr>
            </w:pPr>
            <w:r w:rsidRPr="00DD54BC">
              <w:t>Age</w:t>
            </w:r>
          </w:p>
        </w:tc>
      </w:tr>
      <w:tr w:rsidTr="008E05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p>
        </w:tc>
      </w:tr>
      <w:tr w:rsidTr="008E05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r w:rsidRPr="00DD54BC">
              <w:rPr>
                <w:rStyle w:val="Emphasis"/>
              </w:rPr>
              <w:t>Clients requiring anaesthetic include</w:t>
            </w:r>
            <w:r w:rsidRPr="00DD54BC">
              <w:t>:</w:t>
            </w:r>
          </w:p>
        </w:tc>
        <w:tc>
          <w:tcPr>
            <w:tcW w:w="5670" w:type="dxa"/>
            <w:tcBorders>
              <w:top w:val="nil"/>
              <w:left w:val="nil"/>
              <w:bottom w:val="nil"/>
              <w:right w:val="nil"/>
            </w:tcBorders>
            <w:tcMar>
              <w:top w:w="0" w:type="dxa"/>
              <w:left w:w="62" w:type="dxa"/>
              <w:bottom w:w="0" w:type="dxa"/>
              <w:right w:w="62" w:type="dxa"/>
            </w:tcMar>
          </w:tcPr>
          <w:p w:rsidR="00000000" w:rsidRPr="00DD54BC" w:rsidP="00DD54BC">
            <w:pPr>
              <w:pStyle w:val="ListBullet"/>
            </w:pPr>
            <w:r w:rsidRPr="00DD54BC">
              <w:t>Neonates</w:t>
            </w:r>
          </w:p>
          <w:p w:rsidR="00000000" w:rsidRPr="00DD54BC" w:rsidP="00DD54BC">
            <w:pPr>
              <w:pStyle w:val="ListBullet"/>
            </w:pPr>
            <w:r w:rsidRPr="00DD54BC">
              <w:t>Infants</w:t>
            </w:r>
          </w:p>
          <w:p w:rsidR="00000000" w:rsidRPr="00DD54BC" w:rsidP="00DD54BC">
            <w:pPr>
              <w:pStyle w:val="ListBullet"/>
            </w:pPr>
            <w:r w:rsidRPr="00DD54BC">
              <w:t>Children</w:t>
            </w:r>
          </w:p>
          <w:p w:rsidR="00000000" w:rsidRPr="00DD54BC" w:rsidP="00DD54BC">
            <w:pPr>
              <w:pStyle w:val="ListBullet"/>
            </w:pPr>
            <w:r w:rsidRPr="00DD54BC">
              <w:t>Adolescents</w:t>
            </w:r>
          </w:p>
          <w:p w:rsidR="00000000" w:rsidRPr="00DD54BC" w:rsidP="00DD54BC">
            <w:pPr>
              <w:pStyle w:val="ListBullet"/>
            </w:pPr>
            <w:r w:rsidRPr="00DD54BC">
              <w:t>Adults</w:t>
            </w:r>
          </w:p>
          <w:p w:rsidR="00000000" w:rsidRPr="00DD54BC" w:rsidP="00DD54BC">
            <w:pPr>
              <w:pStyle w:val="ListBullet"/>
            </w:pPr>
            <w:r w:rsidRPr="00DD54BC">
              <w:t>Elderly</w:t>
            </w:r>
          </w:p>
          <w:p w:rsidR="00000000" w:rsidRPr="00DD54BC" w:rsidP="00DD54BC">
            <w:pPr>
              <w:pStyle w:val="ListBullet"/>
            </w:pPr>
            <w:r w:rsidRPr="00DD54BC">
              <w:t>Male</w:t>
            </w:r>
          </w:p>
          <w:p w:rsidR="00000000" w:rsidP="00DD54BC">
            <w:pPr>
              <w:pStyle w:val="ListBullet"/>
              <w:rPr>
                <w:lang w:val="en-NZ"/>
              </w:rPr>
            </w:pPr>
            <w:r w:rsidRPr="00DD54BC">
              <w:t>Female</w:t>
            </w:r>
          </w:p>
        </w:tc>
      </w:tr>
      <w:tr w:rsidTr="008E05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p>
        </w:tc>
      </w:tr>
      <w:tr w:rsidTr="008E05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r w:rsidRPr="00DD54BC">
              <w:rPr>
                <w:rStyle w:val="Emphasis"/>
              </w:rPr>
              <w:t>Clinical procedures covers the surgical procedure and the type of anaesthetic which must include</w:t>
            </w:r>
            <w:r w:rsidRPr="00DD54BC">
              <w:t>:</w:t>
            </w:r>
          </w:p>
        </w:tc>
        <w:tc>
          <w:tcPr>
            <w:tcW w:w="5670" w:type="dxa"/>
            <w:tcBorders>
              <w:top w:val="nil"/>
              <w:left w:val="nil"/>
              <w:bottom w:val="nil"/>
              <w:right w:val="nil"/>
            </w:tcBorders>
            <w:tcMar>
              <w:top w:w="0" w:type="dxa"/>
              <w:left w:w="62" w:type="dxa"/>
              <w:bottom w:w="0" w:type="dxa"/>
              <w:right w:w="62" w:type="dxa"/>
            </w:tcMar>
          </w:tcPr>
          <w:p w:rsidR="00000000" w:rsidRPr="00DD54BC" w:rsidP="00DD54BC">
            <w:pPr>
              <w:pStyle w:val="ListBullet"/>
            </w:pPr>
            <w:r w:rsidRPr="00DD54BC">
              <w:t>General/regional/local anaesthetic and sedation</w:t>
            </w:r>
          </w:p>
          <w:p w:rsidR="00000000" w:rsidRPr="00DD54BC" w:rsidP="00DD54BC">
            <w:pPr>
              <w:pStyle w:val="ListBullet"/>
            </w:pPr>
            <w:r w:rsidRPr="00DD54BC">
              <w:t>Radiology/Radiotherapy anaesthesia</w:t>
            </w:r>
          </w:p>
          <w:p w:rsidR="00000000" w:rsidRPr="00DD54BC" w:rsidP="00DD54BC">
            <w:pPr>
              <w:pStyle w:val="ListBullet"/>
            </w:pPr>
            <w:r w:rsidRPr="00DD54BC">
              <w:t>General surgery</w:t>
            </w:r>
          </w:p>
          <w:p w:rsidR="00000000" w:rsidRPr="00DD54BC" w:rsidP="00DD54BC">
            <w:pPr>
              <w:pStyle w:val="ListBullet"/>
            </w:pPr>
            <w:r w:rsidRPr="00DD54BC">
              <w:t>Gastro-intestinal surgery</w:t>
            </w:r>
          </w:p>
          <w:p w:rsidR="00000000" w:rsidRPr="00DD54BC" w:rsidP="00DD54BC">
            <w:pPr>
              <w:pStyle w:val="ListBullet"/>
            </w:pPr>
            <w:r w:rsidRPr="00DD54BC">
              <w:t>Ear, nose and throat surgery</w:t>
            </w:r>
          </w:p>
          <w:p w:rsidR="00000000" w:rsidRPr="00DD54BC" w:rsidP="00DD54BC">
            <w:pPr>
              <w:pStyle w:val="ListBullet"/>
            </w:pPr>
            <w:r w:rsidRPr="00DD54BC">
              <w:t>Gynaecological surgery</w:t>
            </w:r>
          </w:p>
          <w:p w:rsidR="00000000" w:rsidRPr="00DD54BC" w:rsidP="00DD54BC">
            <w:pPr>
              <w:pStyle w:val="ListBullet"/>
            </w:pPr>
            <w:r w:rsidRPr="00DD54BC">
              <w:t>Obstetric surgery</w:t>
            </w:r>
          </w:p>
          <w:p w:rsidR="00000000" w:rsidRPr="00DD54BC" w:rsidP="00DD54BC">
            <w:pPr>
              <w:pStyle w:val="ListBullet"/>
            </w:pPr>
            <w:r w:rsidRPr="00DD54BC">
              <w:t>Orthopaedic surgery</w:t>
            </w:r>
          </w:p>
          <w:p w:rsidR="00000000" w:rsidRPr="00DD54BC" w:rsidP="00DD54BC">
            <w:pPr>
              <w:pStyle w:val="ListBullet"/>
            </w:pPr>
            <w:r w:rsidRPr="00DD54BC">
              <w:t>Vascular surgery</w:t>
            </w:r>
          </w:p>
          <w:p w:rsidR="00000000" w:rsidRPr="00DD54BC" w:rsidP="00DD54BC">
            <w:pPr>
              <w:pStyle w:val="ListBullet"/>
            </w:pPr>
            <w:r w:rsidRPr="00DD54BC">
              <w:t>Urological surgery</w:t>
            </w:r>
          </w:p>
          <w:p w:rsidR="00000000" w:rsidRPr="00DD54BC" w:rsidP="00DD54BC">
            <w:pPr>
              <w:pStyle w:val="ListBullet"/>
            </w:pPr>
            <w:r w:rsidRPr="00DD54BC">
              <w:t>Oral/dental/maxillofacial surgery</w:t>
            </w:r>
          </w:p>
          <w:p w:rsidR="00000000" w:rsidRPr="00DD54BC" w:rsidP="00DD54BC">
            <w:pPr>
              <w:pStyle w:val="ListBullet"/>
            </w:pPr>
            <w:r w:rsidRPr="00DD54BC">
              <w:t>Cardiothoracic surg</w:t>
            </w:r>
            <w:r w:rsidRPr="00DD54BC">
              <w:t>ery</w:t>
            </w:r>
          </w:p>
          <w:p w:rsidR="00000000" w:rsidRPr="00DD54BC" w:rsidP="00DD54BC">
            <w:pPr>
              <w:pStyle w:val="ListBullet"/>
            </w:pPr>
            <w:r w:rsidRPr="00DD54BC">
              <w:t>Neurosurgery</w:t>
            </w:r>
          </w:p>
          <w:p w:rsidR="00000000" w:rsidRPr="00DD54BC" w:rsidP="00DD54BC">
            <w:pPr>
              <w:pStyle w:val="ListBullet"/>
            </w:pPr>
            <w:r w:rsidRPr="00DD54BC">
              <w:t>Plastic surgery</w:t>
            </w:r>
          </w:p>
          <w:p w:rsidR="00000000" w:rsidRPr="00DD54BC" w:rsidP="00DD54BC">
            <w:pPr>
              <w:pStyle w:val="ListBullet"/>
            </w:pPr>
            <w:r w:rsidRPr="00DD54BC">
              <w:t>Trauma/emergency surgery</w:t>
            </w:r>
          </w:p>
          <w:p w:rsidR="00000000" w:rsidP="00DD54BC">
            <w:pPr>
              <w:pStyle w:val="ListBullet"/>
              <w:rPr>
                <w:lang w:val="en-NZ"/>
              </w:rPr>
            </w:pPr>
            <w:r w:rsidRPr="00DD54BC">
              <w:t>Ophthalmic surgery</w:t>
            </w:r>
          </w:p>
        </w:tc>
      </w:tr>
      <w:tr w:rsidTr="008E05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p>
        </w:tc>
      </w:tr>
      <w:tr w:rsidTr="008E05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r w:rsidRPr="00DD54BC">
              <w:rPr>
                <w:rStyle w:val="Emphasis"/>
              </w:rPr>
              <w:t>Intravascular solutions may include</w:t>
            </w:r>
            <w:r w:rsidRPr="00DD54BC">
              <w:t>:</w:t>
            </w:r>
          </w:p>
        </w:tc>
        <w:tc>
          <w:tcPr>
            <w:tcW w:w="5670" w:type="dxa"/>
            <w:tcBorders>
              <w:top w:val="nil"/>
              <w:left w:val="nil"/>
              <w:bottom w:val="nil"/>
              <w:right w:val="nil"/>
            </w:tcBorders>
            <w:tcMar>
              <w:top w:w="0" w:type="dxa"/>
              <w:left w:w="62" w:type="dxa"/>
              <w:bottom w:w="0" w:type="dxa"/>
              <w:right w:w="62" w:type="dxa"/>
            </w:tcMar>
          </w:tcPr>
          <w:p w:rsidR="00000000" w:rsidRPr="00DD54BC" w:rsidP="00DD54BC">
            <w:pPr>
              <w:pStyle w:val="ListBullet"/>
            </w:pPr>
            <w:r w:rsidRPr="00DD54BC">
              <w:t>Colloids</w:t>
            </w:r>
          </w:p>
          <w:p w:rsidR="00000000" w:rsidP="00DD54BC">
            <w:pPr>
              <w:pStyle w:val="ListBullet"/>
              <w:rPr>
                <w:lang w:val="en-NZ"/>
              </w:rPr>
            </w:pPr>
            <w:r w:rsidRPr="00DD54BC">
              <w:t>Crystalloids</w:t>
            </w:r>
          </w:p>
        </w:tc>
      </w:tr>
      <w:tr w:rsidTr="008E05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p>
        </w:tc>
      </w:tr>
      <w:tr w:rsidTr="008E05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54BC">
            <w:pPr>
              <w:pStyle w:val="BodyText"/>
              <w:rPr>
                <w:lang w:val="en-NZ"/>
              </w:rPr>
            </w:pPr>
            <w:r w:rsidRPr="00DD54BC">
              <w:rPr>
                <w:rStyle w:val="Emphasis"/>
              </w:rPr>
              <w:t>Transfusion may include</w:t>
            </w:r>
            <w:r w:rsidRPr="00DD54BC">
              <w:t>:</w:t>
            </w:r>
          </w:p>
        </w:tc>
        <w:tc>
          <w:tcPr>
            <w:tcW w:w="5670" w:type="dxa"/>
            <w:tcBorders>
              <w:top w:val="nil"/>
              <w:left w:val="nil"/>
              <w:bottom w:val="nil"/>
              <w:right w:val="nil"/>
            </w:tcBorders>
            <w:tcMar>
              <w:top w:w="0" w:type="dxa"/>
              <w:left w:w="62" w:type="dxa"/>
              <w:bottom w:w="0" w:type="dxa"/>
              <w:right w:w="62" w:type="dxa"/>
            </w:tcMar>
          </w:tcPr>
          <w:p w:rsidR="00000000" w:rsidRPr="00DD54BC" w:rsidP="00DD54BC">
            <w:pPr>
              <w:pStyle w:val="ListBullet"/>
            </w:pPr>
            <w:r w:rsidRPr="00DD54BC">
              <w:t>Blood</w:t>
            </w:r>
          </w:p>
          <w:p w:rsidR="00000000" w:rsidP="00DD54BC">
            <w:pPr>
              <w:pStyle w:val="ListBullet"/>
              <w:rPr>
                <w:lang w:val="en-NZ"/>
              </w:rPr>
            </w:pPr>
            <w:r w:rsidRPr="00DD54BC">
              <w:t>Blood products</w:t>
            </w:r>
          </w:p>
        </w:tc>
      </w:tr>
      <w:tr w:rsidTr="008E056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D54BC" w:rsidP="00DD54BC">
            <w:pPr>
              <w:pStyle w:val="BodyText"/>
            </w:pPr>
          </w:p>
        </w:tc>
      </w:tr>
    </w:tbl>
    <w:p w:rsidR="008E0560" w:rsidP="00DD54BC">
      <w:pPr>
        <w:pStyle w:val="BodyText"/>
      </w:pPr>
    </w:p>
    <w:p w:rsidR="008E0560" w:rsidP="00DD54BC">
      <w:pPr>
        <w:pStyle w:val="BodyText"/>
      </w:pPr>
    </w:p>
    <w:p w:rsidR="00000000" w:rsidRPr="00DD54BC" w:rsidP="00DD54BC">
      <w:pPr>
        <w:pStyle w:val="Heading1"/>
      </w:pPr>
      <w:bookmarkStart w:id="12" w:name="O_426803"/>
      <w:bookmarkEnd w:id="12"/>
      <w:r w:rsidRPr="00DD54BC">
        <w:t>Unit Sector(s)</w:t>
      </w:r>
    </w:p>
    <w:p w:rsidR="00000000" w:rsidRPr="00DD54BC" w:rsidP="00DD54BC">
      <w:pPr>
        <w:pStyle w:val="BodyText"/>
      </w:pPr>
      <w:r w:rsidRPr="00DD54BC">
        <w:t>Not Applicable</w:t>
      </w:r>
    </w:p>
    <w:p w:rsidR="00000000" w:rsidRPr="00DD54BC" w:rsidP="00DD54BC"/>
    <w:sectPr w:rsidSect="00DD54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4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0560" w:rsidP="008E05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4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560" w:rsidP="00DD54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E0560" w:rsidP="00DD54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E0560" w:rsidP="00DD54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4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0560" w:rsidP="008E056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4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560" w:rsidP="00DD54BC">
    <w:pPr>
      <w:pStyle w:val="Header"/>
      <w:framePr w:wrap="around"/>
    </w:pPr>
    <w:r>
      <w:fldChar w:fldCharType="begin"/>
    </w:r>
    <w:r>
      <w:instrText xml:space="preserve"> TITLE   \* MERGEFORMAT </w:instrText>
    </w:r>
    <w:r>
      <w:fldChar w:fldCharType="separate"/>
    </w:r>
    <w:r>
      <w:t>HLTAN401D Prepare the anaesthetic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E0560" w:rsidP="00DD54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0A21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DC24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4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54BC"/>
    <w:pPr>
      <w:spacing w:before="360" w:after="60"/>
      <w:outlineLvl w:val="0"/>
    </w:pPr>
    <w:rPr>
      <w:sz w:val="32"/>
    </w:rPr>
  </w:style>
  <w:style w:type="paragraph" w:styleId="Heading2">
    <w:name w:val="heading 2"/>
    <w:basedOn w:val="HeadingBase"/>
    <w:next w:val="BodyText"/>
    <w:link w:val="Heading2Char"/>
    <w:qFormat/>
    <w:rsid w:val="00DD54BC"/>
    <w:pPr>
      <w:keepLines/>
      <w:spacing w:before="240" w:after="120"/>
      <w:outlineLvl w:val="1"/>
    </w:pPr>
    <w:rPr>
      <w:sz w:val="28"/>
      <w:szCs w:val="40"/>
    </w:rPr>
  </w:style>
  <w:style w:type="paragraph" w:styleId="Heading3">
    <w:name w:val="heading 3"/>
    <w:basedOn w:val="HeadingBase"/>
    <w:next w:val="BodyText"/>
    <w:link w:val="Heading3Char"/>
    <w:qFormat/>
    <w:rsid w:val="00DD54BC"/>
    <w:pPr>
      <w:spacing w:before="180" w:after="120"/>
      <w:outlineLvl w:val="2"/>
    </w:pPr>
    <w:rPr>
      <w:spacing w:val="-10"/>
      <w:kern w:val="32"/>
    </w:rPr>
  </w:style>
  <w:style w:type="paragraph" w:styleId="Heading4">
    <w:name w:val="heading 4"/>
    <w:basedOn w:val="HeadingBase"/>
    <w:next w:val="BodyText"/>
    <w:link w:val="Heading4Char"/>
    <w:qFormat/>
    <w:rsid w:val="00DD54BC"/>
    <w:pPr>
      <w:spacing w:before="160" w:after="120"/>
      <w:outlineLvl w:val="3"/>
    </w:pPr>
    <w:rPr>
      <w:sz w:val="22"/>
    </w:rPr>
  </w:style>
  <w:style w:type="paragraph" w:styleId="Heading5">
    <w:name w:val="heading 5"/>
    <w:basedOn w:val="HeadingBase"/>
    <w:next w:val="Normal"/>
    <w:link w:val="Heading5Char"/>
    <w:qFormat/>
    <w:rsid w:val="00DD54BC"/>
    <w:pPr>
      <w:spacing w:before="80"/>
      <w:outlineLvl w:val="4"/>
    </w:pPr>
    <w:rPr>
      <w:color w:val="918585"/>
      <w:sz w:val="20"/>
    </w:rPr>
  </w:style>
  <w:style w:type="paragraph" w:styleId="Heading6">
    <w:name w:val="heading 6"/>
    <w:basedOn w:val="HeadingBase"/>
    <w:next w:val="Normal"/>
    <w:link w:val="Heading6Char"/>
    <w:qFormat/>
    <w:rsid w:val="00DD54BC"/>
    <w:pPr>
      <w:spacing w:before="60"/>
      <w:outlineLvl w:val="5"/>
    </w:pPr>
    <w:rPr>
      <w:color w:val="918585"/>
      <w:sz w:val="20"/>
    </w:rPr>
  </w:style>
  <w:style w:type="paragraph" w:styleId="Heading7">
    <w:name w:val="heading 7"/>
    <w:basedOn w:val="Normal"/>
    <w:next w:val="Normal"/>
    <w:link w:val="Heading7Char"/>
    <w:qFormat/>
    <w:rsid w:val="00DD54BC"/>
    <w:pPr>
      <w:ind w:left="720"/>
      <w:outlineLvl w:val="6"/>
    </w:pPr>
    <w:rPr>
      <w:i/>
    </w:rPr>
  </w:style>
  <w:style w:type="paragraph" w:styleId="Heading8">
    <w:name w:val="heading 8"/>
    <w:basedOn w:val="Normal"/>
    <w:next w:val="Normal"/>
    <w:link w:val="Heading8Char"/>
    <w:qFormat/>
    <w:rsid w:val="00DD54BC"/>
    <w:pPr>
      <w:ind w:left="720"/>
      <w:outlineLvl w:val="7"/>
    </w:pPr>
    <w:rPr>
      <w:i/>
    </w:rPr>
  </w:style>
  <w:style w:type="paragraph" w:styleId="Heading9">
    <w:name w:val="heading 9"/>
    <w:basedOn w:val="Normal"/>
    <w:next w:val="Normal"/>
    <w:link w:val="Heading9Char"/>
    <w:qFormat/>
    <w:rsid w:val="00DD54BC"/>
    <w:pPr>
      <w:ind w:left="720"/>
      <w:outlineLvl w:val="8"/>
    </w:pPr>
    <w:rPr>
      <w:i/>
    </w:rPr>
  </w:style>
  <w:style w:type="character" w:default="1" w:styleId="DefaultParagraphFont">
    <w:name w:val="Default Paragraph Font"/>
    <w:uiPriority w:val="1"/>
    <w:unhideWhenUsed/>
    <w:rsid w:val="00DD54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54BC"/>
  </w:style>
  <w:style w:type="character" w:customStyle="1" w:styleId="Heading1Char">
    <w:name w:val="Heading 1 Char"/>
    <w:link w:val="Heading1"/>
    <w:rsid w:val="00DD54BC"/>
    <w:rPr>
      <w:rFonts w:ascii="Times New Roman" w:eastAsia="Times New Roman" w:hAnsi="Times New Roman" w:cs="Times New Roman"/>
      <w:b/>
      <w:sz w:val="32"/>
      <w:szCs w:val="20"/>
      <w:lang w:eastAsia="en-US"/>
    </w:rPr>
  </w:style>
  <w:style w:type="paragraph" w:styleId="BodyText">
    <w:name w:val="Body Text"/>
    <w:basedOn w:val="Normal"/>
    <w:link w:val="BodyTextChar"/>
    <w:rsid w:val="00DD54BC"/>
    <w:pPr>
      <w:spacing w:before="120" w:after="120"/>
      <w:contextualSpacing/>
    </w:pPr>
    <w:rPr>
      <w:rFonts w:ascii="Times New Roman" w:hAnsi="Times New Roman"/>
      <w:sz w:val="24"/>
      <w:szCs w:val="22"/>
    </w:rPr>
  </w:style>
  <w:style w:type="character" w:customStyle="1" w:styleId="BodyTextChar">
    <w:name w:val="Body Text Char"/>
    <w:link w:val="BodyText"/>
    <w:rsid w:val="00DD54BC"/>
    <w:rPr>
      <w:rFonts w:ascii="Times New Roman" w:eastAsia="Times New Roman" w:hAnsi="Times New Roman" w:cs="Times New Roman"/>
      <w:sz w:val="24"/>
      <w:lang w:val="en-US" w:eastAsia="en-US"/>
    </w:rPr>
  </w:style>
  <w:style w:type="paragraph" w:styleId="Footer">
    <w:name w:val="footer"/>
    <w:basedOn w:val="Normal"/>
    <w:link w:val="FooterChar"/>
    <w:rsid w:val="00DD54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D54BC"/>
    <w:rPr>
      <w:rFonts w:ascii="Times New Roman" w:eastAsia="Times New Roman" w:hAnsi="Times New Roman" w:cs="Times New Roman"/>
      <w:sz w:val="16"/>
      <w:lang w:val="en-US" w:eastAsia="en-US"/>
    </w:rPr>
  </w:style>
  <w:style w:type="paragraph" w:styleId="List">
    <w:name w:val="List"/>
    <w:basedOn w:val="BodyText"/>
    <w:next w:val="BodyText"/>
    <w:rsid w:val="00DD54BC"/>
    <w:pPr>
      <w:tabs>
        <w:tab w:val="left" w:pos="340"/>
      </w:tabs>
      <w:spacing w:before="60" w:after="60"/>
      <w:ind w:left="340" w:hanging="340"/>
    </w:pPr>
  </w:style>
  <w:style w:type="paragraph" w:styleId="ListBullet">
    <w:name w:val="List Bullet"/>
    <w:basedOn w:val="List"/>
    <w:rsid w:val="00DD54BC"/>
    <w:pPr>
      <w:numPr>
        <w:numId w:val="12"/>
      </w:numPr>
      <w:tabs>
        <w:tab w:val="clear" w:pos="340"/>
      </w:tabs>
      <w:spacing w:before="40" w:after="40"/>
    </w:pPr>
  </w:style>
  <w:style w:type="character" w:customStyle="1" w:styleId="SpecialBold">
    <w:name w:val="Special Bold"/>
    <w:rsid w:val="00DD54BC"/>
    <w:rPr>
      <w:b/>
      <w:spacing w:val="0"/>
    </w:rPr>
  </w:style>
  <w:style w:type="paragraph" w:styleId="Header">
    <w:name w:val="header"/>
    <w:basedOn w:val="Normal"/>
    <w:link w:val="HeaderChar"/>
    <w:rsid w:val="00DD54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D54BC"/>
    <w:rPr>
      <w:rFonts w:ascii="Times New Roman" w:eastAsia="Times New Roman" w:hAnsi="Times New Roman" w:cs="Times New Roman"/>
      <w:sz w:val="16"/>
      <w:szCs w:val="20"/>
      <w:lang w:val="en-GB" w:eastAsia="en-US"/>
    </w:rPr>
  </w:style>
  <w:style w:type="character" w:styleId="Emphasis">
    <w:name w:val="Emphasis"/>
    <w:qFormat/>
    <w:rsid w:val="00DD54BC"/>
    <w:rPr>
      <w:i/>
    </w:rPr>
  </w:style>
  <w:style w:type="paragraph" w:customStyle="1" w:styleId="SuperHeading">
    <w:name w:val="SuperHeading"/>
    <w:basedOn w:val="Normal"/>
    <w:rsid w:val="00DD54BC"/>
    <w:pPr>
      <w:spacing w:before="240" w:after="120"/>
      <w:outlineLvl w:val="0"/>
    </w:pPr>
    <w:rPr>
      <w:rFonts w:ascii="Times New Roman" w:hAnsi="Times New Roman"/>
      <w:b/>
      <w:sz w:val="28"/>
    </w:rPr>
  </w:style>
  <w:style w:type="paragraph" w:customStyle="1" w:styleId="AllowPageBreak">
    <w:name w:val="AllowPageBreak"/>
    <w:rsid w:val="00DD54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D54BC"/>
    <w:rPr>
      <w:rFonts w:ascii="Times New Roman" w:eastAsia="Times New Roman" w:hAnsi="Times New Roman" w:cs="Times New Roman"/>
      <w:b/>
      <w:sz w:val="28"/>
      <w:szCs w:val="40"/>
      <w:lang w:eastAsia="en-US"/>
    </w:rPr>
  </w:style>
  <w:style w:type="character" w:customStyle="1" w:styleId="Heading3Char">
    <w:name w:val="Heading 3 Char"/>
    <w:link w:val="Heading3"/>
    <w:rsid w:val="00DD54B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D54BC"/>
    <w:rPr>
      <w:rFonts w:ascii="Times New Roman" w:eastAsia="Times New Roman" w:hAnsi="Times New Roman" w:cs="Times New Roman"/>
      <w:b/>
      <w:szCs w:val="20"/>
      <w:lang w:eastAsia="en-US"/>
    </w:rPr>
  </w:style>
  <w:style w:type="character" w:customStyle="1" w:styleId="Heading5Char">
    <w:name w:val="Heading 5 Char"/>
    <w:link w:val="Heading5"/>
    <w:rsid w:val="00DD54B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D54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54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54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54BC"/>
    <w:rPr>
      <w:rFonts w:ascii="Courier New" w:eastAsia="Times New Roman" w:hAnsi="Courier New" w:cs="Times New Roman"/>
      <w:i/>
      <w:szCs w:val="20"/>
      <w:lang w:val="en-US" w:eastAsia="en-US"/>
    </w:rPr>
  </w:style>
  <w:style w:type="paragraph" w:customStyle="1" w:styleId="HeadingBase">
    <w:name w:val="Heading Base"/>
    <w:rsid w:val="00DD54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54BC"/>
    <w:pPr>
      <w:tabs>
        <w:tab w:val="right" w:leader="dot" w:pos="9072"/>
      </w:tabs>
      <w:ind w:left="567"/>
    </w:pPr>
    <w:rPr>
      <w:szCs w:val="22"/>
    </w:rPr>
  </w:style>
  <w:style w:type="paragraph" w:customStyle="1" w:styleId="TOCBase">
    <w:name w:val="TOC Base"/>
    <w:rsid w:val="00DD54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54BC"/>
    <w:pPr>
      <w:tabs>
        <w:tab w:val="right" w:leader="dot" w:pos="9072"/>
      </w:tabs>
      <w:spacing w:before="40" w:after="40"/>
      <w:ind w:left="284"/>
    </w:pPr>
    <w:rPr>
      <w:rFonts w:ascii="Times New Roman" w:hAnsi="Times New Roman"/>
    </w:rPr>
  </w:style>
  <w:style w:type="paragraph" w:styleId="TOC1">
    <w:name w:val="toc 1"/>
    <w:basedOn w:val="TOCBase"/>
    <w:next w:val="Normal"/>
    <w:rsid w:val="00DD54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54BC"/>
    <w:pPr>
      <w:spacing w:before="5040"/>
      <w:jc w:val="center"/>
    </w:pPr>
    <w:rPr>
      <w:sz w:val="48"/>
      <w:szCs w:val="72"/>
      <w:lang w:val="en-US"/>
    </w:rPr>
  </w:style>
  <w:style w:type="character" w:customStyle="1" w:styleId="TitleChar">
    <w:name w:val="Title Char"/>
    <w:link w:val="Title"/>
    <w:rsid w:val="00DD54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54BC"/>
    <w:pPr>
      <w:tabs>
        <w:tab w:val="left" w:pos="3600"/>
        <w:tab w:val="left" w:pos="3958"/>
      </w:tabs>
    </w:pPr>
  </w:style>
  <w:style w:type="paragraph" w:customStyle="1" w:styleId="Note">
    <w:name w:val="Note"/>
    <w:basedOn w:val="BodyText"/>
    <w:rsid w:val="00DD54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54BC"/>
    <w:pPr>
      <w:framePr w:wrap="auto" w:hAnchor="text" w:y="6049"/>
    </w:pPr>
    <w:rPr>
      <w:color w:val="000000"/>
      <w:sz w:val="40"/>
    </w:rPr>
  </w:style>
  <w:style w:type="paragraph" w:customStyle="1" w:styleId="TOCTitle">
    <w:name w:val="TOCTitle"/>
    <w:basedOn w:val="Heading1"/>
    <w:rsid w:val="00DD54BC"/>
    <w:pPr>
      <w:spacing w:after="240"/>
      <w:jc w:val="center"/>
      <w:outlineLvl w:val="9"/>
    </w:pPr>
    <w:rPr>
      <w:caps/>
    </w:rPr>
  </w:style>
  <w:style w:type="paragraph" w:customStyle="1" w:styleId="Version">
    <w:name w:val="Version"/>
    <w:rsid w:val="00DD54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54BC"/>
    <w:pPr>
      <w:numPr>
        <w:numId w:val="13"/>
      </w:numPr>
      <w:tabs>
        <w:tab w:val="clear" w:pos="680"/>
      </w:tabs>
    </w:pPr>
  </w:style>
  <w:style w:type="paragraph" w:styleId="Index1">
    <w:name w:val="index 1"/>
    <w:basedOn w:val="Normal"/>
    <w:next w:val="Normal"/>
    <w:semiHidden/>
    <w:rsid w:val="00DD54BC"/>
    <w:pPr>
      <w:keepNext w:val="0"/>
      <w:tabs>
        <w:tab w:val="right" w:pos="4176"/>
      </w:tabs>
      <w:ind w:left="198" w:hanging="198"/>
    </w:pPr>
    <w:rPr>
      <w:rFonts w:ascii="Garamond" w:hAnsi="Garamond"/>
    </w:rPr>
  </w:style>
  <w:style w:type="paragraph" w:styleId="IndexHeading">
    <w:name w:val="index heading"/>
    <w:basedOn w:val="Normal"/>
    <w:next w:val="Index1"/>
    <w:semiHidden/>
    <w:rsid w:val="00DD54BC"/>
    <w:pPr>
      <w:spacing w:before="120" w:after="120"/>
    </w:pPr>
    <w:rPr>
      <w:rFonts w:ascii="Arial" w:hAnsi="Arial"/>
      <w:b/>
      <w:color w:val="918585"/>
      <w:sz w:val="24"/>
    </w:rPr>
  </w:style>
  <w:style w:type="paragraph" w:customStyle="1" w:styleId="Chapter">
    <w:name w:val="Chapter"/>
    <w:basedOn w:val="Normal"/>
    <w:rsid w:val="00DD54BC"/>
    <w:pPr>
      <w:spacing w:before="240"/>
    </w:pPr>
    <w:rPr>
      <w:rFonts w:ascii="Times New Roman" w:hAnsi="Times New Roman"/>
      <w:smallCaps/>
      <w:spacing w:val="80"/>
      <w:sz w:val="28"/>
    </w:rPr>
  </w:style>
  <w:style w:type="paragraph" w:customStyle="1" w:styleId="InChapter">
    <w:name w:val="InChapter"/>
    <w:basedOn w:val="Heading3"/>
    <w:rsid w:val="00DD54BC"/>
    <w:pPr>
      <w:spacing w:after="240"/>
      <w:outlineLvl w:val="9"/>
    </w:pPr>
    <w:rPr>
      <w:noProof/>
    </w:rPr>
  </w:style>
  <w:style w:type="paragraph" w:styleId="Index2">
    <w:name w:val="index 2"/>
    <w:basedOn w:val="Normal"/>
    <w:next w:val="Normal"/>
    <w:semiHidden/>
    <w:rsid w:val="00DD54BC"/>
    <w:pPr>
      <w:tabs>
        <w:tab w:val="right" w:pos="4176"/>
      </w:tabs>
      <w:ind w:left="568" w:hanging="284"/>
    </w:pPr>
    <w:rPr>
      <w:rFonts w:ascii="Garamond" w:hAnsi="Garamond"/>
    </w:rPr>
  </w:style>
  <w:style w:type="paragraph" w:customStyle="1" w:styleId="Byline">
    <w:name w:val="Byline"/>
    <w:rsid w:val="00DD54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54BC"/>
    <w:pPr>
      <w:tabs>
        <w:tab w:val="clear" w:pos="3600"/>
        <w:tab w:val="clear" w:pos="3958"/>
      </w:tabs>
      <w:jc w:val="right"/>
    </w:pPr>
  </w:style>
  <w:style w:type="paragraph" w:styleId="Caption">
    <w:name w:val="caption"/>
    <w:basedOn w:val="BodyText"/>
    <w:next w:val="Normal"/>
    <w:qFormat/>
    <w:rsid w:val="00DD54BC"/>
    <w:pPr>
      <w:framePr w:w="2268" w:hSpace="181" w:vSpace="181" w:wrap="around" w:vAnchor="text" w:hAnchor="page" w:x="1135" w:y="285" w:anchorLock="1"/>
    </w:pPr>
    <w:rPr>
      <w:i/>
    </w:rPr>
  </w:style>
  <w:style w:type="paragraph" w:customStyle="1" w:styleId="MiniTOCTitle">
    <w:name w:val="MiniTOCTitle"/>
    <w:basedOn w:val="Heading4"/>
    <w:rsid w:val="00DD54BC"/>
    <w:pPr>
      <w:spacing w:before="240"/>
      <w:outlineLvl w:val="9"/>
    </w:pPr>
    <w:rPr>
      <w:noProof/>
      <w:sz w:val="24"/>
    </w:rPr>
  </w:style>
  <w:style w:type="paragraph" w:customStyle="1" w:styleId="MiniTOCItem">
    <w:name w:val="MiniTOCItem"/>
    <w:basedOn w:val="ListBullet"/>
    <w:rsid w:val="00DD54BC"/>
    <w:pPr>
      <w:numPr>
        <w:numId w:val="0"/>
      </w:numPr>
      <w:tabs>
        <w:tab w:val="right" w:leader="dot" w:pos="6521"/>
      </w:tabs>
      <w:spacing w:before="0" w:after="0"/>
    </w:pPr>
  </w:style>
  <w:style w:type="paragraph" w:customStyle="1" w:styleId="TOFTitle">
    <w:name w:val="TOFTitle"/>
    <w:basedOn w:val="TOCTitle"/>
    <w:rsid w:val="00DD54BC"/>
  </w:style>
  <w:style w:type="paragraph" w:styleId="TableofFigures">
    <w:name w:val="table of figures"/>
    <w:basedOn w:val="Normal"/>
    <w:next w:val="Normal"/>
    <w:semiHidden/>
    <w:rsid w:val="00DD54BC"/>
    <w:pPr>
      <w:tabs>
        <w:tab w:val="right" w:leader="dot" w:pos="9072"/>
      </w:tabs>
      <w:ind w:left="970" w:hanging="403"/>
    </w:pPr>
    <w:rPr>
      <w:rFonts w:ascii="Times New Roman" w:hAnsi="Times New Roman"/>
      <w:b/>
    </w:rPr>
  </w:style>
  <w:style w:type="paragraph" w:styleId="ListNumber">
    <w:name w:val="List Number"/>
    <w:basedOn w:val="List"/>
    <w:rsid w:val="00DD54BC"/>
    <w:pPr>
      <w:numPr>
        <w:numId w:val="10"/>
      </w:numPr>
    </w:pPr>
  </w:style>
  <w:style w:type="character" w:customStyle="1" w:styleId="WingdingSymbols">
    <w:name w:val="Wingding Symbols"/>
    <w:rsid w:val="00DD54BC"/>
    <w:rPr>
      <w:rFonts w:ascii="Wingdings" w:hAnsi="Wingdings"/>
    </w:rPr>
  </w:style>
  <w:style w:type="paragraph" w:customStyle="1" w:styleId="TableHeading">
    <w:name w:val="Table Heading"/>
    <w:basedOn w:val="HeadingBase"/>
    <w:rsid w:val="00DD54BC"/>
    <w:pPr>
      <w:keepLines/>
      <w:pBdr>
        <w:bottom w:val="single" w:sz="6" w:space="1" w:color="918585"/>
      </w:pBdr>
      <w:spacing w:before="240"/>
    </w:pPr>
  </w:style>
  <w:style w:type="character" w:customStyle="1" w:styleId="HotSpot">
    <w:name w:val="HotSpot"/>
    <w:rsid w:val="00DD54BC"/>
    <w:rPr>
      <w:color w:val="0033CC"/>
      <w:u w:val="none"/>
    </w:rPr>
  </w:style>
  <w:style w:type="paragraph" w:customStyle="1" w:styleId="BodyTextRight">
    <w:name w:val="Body Text Right"/>
    <w:basedOn w:val="BodyText"/>
    <w:rsid w:val="00DD54BC"/>
    <w:pPr>
      <w:spacing w:before="0" w:after="0"/>
      <w:jc w:val="right"/>
    </w:pPr>
  </w:style>
  <w:style w:type="paragraph" w:styleId="Index3">
    <w:name w:val="index 3"/>
    <w:basedOn w:val="ListNumber2"/>
    <w:next w:val="Normal"/>
    <w:semiHidden/>
    <w:rsid w:val="00DD54BC"/>
    <w:pPr>
      <w:numPr>
        <w:numId w:val="0"/>
      </w:numPr>
      <w:tabs>
        <w:tab w:val="right" w:leader="dot" w:pos="4176"/>
      </w:tabs>
    </w:pPr>
  </w:style>
  <w:style w:type="paragraph" w:styleId="ListNumber2">
    <w:name w:val="List Number 2"/>
    <w:basedOn w:val="List2"/>
    <w:rsid w:val="00DD54BC"/>
    <w:pPr>
      <w:numPr>
        <w:numId w:val="9"/>
      </w:numPr>
      <w:tabs>
        <w:tab w:val="clear" w:pos="1060"/>
      </w:tabs>
    </w:pPr>
  </w:style>
  <w:style w:type="paragraph" w:customStyle="1" w:styleId="MarginNote">
    <w:name w:val="Margin Note"/>
    <w:basedOn w:val="BodyText"/>
    <w:rsid w:val="00DD54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54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D54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54BC"/>
    <w:rPr>
      <w:sz w:val="32"/>
    </w:rPr>
  </w:style>
  <w:style w:type="paragraph" w:customStyle="1" w:styleId="HeadingProcedure">
    <w:name w:val="Heading Procedure"/>
    <w:basedOn w:val="HeadingBase"/>
    <w:next w:val="Normal"/>
    <w:rsid w:val="00DD54BC"/>
    <w:pPr>
      <w:tabs>
        <w:tab w:val="left" w:pos="0"/>
      </w:tabs>
      <w:spacing w:before="120" w:after="60"/>
    </w:pPr>
    <w:rPr>
      <w:i/>
      <w:color w:val="918585"/>
      <w:sz w:val="22"/>
    </w:rPr>
  </w:style>
  <w:style w:type="paragraph" w:customStyle="1" w:styleId="TableBodyText">
    <w:name w:val="Table Body Text"/>
    <w:basedOn w:val="BodyText"/>
    <w:rsid w:val="00DD54BC"/>
    <w:pPr>
      <w:spacing w:before="60" w:after="60"/>
    </w:pPr>
  </w:style>
  <w:style w:type="paragraph" w:styleId="ListContinue">
    <w:name w:val="List Continue"/>
    <w:basedOn w:val="List"/>
    <w:rsid w:val="00DD54BC"/>
    <w:pPr>
      <w:ind w:firstLine="0"/>
    </w:pPr>
  </w:style>
  <w:style w:type="paragraph" w:customStyle="1" w:styleId="ListNote">
    <w:name w:val="List Note"/>
    <w:basedOn w:val="List"/>
    <w:rsid w:val="00DD54BC"/>
    <w:pPr>
      <w:pBdr>
        <w:top w:val="single" w:sz="6" w:space="2" w:color="918585"/>
        <w:bottom w:val="single" w:sz="6" w:space="2" w:color="918585"/>
      </w:pBdr>
      <w:tabs>
        <w:tab w:val="left" w:pos="1021"/>
      </w:tabs>
      <w:ind w:firstLine="0"/>
    </w:pPr>
  </w:style>
  <w:style w:type="paragraph" w:customStyle="1" w:styleId="Warning">
    <w:name w:val="Warning"/>
    <w:basedOn w:val="BodyText"/>
    <w:rsid w:val="00DD54BC"/>
    <w:pPr>
      <w:shd w:val="clear" w:color="auto" w:fill="D9D9D9"/>
      <w:tabs>
        <w:tab w:val="left" w:pos="992"/>
      </w:tabs>
      <w:ind w:left="119" w:right="119"/>
    </w:pPr>
    <w:rPr>
      <w:sz w:val="20"/>
    </w:rPr>
  </w:style>
  <w:style w:type="paragraph" w:customStyle="1" w:styleId="MarginIcons">
    <w:name w:val="Margin Icons"/>
    <w:basedOn w:val="BodyText"/>
    <w:rsid w:val="00DD54B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D54BC"/>
    <w:rPr>
      <w:rFonts w:ascii="Courier New" w:hAnsi="Courier New"/>
    </w:rPr>
  </w:style>
  <w:style w:type="paragraph" w:customStyle="1" w:styleId="NoteBullet">
    <w:name w:val="Note Bullet"/>
    <w:basedOn w:val="Note"/>
    <w:rsid w:val="00DD54BC"/>
    <w:pPr>
      <w:tabs>
        <w:tab w:val="clear" w:pos="680"/>
      </w:tabs>
      <w:spacing w:before="60" w:after="60"/>
    </w:pPr>
  </w:style>
  <w:style w:type="paragraph" w:customStyle="1" w:styleId="SubHeading2">
    <w:name w:val="SubHeading2"/>
    <w:basedOn w:val="HeadingBase"/>
    <w:rsid w:val="00DD54BC"/>
    <w:pPr>
      <w:spacing w:before="240" w:after="60"/>
    </w:pPr>
    <w:rPr>
      <w:sz w:val="20"/>
    </w:rPr>
  </w:style>
  <w:style w:type="paragraph" w:customStyle="1" w:styleId="SubHeading1">
    <w:name w:val="SubHeading1"/>
    <w:basedOn w:val="HeadingBase"/>
    <w:rsid w:val="00DD54BC"/>
    <w:pPr>
      <w:spacing w:before="240" w:after="60"/>
    </w:pPr>
    <w:rPr>
      <w:color w:val="918585"/>
      <w:sz w:val="22"/>
    </w:rPr>
  </w:style>
  <w:style w:type="paragraph" w:customStyle="1" w:styleId="SideHeading">
    <w:name w:val="Side Heading"/>
    <w:basedOn w:val="HeadingBase"/>
    <w:rsid w:val="00DD54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54BC"/>
    <w:pPr>
      <w:tabs>
        <w:tab w:val="num" w:pos="360"/>
      </w:tabs>
    </w:pPr>
  </w:style>
  <w:style w:type="paragraph" w:styleId="PlainText">
    <w:name w:val="Plain Text"/>
    <w:basedOn w:val="Normal"/>
    <w:link w:val="PlainTextChar"/>
    <w:rsid w:val="00DD54BC"/>
    <w:rPr>
      <w:sz w:val="20"/>
    </w:rPr>
  </w:style>
  <w:style w:type="character" w:customStyle="1" w:styleId="PlainTextChar">
    <w:name w:val="Plain Text Char"/>
    <w:basedOn w:val="DefaultParagraphFont"/>
    <w:link w:val="PlainText"/>
    <w:rsid w:val="00DD54BC"/>
    <w:rPr>
      <w:rFonts w:ascii="Courier New" w:eastAsia="Times New Roman" w:hAnsi="Courier New" w:cs="Times New Roman"/>
      <w:sz w:val="20"/>
      <w:szCs w:val="20"/>
      <w:lang w:val="en-US" w:eastAsia="en-US"/>
    </w:rPr>
  </w:style>
  <w:style w:type="character" w:customStyle="1" w:styleId="MenuOption">
    <w:name w:val="Menu Option"/>
    <w:rsid w:val="00DD54BC"/>
    <w:rPr>
      <w:b/>
      <w:smallCaps/>
    </w:rPr>
  </w:style>
  <w:style w:type="paragraph" w:customStyle="1" w:styleId="TableListNumber">
    <w:name w:val="Table List Number"/>
    <w:basedOn w:val="ListNumber"/>
    <w:rsid w:val="00DD54BC"/>
    <w:pPr>
      <w:numPr>
        <w:numId w:val="0"/>
      </w:numPr>
    </w:pPr>
  </w:style>
  <w:style w:type="paragraph" w:styleId="TOC4">
    <w:name w:val="toc 4"/>
    <w:basedOn w:val="TOCBase"/>
    <w:next w:val="Normal"/>
    <w:semiHidden/>
    <w:rsid w:val="00DD54BC"/>
    <w:pPr>
      <w:tabs>
        <w:tab w:val="right" w:leader="dot" w:pos="9071"/>
      </w:tabs>
      <w:ind w:left="1701"/>
    </w:pPr>
  </w:style>
  <w:style w:type="paragraph" w:customStyle="1" w:styleId="ListAlpha">
    <w:name w:val="List Alpha"/>
    <w:basedOn w:val="List"/>
    <w:rsid w:val="00DD54BC"/>
    <w:pPr>
      <w:numPr>
        <w:numId w:val="8"/>
      </w:numPr>
    </w:pPr>
  </w:style>
  <w:style w:type="paragraph" w:customStyle="1" w:styleId="ListAlpha2">
    <w:name w:val="List Alpha 2"/>
    <w:basedOn w:val="List2"/>
    <w:rsid w:val="00DD54BC"/>
    <w:pPr>
      <w:numPr>
        <w:numId w:val="7"/>
      </w:numPr>
    </w:pPr>
  </w:style>
  <w:style w:type="paragraph" w:styleId="List2">
    <w:name w:val="List 2"/>
    <w:basedOn w:val="BodyText"/>
    <w:rsid w:val="00DD54BC"/>
    <w:pPr>
      <w:tabs>
        <w:tab w:val="left" w:pos="680"/>
      </w:tabs>
      <w:spacing w:before="60" w:after="60"/>
      <w:ind w:left="680" w:hanging="340"/>
    </w:pPr>
  </w:style>
  <w:style w:type="paragraph" w:styleId="List3">
    <w:name w:val="List 3"/>
    <w:basedOn w:val="BodyText"/>
    <w:rsid w:val="00DD54BC"/>
    <w:pPr>
      <w:tabs>
        <w:tab w:val="left" w:pos="1021"/>
      </w:tabs>
      <w:spacing w:before="60" w:after="60"/>
      <w:ind w:left="1020" w:hanging="340"/>
    </w:pPr>
  </w:style>
  <w:style w:type="paragraph" w:styleId="List4">
    <w:name w:val="List 4"/>
    <w:basedOn w:val="BodyText"/>
    <w:rsid w:val="00DD54BC"/>
    <w:pPr>
      <w:tabs>
        <w:tab w:val="left" w:pos="1361"/>
      </w:tabs>
      <w:spacing w:before="60" w:after="60"/>
      <w:ind w:left="1361" w:hanging="340"/>
    </w:pPr>
  </w:style>
  <w:style w:type="paragraph" w:styleId="List5">
    <w:name w:val="List 5"/>
    <w:basedOn w:val="BodyText"/>
    <w:rsid w:val="00DD54BC"/>
    <w:pPr>
      <w:tabs>
        <w:tab w:val="left" w:pos="1701"/>
      </w:tabs>
      <w:spacing w:before="60" w:after="60"/>
      <w:ind w:left="1701" w:hanging="340"/>
    </w:pPr>
  </w:style>
  <w:style w:type="paragraph" w:styleId="ListBullet3">
    <w:name w:val="List Bullet 3"/>
    <w:basedOn w:val="List3"/>
    <w:rsid w:val="00DD54BC"/>
    <w:pPr>
      <w:numPr>
        <w:numId w:val="14"/>
      </w:numPr>
      <w:tabs>
        <w:tab w:val="clear" w:pos="1021"/>
      </w:tabs>
      <w:ind w:left="1037" w:hanging="357"/>
    </w:pPr>
  </w:style>
  <w:style w:type="paragraph" w:styleId="ListBullet4">
    <w:name w:val="List Bullet 4"/>
    <w:basedOn w:val="List4"/>
    <w:rsid w:val="00DD54BC"/>
    <w:pPr>
      <w:numPr>
        <w:numId w:val="2"/>
      </w:numPr>
    </w:pPr>
  </w:style>
  <w:style w:type="paragraph" w:styleId="ListBullet5">
    <w:name w:val="List Bullet 5"/>
    <w:basedOn w:val="List5"/>
    <w:rsid w:val="00DD54BC"/>
    <w:pPr>
      <w:numPr>
        <w:numId w:val="3"/>
      </w:numPr>
    </w:pPr>
  </w:style>
  <w:style w:type="paragraph" w:styleId="ListContinue2">
    <w:name w:val="List Continue 2"/>
    <w:basedOn w:val="List2"/>
    <w:rsid w:val="00DD54BC"/>
    <w:pPr>
      <w:ind w:firstLine="0"/>
    </w:pPr>
  </w:style>
  <w:style w:type="paragraph" w:styleId="ListContinue3">
    <w:name w:val="List Continue 3"/>
    <w:basedOn w:val="List3"/>
    <w:rsid w:val="00DD54BC"/>
    <w:pPr>
      <w:ind w:left="1021" w:firstLine="0"/>
    </w:pPr>
  </w:style>
  <w:style w:type="paragraph" w:styleId="ListContinue4">
    <w:name w:val="List Continue 4"/>
    <w:basedOn w:val="List4"/>
    <w:rsid w:val="00DD54BC"/>
    <w:pPr>
      <w:ind w:firstLine="0"/>
    </w:pPr>
  </w:style>
  <w:style w:type="paragraph" w:styleId="ListContinue5">
    <w:name w:val="List Continue 5"/>
    <w:basedOn w:val="List5"/>
    <w:rsid w:val="00DD54BC"/>
    <w:pPr>
      <w:ind w:firstLine="0"/>
    </w:pPr>
  </w:style>
  <w:style w:type="paragraph" w:styleId="ListNumber3">
    <w:name w:val="List Number 3"/>
    <w:basedOn w:val="List3"/>
    <w:rsid w:val="00DD54BC"/>
    <w:pPr>
      <w:numPr>
        <w:numId w:val="4"/>
      </w:numPr>
    </w:pPr>
  </w:style>
  <w:style w:type="paragraph" w:styleId="ListNumber4">
    <w:name w:val="List Number 4"/>
    <w:basedOn w:val="List4"/>
    <w:rsid w:val="00DD54BC"/>
    <w:pPr>
      <w:numPr>
        <w:numId w:val="5"/>
      </w:numPr>
    </w:pPr>
  </w:style>
  <w:style w:type="paragraph" w:styleId="ListNumber5">
    <w:name w:val="List Number 5"/>
    <w:basedOn w:val="List5"/>
    <w:rsid w:val="00DD54BC"/>
    <w:pPr>
      <w:numPr>
        <w:numId w:val="6"/>
      </w:numPr>
    </w:pPr>
  </w:style>
  <w:style w:type="paragraph" w:styleId="BlockText">
    <w:name w:val="Block Text"/>
    <w:basedOn w:val="Normal"/>
    <w:rsid w:val="00DD54BC"/>
    <w:pPr>
      <w:spacing w:after="120"/>
      <w:ind w:left="1440" w:right="1440"/>
    </w:pPr>
  </w:style>
  <w:style w:type="character" w:customStyle="1" w:styleId="Subscript">
    <w:name w:val="Subscript"/>
    <w:rsid w:val="00DD54BC"/>
    <w:rPr>
      <w:sz w:val="16"/>
      <w:vertAlign w:val="subscript"/>
    </w:rPr>
  </w:style>
  <w:style w:type="character" w:customStyle="1" w:styleId="Superscript">
    <w:name w:val="Superscript"/>
    <w:rsid w:val="00DD54BC"/>
    <w:rPr>
      <w:sz w:val="16"/>
      <w:vertAlign w:val="superscript"/>
    </w:rPr>
  </w:style>
  <w:style w:type="character" w:customStyle="1" w:styleId="Symbols">
    <w:name w:val="Symbols"/>
    <w:rsid w:val="00DD54BC"/>
    <w:rPr>
      <w:rFonts w:ascii="Symbol" w:hAnsi="Symbol"/>
    </w:rPr>
  </w:style>
  <w:style w:type="character" w:customStyle="1" w:styleId="MenuOptions">
    <w:name w:val="Menu Options"/>
    <w:rsid w:val="00DD54BC"/>
    <w:rPr>
      <w:rFonts w:ascii="Arial Narrow" w:hAnsi="Arial Narrow"/>
      <w:smallCaps/>
    </w:rPr>
  </w:style>
  <w:style w:type="character" w:customStyle="1" w:styleId="Buttons">
    <w:name w:val="Buttons"/>
    <w:rsid w:val="00DD54BC"/>
    <w:rPr>
      <w:b/>
    </w:rPr>
  </w:style>
  <w:style w:type="character" w:customStyle="1" w:styleId="Underlined">
    <w:name w:val="Underlined"/>
    <w:rsid w:val="00DD54BC"/>
    <w:rPr>
      <w:u w:val="single"/>
    </w:rPr>
  </w:style>
  <w:style w:type="paragraph" w:customStyle="1" w:styleId="TableBodyTextRight">
    <w:name w:val="Table Body Text Right"/>
    <w:basedOn w:val="TableBodyText"/>
    <w:rsid w:val="00DD54BC"/>
    <w:pPr>
      <w:widowControl w:val="0"/>
      <w:autoSpaceDE w:val="0"/>
      <w:autoSpaceDN w:val="0"/>
      <w:adjustRightInd w:val="0"/>
      <w:jc w:val="right"/>
    </w:pPr>
    <w:rPr>
      <w:rFonts w:cs="Arial"/>
      <w:szCs w:val="18"/>
    </w:rPr>
  </w:style>
  <w:style w:type="paragraph" w:customStyle="1" w:styleId="CopyrightText">
    <w:name w:val="Copyright Text"/>
    <w:basedOn w:val="BodyText"/>
    <w:rsid w:val="00DD54BC"/>
    <w:rPr>
      <w:sz w:val="18"/>
    </w:rPr>
  </w:style>
  <w:style w:type="paragraph" w:customStyle="1" w:styleId="BodySmallRight">
    <w:name w:val="Body Small Right"/>
    <w:basedOn w:val="BodyTextRight"/>
    <w:rsid w:val="00DD54BC"/>
    <w:rPr>
      <w:sz w:val="18"/>
      <w:szCs w:val="18"/>
    </w:rPr>
  </w:style>
  <w:style w:type="paragraph" w:customStyle="1" w:styleId="MarginEdition">
    <w:name w:val="Margin Edition"/>
    <w:basedOn w:val="MarginNote"/>
    <w:rsid w:val="00DD54BC"/>
    <w:pPr>
      <w:spacing w:before="0" w:after="0"/>
    </w:pPr>
    <w:rPr>
      <w:rFonts w:ascii="Times New Roman" w:hAnsi="Times New Roman"/>
      <w:color w:val="999999"/>
    </w:rPr>
  </w:style>
  <w:style w:type="paragraph" w:customStyle="1" w:styleId="Spacer">
    <w:name w:val="Spacer"/>
    <w:basedOn w:val="Normal"/>
    <w:rsid w:val="00DD54BC"/>
    <w:rPr>
      <w:sz w:val="2"/>
      <w:szCs w:val="2"/>
    </w:rPr>
  </w:style>
  <w:style w:type="character" w:customStyle="1" w:styleId="Small">
    <w:name w:val="Small"/>
    <w:rsid w:val="00DD54BC"/>
    <w:rPr>
      <w:sz w:val="16"/>
    </w:rPr>
  </w:style>
  <w:style w:type="paragraph" w:customStyle="1" w:styleId="WideTable">
    <w:name w:val="Wide Table"/>
    <w:basedOn w:val="Normal"/>
    <w:rsid w:val="00DD54BC"/>
    <w:pPr>
      <w:ind w:left="-1418"/>
    </w:pPr>
    <w:rPr>
      <w:sz w:val="2"/>
      <w:szCs w:val="2"/>
    </w:rPr>
  </w:style>
  <w:style w:type="character" w:styleId="PageNumber">
    <w:name w:val="page number"/>
    <w:rsid w:val="00DD54BC"/>
  </w:style>
  <w:style w:type="paragraph" w:styleId="Quote">
    <w:name w:val="Quote"/>
    <w:basedOn w:val="Heading1"/>
    <w:link w:val="QuoteChar"/>
    <w:qFormat/>
    <w:rsid w:val="00DD54BC"/>
    <w:rPr>
      <w:b w:val="0"/>
      <w:sz w:val="72"/>
      <w:szCs w:val="72"/>
      <w:lang w:val="en-NZ"/>
    </w:rPr>
  </w:style>
  <w:style w:type="character" w:customStyle="1" w:styleId="QuoteChar">
    <w:name w:val="Quote Char"/>
    <w:link w:val="Quote"/>
    <w:rsid w:val="00DD54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54BC"/>
    <w:pPr>
      <w:pageBreakBefore/>
    </w:pPr>
  </w:style>
  <w:style w:type="paragraph" w:customStyle="1" w:styleId="Border">
    <w:name w:val="Border"/>
    <w:basedOn w:val="Normal"/>
    <w:qFormat/>
    <w:rsid w:val="00DD54BC"/>
    <w:pPr>
      <w:pBdr>
        <w:top w:val="single" w:sz="18" w:space="1" w:color="auto"/>
      </w:pBdr>
    </w:pPr>
    <w:rPr>
      <w:rFonts w:ascii="Times New Roman" w:hAnsi="Times New Roman"/>
      <w:color w:val="FFFFFF"/>
      <w:sz w:val="2"/>
    </w:rPr>
  </w:style>
  <w:style w:type="character" w:styleId="IntenseEmphasis">
    <w:name w:val="Intense Emphasis"/>
    <w:uiPriority w:val="21"/>
    <w:qFormat/>
    <w:rsid w:val="00DD54BC"/>
    <w:rPr>
      <w:b/>
      <w:bCs/>
      <w:i/>
      <w:iCs/>
      <w:color w:val="auto"/>
    </w:rPr>
  </w:style>
  <w:style w:type="paragraph" w:styleId="IntenseQuote">
    <w:name w:val="Intense Quote"/>
    <w:basedOn w:val="Normal"/>
    <w:next w:val="Normal"/>
    <w:link w:val="IntenseQuoteChar"/>
    <w:uiPriority w:val="30"/>
    <w:qFormat/>
    <w:rsid w:val="00DD54B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D54BC"/>
    <w:rPr>
      <w:rFonts w:ascii="Courier New" w:eastAsia="Times New Roman" w:hAnsi="Courier New" w:cs="Times New Roman"/>
      <w:b/>
      <w:bCs/>
      <w:i/>
      <w:iCs/>
      <w:szCs w:val="20"/>
      <w:lang w:val="en-US" w:eastAsia="en-US"/>
    </w:rPr>
  </w:style>
  <w:style w:type="character" w:styleId="SubtleReference">
    <w:name w:val="Subtle Reference"/>
    <w:uiPriority w:val="31"/>
    <w:qFormat/>
    <w:rsid w:val="00DD54BC"/>
    <w:rPr>
      <w:smallCaps/>
      <w:color w:val="auto"/>
      <w:u w:val="single"/>
    </w:rPr>
  </w:style>
  <w:style w:type="character" w:styleId="IntenseReference">
    <w:name w:val="Intense Reference"/>
    <w:uiPriority w:val="32"/>
    <w:qFormat/>
    <w:rsid w:val="00DD54BC"/>
    <w:rPr>
      <w:b/>
      <w:bCs/>
      <w:smallCaps/>
      <w:color w:val="auto"/>
      <w:spacing w:val="5"/>
      <w:u w:val="single"/>
    </w:rPr>
  </w:style>
  <w:style w:type="paragraph" w:customStyle="1" w:styleId="2ColumnHeading">
    <w:name w:val="2Column Heading"/>
    <w:basedOn w:val="BodyText"/>
    <w:qFormat/>
    <w:rsid w:val="00DD54BC"/>
    <w:pPr>
      <w:spacing w:after="60"/>
      <w:ind w:left="-2268"/>
    </w:pPr>
    <w:rPr>
      <w:b/>
    </w:rPr>
  </w:style>
  <w:style w:type="paragraph" w:customStyle="1" w:styleId="Heading1TOC">
    <w:name w:val="Heading1 TOC"/>
    <w:basedOn w:val="Normal"/>
    <w:qFormat/>
    <w:rsid w:val="00DD54BC"/>
    <w:pPr>
      <w:spacing w:before="240" w:after="120"/>
    </w:pPr>
    <w:rPr>
      <w:rFonts w:ascii="Times New Roman" w:hAnsi="Times New Roman"/>
      <w:b/>
      <w:sz w:val="32"/>
    </w:rPr>
  </w:style>
  <w:style w:type="paragraph" w:customStyle="1" w:styleId="Heading2TOC">
    <w:name w:val="Heading2 TOC"/>
    <w:basedOn w:val="Normal"/>
    <w:qFormat/>
    <w:rsid w:val="00DD54BC"/>
    <w:pPr>
      <w:spacing w:before="240" w:after="60"/>
    </w:pPr>
    <w:rPr>
      <w:rFonts w:ascii="Times New Roman" w:hAnsi="Times New Roman"/>
      <w:b/>
      <w:sz w:val="28"/>
    </w:rPr>
  </w:style>
  <w:style w:type="character" w:customStyle="1" w:styleId="Underline">
    <w:name w:val="Underline"/>
    <w:qFormat/>
    <w:rsid w:val="00DD54BC"/>
    <w:rPr>
      <w:u w:val="single"/>
    </w:rPr>
  </w:style>
  <w:style w:type="character" w:customStyle="1" w:styleId="BoldandItalics">
    <w:name w:val="Bold and Italics"/>
    <w:qFormat/>
    <w:rsid w:val="00DD54BC"/>
    <w:rPr>
      <w:b/>
      <w:i/>
      <w:u w:val="none"/>
    </w:rPr>
  </w:style>
  <w:style w:type="paragraph" w:styleId="BalloonText">
    <w:name w:val="Balloon Text"/>
    <w:basedOn w:val="Normal"/>
    <w:link w:val="BalloonTextChar"/>
    <w:rsid w:val="00DD54BC"/>
    <w:rPr>
      <w:rFonts w:ascii="Tahoma" w:hAnsi="Tahoma" w:cs="Tahoma"/>
      <w:sz w:val="16"/>
      <w:szCs w:val="16"/>
    </w:rPr>
  </w:style>
  <w:style w:type="character" w:customStyle="1" w:styleId="BalloonTextChar">
    <w:name w:val="Balloon Text Char"/>
    <w:link w:val="BalloonText"/>
    <w:rsid w:val="00DD54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54B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D54B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1920</Words>
  <Characters>12655</Characters>
  <Application>Microsoft Office Word</Application>
  <DocSecurity>0</DocSecurity>
  <Lines>441</Lines>
  <Paragraphs>229</Paragraphs>
  <ScaleCrop>false</ScaleCrop>
  <Company>Author-it Software Corporation Ltd.</Company>
  <LinksUpToDate>false</LinksUpToDate>
  <CharactersWithSpaces>14504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HLTAN401D Prepare the anaesthetic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2012-05-27T00:11:00Z</dcterms:created>
  <dcterms:modified xsi:type="dcterms:W3CDTF">2012-05-27T00:11:00Z</dcterms:modified>
</cp:coreProperties>
</file>