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7A4" w:rsidP="009067A4">
      <w:pPr>
        <w:pStyle w:val="Title"/>
      </w:pPr>
      <w:r>
        <w:fldChar w:fldCharType="begin"/>
      </w:r>
      <w:r>
        <w:instrText xml:space="preserve"> TITLE   \* MERGEFORMAT </w:instrText>
      </w:r>
      <w:r>
        <w:fldChar w:fldCharType="separate"/>
      </w:r>
      <w:r>
        <w:t>HLTAMBAS604B Conduct advanced clinical assessment</w:t>
      </w:r>
      <w:r>
        <w:fldChar w:fldCharType="end"/>
      </w:r>
    </w:p>
    <w:p w:rsidR="009067A4" w:rsidP="009067A4">
      <w:pPr>
        <w:pStyle w:val="Version"/>
        <w:sectPr w:rsidSect="00A35F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5FE6" w:rsidP="00A35FE6">
      <w:pPr>
        <w:pStyle w:val="SuperHeading"/>
      </w:pPr>
      <w:r w:rsidRPr="00A35FE6">
        <w:t>HLTAMBAS604B Conduct advanced clinical assessment</w:t>
      </w:r>
    </w:p>
    <w:p w:rsidR="00000000" w:rsidRPr="00A35FE6" w:rsidP="00A35FE6">
      <w:pPr>
        <w:pStyle w:val="Heading1"/>
      </w:pPr>
      <w:bookmarkStart w:id="1" w:name="O_270981"/>
      <w:bookmarkEnd w:id="1"/>
      <w:r w:rsidRPr="00A35FE6">
        <w:t>Modification History</w:t>
      </w:r>
    </w:p>
    <w:p w:rsidR="00000000" w:rsidRPr="00A35FE6" w:rsidP="00A35FE6">
      <w:pPr>
        <w:pStyle w:val="BodyText"/>
      </w:pPr>
      <w:r w:rsidRPr="00A35FE6">
        <w:t>Not Applicable</w:t>
      </w:r>
    </w:p>
    <w:p w:rsidR="00000000" w:rsidRPr="00A35FE6" w:rsidP="00A35FE6">
      <w:pPr>
        <w:pStyle w:val="AllowPageBreak"/>
      </w:pPr>
    </w:p>
    <w:p w:rsidR="00000000" w:rsidRPr="00A35FE6" w:rsidP="00A35FE6">
      <w:pPr>
        <w:pStyle w:val="Heading1"/>
      </w:pPr>
      <w:bookmarkStart w:id="2" w:name="O_205220"/>
      <w:bookmarkEnd w:id="2"/>
      <w:r w:rsidRPr="00A35FE6">
        <w:t>Unit Descriptor</w:t>
      </w:r>
    </w:p>
    <w:tbl>
      <w:tblPr>
        <w:tblW w:w="0" w:type="auto"/>
        <w:tblLayout w:type="fixed"/>
        <w:tblCellMar>
          <w:left w:w="62" w:type="dxa"/>
          <w:right w:w="62" w:type="dxa"/>
        </w:tblCellMar>
        <w:tblLook w:val="0000"/>
      </w:tblPr>
      <w:tblGrid>
        <w:gridCol w:w="3333"/>
        <w:gridCol w:w="5223"/>
      </w:tblGrid>
      <w:tr w:rsidTr="009067A4">
        <w:tblPrEx>
          <w:tblW w:w="0" w:type="auto"/>
          <w:tblLayout w:type="fixed"/>
          <w:tblCellMar>
            <w:left w:w="62" w:type="dxa"/>
            <w:right w:w="62" w:type="dxa"/>
          </w:tblCellMar>
          <w:tblLook w:val="0000"/>
        </w:tblPrEx>
        <w:trPr>
          <w:tblHeader/>
        </w:trPr>
        <w:tc>
          <w:tcPr>
            <w:tcW w:w="3333"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t>This unit of competency describes the specialised knowledge of pathophysiology and pharmacology required t</w:t>
            </w:r>
            <w:r w:rsidRPr="00A35FE6">
              <w:t>o use advanced techniques to clinically assess a client in the ambulance setting.</w:t>
            </w:r>
          </w:p>
        </w:tc>
      </w:tr>
    </w:tbl>
    <w:p w:rsidR="009067A4" w:rsidP="00A35FE6">
      <w:pPr>
        <w:pStyle w:val="BodyText"/>
      </w:pPr>
    </w:p>
    <w:p w:rsidR="009067A4" w:rsidP="00A35FE6">
      <w:pPr>
        <w:pStyle w:val="BodyText"/>
      </w:pPr>
    </w:p>
    <w:p w:rsidR="00000000" w:rsidRPr="00A35FE6" w:rsidP="00A35FE6">
      <w:pPr>
        <w:pStyle w:val="Heading1"/>
      </w:pPr>
      <w:bookmarkStart w:id="3" w:name="O_205223"/>
      <w:bookmarkEnd w:id="3"/>
      <w:r w:rsidRPr="00A35FE6">
        <w:t>Application of the Unit</w:t>
      </w:r>
    </w:p>
    <w:tbl>
      <w:tblPr>
        <w:tblW w:w="0" w:type="auto"/>
        <w:tblLayout w:type="fixed"/>
        <w:tblCellMar>
          <w:left w:w="62" w:type="dxa"/>
          <w:right w:w="62" w:type="dxa"/>
        </w:tblCellMar>
        <w:tblLook w:val="0000"/>
      </w:tblPr>
      <w:tblGrid>
        <w:gridCol w:w="3342"/>
        <w:gridCol w:w="5214"/>
      </w:tblGrid>
      <w:tr w:rsidTr="009067A4">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t>The knowledge and skills specified in this unit are typically required by a person involved directly in the provision of advanced clinical care at the level of an intensive care paramedic in a state or territory ambulance service.</w:t>
            </w:r>
          </w:p>
          <w:p w:rsidR="00000000" w:rsidRPr="00A35FE6" w:rsidP="00A35FE6">
            <w:pPr>
              <w:pStyle w:val="BodyText"/>
            </w:pPr>
            <w:r w:rsidRPr="00A35FE6">
              <w:t>The unit involves applica</w:t>
            </w:r>
            <w:r w:rsidRPr="00A35FE6">
              <w:t>tion of specialised knowledge of pathophysiology and pharmacology for advanced clinical assessment and client care.</w:t>
            </w:r>
          </w:p>
          <w:p w:rsidR="00000000" w:rsidRPr="00A35FE6" w:rsidP="00A35FE6">
            <w:pPr>
              <w:pStyle w:val="BodyText"/>
            </w:pPr>
            <w:r w:rsidRPr="00A35FE6">
              <w:t xml:space="preserve">The application of knowledge and skills described in this competency unit relate to functioning independently to plan and practise advanced </w:t>
            </w:r>
            <w:r w:rsidRPr="00A35FE6">
              <w:t>client assessment within relevant state/territory clinical practice and application of skills guidelines.</w:t>
            </w:r>
          </w:p>
          <w:p w:rsidR="00000000" w:rsidRPr="00A35FE6" w:rsidP="00A35FE6">
            <w:pPr>
              <w:pStyle w:val="BodyText"/>
            </w:pPr>
            <w:r w:rsidRPr="00A35FE6">
              <w:t>Successful assessment of the essential knowledge described in this competency unit (and its co-requisite) is required before undertaking independent c</w:t>
            </w:r>
            <w:r w:rsidRPr="00A35FE6">
              <w:t>lient assessment and delivery of care at the level of skill described.</w:t>
            </w:r>
          </w:p>
        </w:tc>
      </w:tr>
    </w:tbl>
    <w:p w:rsidR="009067A4" w:rsidP="00A35FE6">
      <w:pPr>
        <w:pStyle w:val="BodyText"/>
      </w:pPr>
    </w:p>
    <w:p w:rsidR="009067A4" w:rsidP="00A35FE6">
      <w:pPr>
        <w:pStyle w:val="BodyText"/>
      </w:pPr>
    </w:p>
    <w:p w:rsidR="00000000" w:rsidRPr="00A35FE6" w:rsidP="00A35FE6">
      <w:pPr>
        <w:pStyle w:val="Heading1"/>
      </w:pPr>
      <w:bookmarkStart w:id="4" w:name="O_279241"/>
      <w:bookmarkEnd w:id="4"/>
      <w:r w:rsidRPr="00A35FE6">
        <w:t>Licensing/Regulatory Information</w:t>
      </w:r>
    </w:p>
    <w:p w:rsidR="00000000" w:rsidRPr="00A35FE6" w:rsidP="00A35FE6">
      <w:pPr>
        <w:pStyle w:val="BodyText"/>
      </w:pPr>
      <w:r w:rsidRPr="00A35FE6">
        <w:t>Not Applicable</w:t>
      </w:r>
    </w:p>
    <w:p w:rsidR="00000000" w:rsidRPr="00A35FE6" w:rsidP="00A35FE6">
      <w:pPr>
        <w:pStyle w:val="AllowPageBreak"/>
      </w:pPr>
    </w:p>
    <w:p w:rsidR="00000000" w:rsidRPr="00A35FE6" w:rsidP="00A35FE6">
      <w:pPr>
        <w:pStyle w:val="Heading1"/>
      </w:pPr>
      <w:bookmarkStart w:id="5" w:name="O_205222"/>
      <w:bookmarkEnd w:id="5"/>
      <w:r w:rsidRPr="00A35FE6">
        <w:t>Pre-Requisites</w:t>
      </w:r>
    </w:p>
    <w:tbl>
      <w:tblPr>
        <w:tblW w:w="0" w:type="auto"/>
        <w:tblLayout w:type="fixed"/>
        <w:tblCellMar>
          <w:left w:w="62" w:type="dxa"/>
          <w:right w:w="62" w:type="dxa"/>
        </w:tblCellMar>
        <w:tblLook w:val="0000"/>
      </w:tblPr>
      <w:tblGrid>
        <w:gridCol w:w="3197"/>
        <w:gridCol w:w="5359"/>
      </w:tblGrid>
      <w:tr w:rsidTr="009067A4">
        <w:tblPrEx>
          <w:tblW w:w="0" w:type="auto"/>
          <w:tblLayout w:type="fixed"/>
          <w:tblCellMar>
            <w:left w:w="62" w:type="dxa"/>
            <w:right w:w="62" w:type="dxa"/>
          </w:tblCellMar>
          <w:tblLook w:val="0000"/>
        </w:tblPrEx>
        <w:trPr>
          <w:tblHeader/>
        </w:trPr>
        <w:tc>
          <w:tcPr>
            <w:tcW w:w="3197"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SpecialBold"/>
              </w:rPr>
              <w:t>Pre-requisite units</w:t>
            </w:r>
          </w:p>
        </w:tc>
        <w:tc>
          <w:tcPr>
            <w:tcW w:w="5359"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t>This unit must be assessed after successful achievement of pre-requisites:</w:t>
            </w:r>
          </w:p>
          <w:p w:rsidR="00000000" w:rsidRPr="00A35FE6" w:rsidP="00A35FE6">
            <w:pPr>
              <w:pStyle w:val="ListBullet"/>
            </w:pPr>
            <w:r w:rsidRPr="00A35FE6">
              <w:t>HLTAMBAS501B Conduct clinical assessment</w:t>
            </w:r>
          </w:p>
          <w:p w:rsidR="00000000" w:rsidRPr="00A35FE6" w:rsidP="00A35FE6">
            <w:pPr>
              <w:pStyle w:val="ListBullet"/>
            </w:pPr>
            <w:r w:rsidRPr="00A35FE6">
              <w:t>HLTAMBCR401B Deliver basic clinical care</w:t>
            </w:r>
          </w:p>
          <w:p w:rsidR="00000000" w:rsidRPr="00A35FE6" w:rsidP="00A35FE6">
            <w:pPr>
              <w:pStyle w:val="ListBullet"/>
            </w:pPr>
            <w:r w:rsidRPr="00A35FE6">
              <w:t>HLTAMBCR502B Deliver standard clinical care</w:t>
            </w:r>
          </w:p>
        </w:tc>
      </w:tr>
    </w:tbl>
    <w:p w:rsidR="009067A4" w:rsidP="00A35FE6">
      <w:pPr>
        <w:pStyle w:val="BodyText"/>
      </w:pPr>
    </w:p>
    <w:p w:rsidR="009067A4" w:rsidP="00A35FE6">
      <w:pPr>
        <w:pStyle w:val="BodyText"/>
      </w:pPr>
    </w:p>
    <w:p w:rsidR="00000000" w:rsidRPr="00A35FE6" w:rsidP="00A35FE6">
      <w:pPr>
        <w:pStyle w:val="Heading1"/>
      </w:pPr>
      <w:bookmarkStart w:id="6" w:name="O_205221"/>
      <w:bookmarkEnd w:id="6"/>
      <w:r w:rsidRPr="00A35FE6">
        <w:t>Employability Skills Information</w:t>
      </w:r>
    </w:p>
    <w:tbl>
      <w:tblPr>
        <w:tblW w:w="0" w:type="auto"/>
        <w:tblLayout w:type="fixed"/>
        <w:tblCellMar>
          <w:left w:w="62" w:type="dxa"/>
          <w:right w:w="62" w:type="dxa"/>
        </w:tblCellMar>
        <w:tblLook w:val="0000"/>
      </w:tblPr>
      <w:tblGrid>
        <w:gridCol w:w="3320"/>
        <w:gridCol w:w="5236"/>
      </w:tblGrid>
      <w:tr w:rsidTr="009067A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t>This unit contains Employability Skills</w:t>
            </w:r>
          </w:p>
        </w:tc>
      </w:tr>
    </w:tbl>
    <w:p w:rsidR="009067A4" w:rsidP="00A35FE6">
      <w:pPr>
        <w:pStyle w:val="BodyText"/>
      </w:pPr>
    </w:p>
    <w:p w:rsidR="009067A4" w:rsidP="00A35FE6">
      <w:pPr>
        <w:pStyle w:val="BodyText"/>
      </w:pPr>
    </w:p>
    <w:p w:rsidR="00000000" w:rsidRPr="00A35FE6" w:rsidP="00A35FE6">
      <w:pPr>
        <w:pStyle w:val="Heading1"/>
      </w:pPr>
      <w:bookmarkStart w:id="7" w:name="O_289027"/>
      <w:bookmarkEnd w:id="7"/>
      <w:r w:rsidRPr="00A35FE6">
        <w:t>Elements and Performance Criteria Pre-Content</w:t>
      </w:r>
    </w:p>
    <w:tbl>
      <w:tblPr>
        <w:tblW w:w="0" w:type="auto"/>
        <w:tblLayout w:type="fixed"/>
        <w:tblCellMar>
          <w:left w:w="62" w:type="dxa"/>
          <w:right w:w="62" w:type="dxa"/>
        </w:tblCellMar>
        <w:tblLook w:val="0000"/>
      </w:tblPr>
      <w:tblGrid>
        <w:gridCol w:w="3369"/>
        <w:gridCol w:w="5702"/>
      </w:tblGrid>
      <w:tr w:rsidTr="009067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t>The Performance Criteria specify the level of performance require</w:t>
            </w:r>
            <w:r w:rsidRPr="00A35FE6">
              <w:t xml:space="preserve">d to demonstrate achievement of the Element. Terms in italics are elaborated in the Range Statement. </w:t>
            </w:r>
          </w:p>
        </w:tc>
      </w:tr>
    </w:tbl>
    <w:p w:rsidR="00000000" w:rsidRPr="00A35FE6" w:rsidP="00A35FE6">
      <w:pPr>
        <w:pStyle w:val="BodyText"/>
      </w:pPr>
    </w:p>
    <w:p w:rsidR="00000000" w:rsidRPr="00A35FE6" w:rsidP="00A35FE6">
      <w:pPr>
        <w:pStyle w:val="AllowPageBreak"/>
      </w:pPr>
    </w:p>
    <w:p w:rsidR="00000000" w:rsidRPr="00A35FE6" w:rsidP="00A35FE6">
      <w:pPr>
        <w:pStyle w:val="Heading1"/>
      </w:pPr>
      <w:bookmarkStart w:id="8" w:name="O_235694"/>
      <w:bookmarkEnd w:id="8"/>
      <w:r w:rsidRPr="00A35FE6">
        <w:t>Elements and Performance Criteria</w:t>
      </w:r>
    </w:p>
    <w:tbl>
      <w:tblPr>
        <w:tblW w:w="0" w:type="auto"/>
        <w:tblLayout w:type="fixed"/>
        <w:tblCellMar>
          <w:left w:w="62" w:type="dxa"/>
          <w:right w:w="62" w:type="dxa"/>
        </w:tblCellMar>
        <w:tblLook w:val="0000"/>
      </w:tblPr>
      <w:tblGrid>
        <w:gridCol w:w="3369"/>
        <w:gridCol w:w="5702"/>
      </w:tblGrid>
      <w:tr w:rsidTr="009067A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SpecialBold"/>
              </w:rPr>
              <w:t>PERFORMANCE CRITERIA</w:t>
            </w:r>
          </w:p>
        </w:tc>
      </w:tr>
      <w:tr w:rsidTr="009067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6">
            <w:pPr>
              <w:pStyle w:val="List"/>
              <w:rPr>
                <w:lang w:val="en-NZ"/>
              </w:rPr>
            </w:pPr>
            <w:r w:rsidRPr="00A35FE6">
              <w:t>1.</w:t>
            </w:r>
            <w:r w:rsidRPr="00A35FE6">
              <w:tab/>
              <w:t xml:space="preserve">Apply </w:t>
            </w:r>
            <w:r w:rsidRPr="00A35FE6">
              <w:rPr>
                <w:rStyle w:val="Emphasis"/>
              </w:rPr>
              <w:t>pathophysiological concepts</w:t>
            </w:r>
            <w:r w:rsidRPr="00A35FE6">
              <w:t xml:space="preserve"> to assess client's body system function</w:t>
            </w:r>
          </w:p>
        </w:tc>
        <w:tc>
          <w:tcPr>
            <w:tcW w:w="5702"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t>1.1</w:t>
            </w:r>
            <w:r w:rsidRPr="00A35FE6">
              <w:tab/>
              <w:t xml:space="preserve">Apply a specialised knowledge of </w:t>
            </w:r>
            <w:r w:rsidRPr="00A35FE6">
              <w:rPr>
                <w:rStyle w:val="Emphasis"/>
              </w:rPr>
              <w:t>fluid and electrolyte imbalance</w:t>
            </w:r>
            <w:r w:rsidRPr="00A35FE6">
              <w:t xml:space="preserve"> to the client's health status</w:t>
            </w:r>
          </w:p>
          <w:p w:rsidR="00000000" w:rsidP="00A35FE6">
            <w:pPr>
              <w:pStyle w:val="BodyText"/>
              <w:rPr>
                <w:lang w:val="en-NZ"/>
              </w:rPr>
            </w:pPr>
            <w:r w:rsidRPr="00A35FE6">
              <w:t>1.2</w:t>
            </w:r>
            <w:r w:rsidRPr="00A35FE6">
              <w:tab/>
              <w:t xml:space="preserve">Demonstrate a specialised knowledge of </w:t>
            </w:r>
            <w:r w:rsidRPr="00A35FE6">
              <w:rPr>
                <w:rStyle w:val="Emphasis"/>
              </w:rPr>
              <w:t>acid base imbalance</w:t>
            </w:r>
            <w:r w:rsidRPr="00A35FE6">
              <w:t xml:space="preserve"> to the client's health status</w:t>
            </w:r>
          </w:p>
        </w:tc>
      </w:tr>
      <w:tr w:rsidTr="009067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6">
            <w:pPr>
              <w:pStyle w:val="List"/>
              <w:rPr>
                <w:lang w:val="en-NZ"/>
              </w:rPr>
            </w:pPr>
            <w:r w:rsidRPr="00A35FE6">
              <w:t>2.</w:t>
            </w:r>
            <w:r w:rsidRPr="00A35FE6">
              <w:tab/>
              <w:t>Identify any var</w:t>
            </w:r>
            <w:r w:rsidRPr="00A35FE6">
              <w:t xml:space="preserve">iations from </w:t>
            </w:r>
            <w:r w:rsidRPr="00A35FE6">
              <w:rPr>
                <w:rStyle w:val="Emphasis"/>
              </w:rPr>
              <w:t>homeostasis</w:t>
            </w:r>
            <w:r w:rsidRPr="00A35FE6">
              <w:t xml:space="preserve"> when assessing a client's physical health status</w:t>
            </w:r>
          </w:p>
        </w:tc>
        <w:tc>
          <w:tcPr>
            <w:tcW w:w="5702"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t>2.1</w:t>
            </w:r>
            <w:r w:rsidRPr="00A35FE6">
              <w:tab/>
              <w:t xml:space="preserve">Utilise a </w:t>
            </w:r>
            <w:r w:rsidRPr="00A35FE6">
              <w:rPr>
                <w:rStyle w:val="Emphasis"/>
              </w:rPr>
              <w:t>specialised knowledge of homeostasis</w:t>
            </w:r>
            <w:r w:rsidRPr="00A35FE6">
              <w:t xml:space="preserve"> to the assessment of normal function of body systems</w:t>
            </w:r>
          </w:p>
          <w:p w:rsidR="00000000" w:rsidRPr="00A35FE6" w:rsidP="00A35FE6">
            <w:pPr>
              <w:pStyle w:val="BodyText"/>
            </w:pPr>
            <w:r w:rsidRPr="00A35FE6">
              <w:t>2.2</w:t>
            </w:r>
            <w:r w:rsidRPr="00A35FE6">
              <w:tab/>
              <w:t>Demonstrate a specialised knowledge to identify a range of signs and sympt</w:t>
            </w:r>
            <w:r w:rsidRPr="00A35FE6">
              <w:t xml:space="preserve">oms of variations from homeostasis using </w:t>
            </w:r>
            <w:r w:rsidRPr="00A35FE6">
              <w:rPr>
                <w:rStyle w:val="Emphasis"/>
              </w:rPr>
              <w:t>standard methods and protocols</w:t>
            </w:r>
          </w:p>
          <w:p w:rsidR="00000000" w:rsidP="00A35FE6">
            <w:pPr>
              <w:pStyle w:val="BodyText"/>
              <w:rPr>
                <w:lang w:val="en-NZ"/>
              </w:rPr>
            </w:pPr>
            <w:r w:rsidRPr="00A35FE6">
              <w:t>2.3</w:t>
            </w:r>
            <w:r w:rsidRPr="00A35FE6">
              <w:tab/>
              <w:t xml:space="preserve">Apply a specialised knowledge of variations to cellular metabolism when assessing client for </w:t>
            </w:r>
            <w:r w:rsidRPr="00A35FE6">
              <w:rPr>
                <w:rStyle w:val="Emphasis"/>
              </w:rPr>
              <w:t>poor states of perfusion</w:t>
            </w:r>
          </w:p>
        </w:tc>
      </w:tr>
      <w:tr w:rsidTr="009067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35FE6">
            <w:pPr>
              <w:pStyle w:val="List"/>
              <w:rPr>
                <w:lang w:val="en-NZ"/>
              </w:rPr>
            </w:pPr>
            <w:r w:rsidRPr="00A35FE6">
              <w:t>3.</w:t>
            </w:r>
            <w:r w:rsidRPr="00A35FE6">
              <w:tab/>
              <w:t xml:space="preserve">Conduct assessment of clients with </w:t>
            </w:r>
            <w:r w:rsidRPr="00A35FE6">
              <w:rPr>
                <w:rStyle w:val="Emphasis"/>
              </w:rPr>
              <w:t>specific conditions</w:t>
            </w:r>
            <w:r w:rsidRPr="00A35FE6">
              <w:t xml:space="preserve">, </w:t>
            </w:r>
            <w:r w:rsidRPr="00A35FE6">
              <w:rPr>
                <w:rStyle w:val="Emphasis"/>
              </w:rPr>
              <w:t>disorders and injuries</w:t>
            </w:r>
            <w:r w:rsidRPr="00A35FE6">
              <w:t xml:space="preserve"> utilising </w:t>
            </w:r>
            <w:r w:rsidRPr="00A35FE6">
              <w:rPr>
                <w:rStyle w:val="Emphasis"/>
              </w:rPr>
              <w:t>advanced techniques</w:t>
            </w:r>
          </w:p>
        </w:tc>
        <w:tc>
          <w:tcPr>
            <w:tcW w:w="5702"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t>3.1</w:t>
            </w:r>
            <w:r w:rsidRPr="00A35FE6">
              <w:tab/>
              <w:t xml:space="preserve">Integrate a wide-ranging knowledge of </w:t>
            </w:r>
            <w:r w:rsidRPr="00A35FE6">
              <w:rPr>
                <w:rStyle w:val="Emphasis"/>
              </w:rPr>
              <w:t>pathophysiological concepts</w:t>
            </w:r>
            <w:r w:rsidRPr="00A35FE6">
              <w:t xml:space="preserve"> with assessment data and principles of management for specific conditions, disorders and injuries</w:t>
            </w:r>
          </w:p>
          <w:p w:rsidR="00000000" w:rsidRPr="00A35FE6" w:rsidP="00A35FE6">
            <w:pPr>
              <w:pStyle w:val="BodyText"/>
            </w:pPr>
            <w:r w:rsidRPr="00A35FE6">
              <w:t>3.2</w:t>
            </w:r>
            <w:r w:rsidRPr="00A35FE6">
              <w:tab/>
              <w:t>Evaluate the need for and pot</w:t>
            </w:r>
            <w:r w:rsidRPr="00A35FE6">
              <w:t xml:space="preserve">ential impact of </w:t>
            </w:r>
            <w:r w:rsidRPr="00A35FE6">
              <w:rPr>
                <w:rStyle w:val="Emphasis"/>
              </w:rPr>
              <w:t>advanced treatment</w:t>
            </w:r>
            <w:r w:rsidRPr="00A35FE6">
              <w:t>(</w:t>
            </w:r>
            <w:r w:rsidRPr="00A35FE6">
              <w:rPr>
                <w:rStyle w:val="Emphasis"/>
              </w:rPr>
              <w:t>s</w:t>
            </w:r>
            <w:r w:rsidRPr="00A35FE6">
              <w:t>) on client's health status</w:t>
            </w:r>
          </w:p>
          <w:p w:rsidR="00000000" w:rsidRPr="00A35FE6" w:rsidP="00A35FE6">
            <w:pPr>
              <w:pStyle w:val="BodyText"/>
            </w:pPr>
            <w:r w:rsidRPr="00A35FE6">
              <w:t>3.3</w:t>
            </w:r>
            <w:r w:rsidRPr="00A35FE6">
              <w:tab/>
              <w:t xml:space="preserve">Establish the need for </w:t>
            </w:r>
            <w:r w:rsidRPr="00A35FE6">
              <w:rPr>
                <w:rStyle w:val="Emphasis"/>
              </w:rPr>
              <w:t>drug and</w:t>
            </w:r>
            <w:r w:rsidRPr="00A35FE6">
              <w:t>/</w:t>
            </w:r>
            <w:r w:rsidRPr="00A35FE6">
              <w:rPr>
                <w:rStyle w:val="Emphasis"/>
              </w:rPr>
              <w:t>or fluid therapies</w:t>
            </w:r>
            <w:r w:rsidRPr="00A35FE6">
              <w:t xml:space="preserve"> and their potential impact on client's health status</w:t>
            </w:r>
          </w:p>
          <w:p w:rsidR="00000000" w:rsidRPr="00A35FE6" w:rsidP="00A35FE6">
            <w:pPr>
              <w:pStyle w:val="BodyText"/>
            </w:pPr>
            <w:r w:rsidRPr="00A35FE6">
              <w:t>3.4</w:t>
            </w:r>
            <w:r w:rsidRPr="00A35FE6">
              <w:tab/>
              <w:t xml:space="preserve">Exercise </w:t>
            </w:r>
            <w:r w:rsidRPr="00A35FE6">
              <w:rPr>
                <w:rStyle w:val="Emphasis"/>
              </w:rPr>
              <w:t>critical analysis</w:t>
            </w:r>
            <w:r w:rsidRPr="00A35FE6">
              <w:t xml:space="preserve"> to scene findings to facilitate treatment strategies</w:t>
            </w:r>
          </w:p>
          <w:p w:rsidR="00000000" w:rsidP="00A35FE6">
            <w:pPr>
              <w:pStyle w:val="BodyText"/>
              <w:rPr>
                <w:lang w:val="en-NZ"/>
              </w:rPr>
            </w:pPr>
            <w:r w:rsidRPr="00A35FE6">
              <w:t>3.5</w:t>
            </w:r>
            <w:r w:rsidRPr="00A35FE6">
              <w:tab/>
              <w:t xml:space="preserve">Employ </w:t>
            </w:r>
            <w:r w:rsidRPr="00A35FE6">
              <w:rPr>
                <w:rStyle w:val="Emphasis"/>
              </w:rPr>
              <w:t>diagnostic reasoning</w:t>
            </w:r>
            <w:r w:rsidRPr="00A35FE6">
              <w:t xml:space="preserve"> to determine the potential for injury or illness</w:t>
            </w:r>
          </w:p>
        </w:tc>
      </w:tr>
      <w:tr w:rsidTr="009067A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35FE6" w:rsidP="00A35FE6">
            <w:pPr>
              <w:pStyle w:val="BodyText"/>
            </w:pPr>
          </w:p>
        </w:tc>
      </w:tr>
    </w:tbl>
    <w:p w:rsidR="009067A4" w:rsidP="00A35FE6">
      <w:pPr>
        <w:pStyle w:val="BodyText"/>
      </w:pPr>
    </w:p>
    <w:p w:rsidR="009067A4" w:rsidP="00A35FE6">
      <w:pPr>
        <w:pStyle w:val="BodyText"/>
      </w:pPr>
    </w:p>
    <w:p w:rsidR="00000000" w:rsidRPr="00A35FE6" w:rsidP="00A35FE6">
      <w:pPr>
        <w:pStyle w:val="Heading1"/>
      </w:pPr>
      <w:bookmarkStart w:id="9" w:name="O_259644"/>
      <w:bookmarkEnd w:id="9"/>
      <w:r w:rsidRPr="00A35FE6">
        <w:t>Required Skills and Knowledge</w:t>
      </w:r>
    </w:p>
    <w:tbl>
      <w:tblPr>
        <w:tblW w:w="0" w:type="auto"/>
        <w:tblLayout w:type="fixed"/>
        <w:tblCellMar>
          <w:left w:w="62" w:type="dxa"/>
          <w:right w:w="62" w:type="dxa"/>
        </w:tblCellMar>
        <w:tblLook w:val="0000"/>
      </w:tblPr>
      <w:tblGrid>
        <w:gridCol w:w="9072"/>
      </w:tblGrid>
      <w:tr w:rsidTr="009067A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SpecialBold"/>
              </w:rPr>
              <w:t>REQUIRED SKILLS AND KNOWLEDGE</w:t>
            </w:r>
          </w:p>
        </w:tc>
      </w:tr>
      <w:tr w:rsidTr="009067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t>This describes the essential skills and knowledge and their level required for this unit.</w:t>
            </w:r>
          </w:p>
        </w:tc>
      </w:tr>
      <w:tr w:rsidTr="009067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rPr>
                <w:rStyle w:val="Emphasis"/>
              </w:rPr>
              <w:t>Essential knowledge</w:t>
            </w:r>
            <w:r w:rsidRPr="00A35FE6">
              <w:t>:</w:t>
            </w:r>
          </w:p>
          <w:p w:rsidR="00000000" w:rsidRPr="00A35FE6" w:rsidP="00A35FE6">
            <w:pPr>
              <w:pStyle w:val="BodyText"/>
            </w:pPr>
            <w:r w:rsidRPr="00A35FE6">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A35FE6" w:rsidP="00A35FE6">
            <w:pPr>
              <w:pStyle w:val="BodyText"/>
            </w:pPr>
            <w:r w:rsidRPr="00A35FE6">
              <w:t xml:space="preserve">This includes </w:t>
            </w:r>
            <w:r w:rsidRPr="00A35FE6">
              <w:t>knowledge of:</w:t>
            </w:r>
          </w:p>
          <w:p w:rsidR="00000000" w:rsidRPr="00A35FE6" w:rsidP="00A35FE6">
            <w:pPr>
              <w:pStyle w:val="ListBullet"/>
            </w:pPr>
            <w:r w:rsidRPr="00A35FE6">
              <w:t xml:space="preserve">Specialised anatomical, physiological and pharmacological terminology </w:t>
            </w:r>
          </w:p>
          <w:p w:rsidR="00000000" w:rsidRPr="00A35FE6" w:rsidP="00A35FE6">
            <w:pPr>
              <w:pStyle w:val="ListBullet"/>
            </w:pPr>
            <w:r w:rsidRPr="00A35FE6">
              <w:t>Advanced concepts underpinning human anatomy and physiology, including:</w:t>
            </w:r>
          </w:p>
          <w:p w:rsidR="00000000" w:rsidRPr="00A35FE6" w:rsidP="00A35FE6">
            <w:pPr>
              <w:pStyle w:val="ListBullet2"/>
            </w:pPr>
            <w:r w:rsidRPr="00A35FE6">
              <w:t>human life processes</w:t>
            </w:r>
          </w:p>
          <w:p w:rsidR="00000000" w:rsidRPr="00A35FE6" w:rsidP="00A35FE6">
            <w:pPr>
              <w:pStyle w:val="ListBullet2"/>
            </w:pPr>
            <w:r w:rsidRPr="00A35FE6">
              <w:t xml:space="preserve">homeostasis and the relationship between cellular imbalance and pathology </w:t>
            </w:r>
          </w:p>
          <w:p w:rsidR="00000000" w:rsidRPr="00A35FE6" w:rsidP="00A35FE6">
            <w:pPr>
              <w:pStyle w:val="ListBullet"/>
            </w:pPr>
            <w:r w:rsidRPr="00A35FE6">
              <w:t>Advanced concepts underpinning pharmacology, pharmacokinetics and pharmacodynamics</w:t>
            </w:r>
          </w:p>
          <w:p w:rsidR="00000000" w:rsidRPr="00A35FE6" w:rsidP="00A35FE6">
            <w:pPr>
              <w:pStyle w:val="ListBullet"/>
            </w:pPr>
            <w:r w:rsidRPr="00A35FE6">
              <w:t>Comprehensive understanding of pathology to the structure, physiology and normal functioning of all body systems, in relation to potential impact of client assessment proced</w:t>
            </w:r>
            <w:r w:rsidRPr="00A35FE6">
              <w:t>ures practised including:</w:t>
            </w:r>
          </w:p>
          <w:p w:rsidR="00000000" w:rsidRPr="00A35FE6" w:rsidP="00A35FE6">
            <w:pPr>
              <w:pStyle w:val="ListBullet2"/>
            </w:pPr>
            <w:r w:rsidRPr="00A35FE6">
              <w:t>chemical composition</w:t>
            </w:r>
          </w:p>
          <w:p w:rsidR="00000000" w:rsidRPr="00A35FE6" w:rsidP="00A35FE6">
            <w:pPr>
              <w:pStyle w:val="ListBullet2"/>
            </w:pPr>
            <w:r w:rsidRPr="00A35FE6">
              <w:t>cells, tissues and organs</w:t>
            </w:r>
          </w:p>
          <w:p w:rsidR="00000000" w:rsidRPr="00A35FE6" w:rsidP="00A35FE6">
            <w:pPr>
              <w:pStyle w:val="ListBullet2"/>
            </w:pPr>
            <w:r w:rsidRPr="00A35FE6">
              <w:t>integumentary system</w:t>
            </w:r>
          </w:p>
          <w:p w:rsidR="00000000" w:rsidRPr="00A35FE6" w:rsidP="00A35FE6">
            <w:pPr>
              <w:pStyle w:val="ListBullet2"/>
            </w:pPr>
            <w:r w:rsidRPr="00A35FE6">
              <w:t>musculo-skeletal system</w:t>
            </w:r>
          </w:p>
          <w:p w:rsidR="00000000" w:rsidRPr="00A35FE6" w:rsidP="00A35FE6">
            <w:pPr>
              <w:pStyle w:val="ListBullet2"/>
            </w:pPr>
            <w:r w:rsidRPr="00A35FE6">
              <w:t>nervous system</w:t>
            </w:r>
          </w:p>
          <w:p w:rsidR="00000000" w:rsidRPr="00A35FE6" w:rsidP="00A35FE6">
            <w:pPr>
              <w:pStyle w:val="ListBullet2"/>
            </w:pPr>
            <w:r w:rsidRPr="00A35FE6">
              <w:t>the special and somatic senses</w:t>
            </w:r>
          </w:p>
          <w:p w:rsidR="00000000" w:rsidRPr="00A35FE6" w:rsidP="00A35FE6">
            <w:pPr>
              <w:pStyle w:val="ListBullet2"/>
            </w:pPr>
            <w:r w:rsidRPr="00A35FE6">
              <w:t>endocrine system</w:t>
            </w:r>
          </w:p>
          <w:p w:rsidR="00000000" w:rsidRPr="00A35FE6" w:rsidP="00A35FE6">
            <w:pPr>
              <w:pStyle w:val="ListBullet2"/>
            </w:pPr>
            <w:r w:rsidRPr="00A35FE6">
              <w:t>cardiovascular system</w:t>
            </w:r>
          </w:p>
          <w:p w:rsidR="00000000" w:rsidRPr="00A35FE6" w:rsidP="00A35FE6">
            <w:pPr>
              <w:pStyle w:val="ListBullet2"/>
            </w:pPr>
            <w:r w:rsidRPr="00A35FE6">
              <w:t>lymphatic system</w:t>
            </w:r>
          </w:p>
          <w:p w:rsidR="00000000" w:rsidRPr="00A35FE6" w:rsidP="00A35FE6">
            <w:pPr>
              <w:pStyle w:val="ListBullet2"/>
            </w:pPr>
            <w:r w:rsidRPr="00A35FE6">
              <w:t>immune system</w:t>
            </w:r>
          </w:p>
          <w:p w:rsidR="00000000" w:rsidRPr="00A35FE6" w:rsidP="00A35FE6">
            <w:pPr>
              <w:pStyle w:val="ListBullet2"/>
            </w:pPr>
            <w:r w:rsidRPr="00A35FE6">
              <w:t>respiratory system</w:t>
            </w:r>
          </w:p>
          <w:p w:rsidR="00000000" w:rsidRPr="00A35FE6" w:rsidP="00A35FE6">
            <w:pPr>
              <w:pStyle w:val="ListBullet2"/>
            </w:pPr>
            <w:r w:rsidRPr="00A35FE6">
              <w:t>digestive system</w:t>
            </w:r>
          </w:p>
          <w:p w:rsidR="00000000" w:rsidRPr="00A35FE6" w:rsidP="00A35FE6">
            <w:pPr>
              <w:pStyle w:val="ListBullet2"/>
            </w:pPr>
            <w:r w:rsidRPr="00A35FE6">
              <w:t>urinary system</w:t>
            </w:r>
          </w:p>
          <w:p w:rsidR="00000000" w:rsidRPr="00A35FE6" w:rsidP="00A35FE6">
            <w:pPr>
              <w:pStyle w:val="ListBullet2"/>
            </w:pPr>
            <w:r w:rsidRPr="00A35FE6">
              <w:t>reproductive system, pregnancy and human development</w:t>
            </w:r>
          </w:p>
          <w:p w:rsidR="00000000" w:rsidRPr="00A35FE6" w:rsidP="00A35FE6">
            <w:pPr>
              <w:pStyle w:val="ListBullet"/>
            </w:pPr>
            <w:r w:rsidRPr="00A35FE6">
              <w:t>Specialised knowledge of fluid, electrolyte and acid base balance</w:t>
            </w:r>
          </w:p>
          <w:p w:rsidR="00000000" w:rsidP="00A35FE6">
            <w:pPr>
              <w:pStyle w:val="ListBullet"/>
              <w:rPr>
                <w:lang w:val="en-NZ"/>
              </w:rPr>
            </w:pPr>
            <w:r w:rsidRPr="00A35FE6">
              <w:t>Specialised knowledge of pharmacological processes and drug actions, indications and contraindications</w:t>
            </w:r>
          </w:p>
        </w:tc>
      </w:tr>
      <w:tr w:rsidTr="009067A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rPr>
                <w:rStyle w:val="Emphasis"/>
              </w:rPr>
              <w:t>Essential skills</w:t>
            </w:r>
            <w:r w:rsidRPr="00A35FE6">
              <w:t>:</w:t>
            </w:r>
          </w:p>
          <w:p w:rsidR="00000000" w:rsidRPr="00A35FE6" w:rsidP="00A35FE6">
            <w:pPr>
              <w:pStyle w:val="BodyText"/>
            </w:pPr>
            <w:r w:rsidRPr="00A35FE6">
              <w:t>It is critical that the candidate demonstrate the ability to:</w:t>
            </w:r>
          </w:p>
          <w:p w:rsidR="00000000" w:rsidRPr="00A35FE6" w:rsidP="00A35FE6">
            <w:pPr>
              <w:pStyle w:val="ListBullet"/>
            </w:pPr>
            <w:r w:rsidRPr="00A35FE6">
              <w:t>Conduct a comprehensive advanced clinical assessment</w:t>
            </w:r>
          </w:p>
          <w:p w:rsidR="00000000" w:rsidRPr="00A35FE6" w:rsidP="00A35FE6">
            <w:pPr>
              <w:pStyle w:val="ListBullet"/>
            </w:pPr>
            <w:r w:rsidRPr="00A35FE6">
              <w:t>Describe in detail and articulate using appropriate and accurate terminology, the inter-relationships and associated patho</w:t>
            </w:r>
            <w:r w:rsidRPr="00A35FE6">
              <w:t>physiology of body systems, in relation to specific advanced client assessment procedures practised</w:t>
            </w:r>
          </w:p>
          <w:p w:rsidR="00000000" w:rsidRPr="00A35FE6" w:rsidP="00A35FE6">
            <w:pPr>
              <w:pStyle w:val="ListBullet"/>
            </w:pPr>
            <w:r w:rsidRPr="00A35FE6">
              <w:t>Explain the key factors necessary to re-establish healthy functioning body systems</w:t>
            </w:r>
          </w:p>
          <w:p w:rsidR="00000000" w:rsidRPr="00A35FE6" w:rsidP="00A35FE6">
            <w:pPr>
              <w:pStyle w:val="ListBullet"/>
            </w:pPr>
            <w:r w:rsidRPr="00A35FE6">
              <w:t>Identify variations from normal functioning and potential interactions be</w:t>
            </w:r>
            <w:r w:rsidRPr="00A35FE6">
              <w:t>tween body systems and other internal and external factors</w:t>
            </w:r>
          </w:p>
          <w:p w:rsidR="00000000" w:rsidRPr="00A35FE6" w:rsidP="00A35FE6">
            <w:pPr>
              <w:pStyle w:val="ListBullet"/>
            </w:pPr>
            <w:r w:rsidRPr="00A35FE6">
              <w:t>Seek assistance from an appropriate medical authority in relation to variations from normal functioning</w:t>
            </w:r>
          </w:p>
        </w:tc>
      </w:tr>
    </w:tbl>
    <w:p w:rsidR="009067A4" w:rsidP="00A35FE6">
      <w:pPr>
        <w:pStyle w:val="BodyText"/>
      </w:pPr>
    </w:p>
    <w:p w:rsidR="009067A4" w:rsidP="00A35FE6">
      <w:pPr>
        <w:pStyle w:val="BodyText"/>
      </w:pPr>
    </w:p>
    <w:p w:rsidR="00000000" w:rsidRPr="00A35FE6" w:rsidP="00A35FE6">
      <w:pPr>
        <w:pStyle w:val="Heading1"/>
      </w:pPr>
      <w:bookmarkStart w:id="10" w:name="O_243678"/>
      <w:bookmarkEnd w:id="10"/>
      <w:r w:rsidRPr="00A35FE6">
        <w:t>Evidence Guide</w:t>
      </w:r>
    </w:p>
    <w:tbl>
      <w:tblPr>
        <w:tblW w:w="0" w:type="auto"/>
        <w:tblLayout w:type="fixed"/>
        <w:tblCellMar>
          <w:left w:w="62" w:type="dxa"/>
          <w:right w:w="62" w:type="dxa"/>
        </w:tblCellMar>
        <w:tblLook w:val="0000"/>
      </w:tblPr>
      <w:tblGrid>
        <w:gridCol w:w="3402"/>
        <w:gridCol w:w="5670"/>
      </w:tblGrid>
      <w:tr w:rsidTr="009067A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SpecialBold"/>
              </w:rPr>
              <w:t>EVIDENCE GUIDE</w:t>
            </w:r>
          </w:p>
        </w:tc>
      </w:tr>
      <w:tr w:rsidTr="009067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t>The evidence guide provides advice on assessment and must be read in conjunction with the Performance Criteria, Required Skills and Knowledge, the Range Statement and the Assessment Guidelines for this Training Package.</w:t>
            </w:r>
          </w:p>
        </w:tc>
      </w:tr>
      <w:tr w:rsidTr="009067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Critical aspects for assessment</w:t>
            </w:r>
            <w:r w:rsidRPr="00A35FE6">
              <w:rPr>
                <w:rStyle w:val="Emphasis"/>
              </w:rPr>
              <w:t xml:space="preserve"> and evidence required to demonstrate this competency unit</w:t>
            </w:r>
            <w:r w:rsidRPr="00A35FE6">
              <w:t xml:space="preserve">: </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Assessment must establish acquisition of Essential Knowledge across the Range Statement outlined in this unit prior to assessment of skills application</w:t>
            </w:r>
          </w:p>
          <w:p w:rsidR="00000000" w:rsidRPr="00A35FE6" w:rsidP="00A35FE6">
            <w:pPr>
              <w:pStyle w:val="ListBullet"/>
            </w:pPr>
            <w:r w:rsidRPr="00A35FE6">
              <w:t>Skills involving advanced client care are to be assessed initially in a simulated clinical setting (practical session, laboratory)</w:t>
            </w:r>
          </w:p>
          <w:p w:rsidR="00000000" w:rsidRPr="00A35FE6" w:rsidP="00A35FE6">
            <w:pPr>
              <w:pStyle w:val="ListBullet"/>
            </w:pPr>
            <w:r w:rsidRPr="00A35FE6">
              <w:t xml:space="preserve">As a minimum, initial assessment must include appropriate written/oral/practical examinations to address Essential Knowledge </w:t>
            </w:r>
            <w:r w:rsidRPr="00A35FE6">
              <w:t>and Skills as outlined in this unit</w:t>
            </w:r>
          </w:p>
          <w:p w:rsidR="00000000" w:rsidRPr="00A35FE6" w:rsidP="00A35FE6">
            <w:pPr>
              <w:pStyle w:val="ListBullet"/>
            </w:pPr>
            <w:r w:rsidRPr="00A35FE6">
              <w:t>After successful completion of initial assessment, further assessment is to be conducted during workplace application under direct supervision</w:t>
            </w:r>
          </w:p>
          <w:p w:rsidR="00000000" w:rsidRPr="00A35FE6" w:rsidP="00A35FE6">
            <w:pPr>
              <w:pStyle w:val="ListBullet"/>
            </w:pPr>
            <w:r w:rsidRPr="00A35FE6">
              <w:t>The application of skills and knowledge described in this competency unit sho</w:t>
            </w:r>
            <w:r w:rsidRPr="00A35FE6">
              <w:t xml:space="preserve">uld be assessed in conjunction with competency unit(s) related to specific ambulance care services, including </w:t>
            </w:r>
            <w:r w:rsidRPr="00A35FE6">
              <w:rPr>
                <w:rStyle w:val="Emphasis"/>
              </w:rPr>
              <w:t>HLTAMB603A Deliver advanced clinical care</w:t>
            </w:r>
          </w:p>
          <w:p w:rsidR="00000000" w:rsidRPr="00A35FE6" w:rsidP="00A35FE6">
            <w:pPr>
              <w:pStyle w:val="ListBullet"/>
            </w:pPr>
            <w:r w:rsidRPr="00A35FE6">
              <w:t>Candidates must demonstrate their ability to apply essential knowledge and skills identified for this co</w:t>
            </w:r>
            <w:r w:rsidRPr="00A35FE6">
              <w:t>mpetency unit before undertaking independent workplace application</w:t>
            </w:r>
          </w:p>
          <w:p w:rsidR="00000000" w:rsidP="00A35FE6">
            <w:pPr>
              <w:pStyle w:val="ListBullet"/>
              <w:rPr>
                <w:lang w:val="en-NZ"/>
              </w:rPr>
            </w:pPr>
            <w:r w:rsidRPr="00A35FE6">
              <w:t>Candidates must provide evidence of their ability to apply all clinical competencies consistently (over a minimum period of 4 months) as part of supervised clinical practice</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 xml:space="preserve">Access and </w:t>
            </w:r>
            <w:r w:rsidRPr="00A35FE6">
              <w:rPr>
                <w:rStyle w:val="Emphasis"/>
              </w:rPr>
              <w:t>equity considerations</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All workers in the health industry should be aware of access and equity issues in relation to their own area of work</w:t>
            </w:r>
          </w:p>
          <w:p w:rsidR="00000000" w:rsidRPr="00A35FE6" w:rsidP="00A35FE6">
            <w:pPr>
              <w:pStyle w:val="ListBullet"/>
            </w:pPr>
            <w:r w:rsidRPr="00A35FE6">
              <w:t xml:space="preserve">All workers should develop their ability to work in a culturally diverse environment </w:t>
            </w:r>
          </w:p>
          <w:p w:rsidR="00000000" w:rsidRPr="00A35FE6" w:rsidP="00A35FE6">
            <w:pPr>
              <w:pStyle w:val="ListBullet"/>
            </w:pPr>
            <w:r w:rsidRPr="00A35FE6">
              <w:t xml:space="preserve">In recognition of particular </w:t>
            </w:r>
            <w:r w:rsidRPr="00A35FE6">
              <w:t>health issues facing Aboriginal and Torres Strait Islander communities, workers should be aware of cultural, historical and current issues impacting on health of Aboriginal and Torres Strait Islander people</w:t>
            </w:r>
          </w:p>
          <w:p w:rsidR="00000000" w:rsidP="00A35FE6">
            <w:pPr>
              <w:pStyle w:val="ListBullet"/>
              <w:rPr>
                <w:lang w:val="en-NZ"/>
              </w:rPr>
            </w:pPr>
            <w:r w:rsidRPr="00A35FE6">
              <w:t>Assessors and trainers must take into account rel</w:t>
            </w:r>
            <w:r w:rsidRPr="00A35FE6">
              <w:t>evant access and equity issues, in particular relating to factors impacting on health of Aboriginal and/or Torres Strait Islander clients and communities</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Related units</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BodyText"/>
            </w:pPr>
            <w:r w:rsidRPr="00A35FE6">
              <w:t>This unit should be assessed in conjunction with:</w:t>
            </w:r>
          </w:p>
          <w:p w:rsidR="00000000" w:rsidP="00A35FE6">
            <w:pPr>
              <w:pStyle w:val="ListBullet"/>
              <w:rPr>
                <w:lang w:val="en-NZ"/>
              </w:rPr>
            </w:pPr>
            <w:r w:rsidRPr="00A35FE6">
              <w:t>HLTAMBCR603B Deliver intensive clinical care</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BodyText"/>
            </w:pPr>
          </w:p>
        </w:tc>
      </w:tr>
    </w:tbl>
    <w:p w:rsidR="009067A4" w:rsidP="00A35FE6">
      <w:pPr>
        <w:pStyle w:val="BodyText"/>
      </w:pPr>
    </w:p>
    <w:p w:rsidR="009067A4" w:rsidP="00A35FE6">
      <w:pPr>
        <w:pStyle w:val="BodyText"/>
      </w:pPr>
    </w:p>
    <w:p w:rsidR="00000000" w:rsidRPr="00A35FE6" w:rsidP="00A35FE6">
      <w:pPr>
        <w:pStyle w:val="Heading1"/>
      </w:pPr>
      <w:bookmarkStart w:id="11" w:name="O_251661"/>
      <w:bookmarkEnd w:id="11"/>
      <w:r w:rsidRPr="00A35FE6">
        <w:t>Range Statement</w:t>
      </w:r>
    </w:p>
    <w:tbl>
      <w:tblPr>
        <w:tblW w:w="0" w:type="auto"/>
        <w:tblLayout w:type="fixed"/>
        <w:tblCellMar>
          <w:left w:w="62" w:type="dxa"/>
          <w:right w:w="62" w:type="dxa"/>
        </w:tblCellMar>
        <w:tblLook w:val="0000"/>
      </w:tblPr>
      <w:tblGrid>
        <w:gridCol w:w="3402"/>
        <w:gridCol w:w="5670"/>
      </w:tblGrid>
      <w:tr w:rsidTr="009067A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SpecialBold"/>
              </w:rPr>
              <w:t>RANGE STATEMENT</w:t>
            </w:r>
          </w:p>
        </w:tc>
      </w:tr>
      <w:tr w:rsidTr="009067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t xml:space="preserve">The Range Statement relates to the unit of competency as a whole. It allows for different work environments and situations that may affect </w:t>
            </w:r>
            <w:r w:rsidRPr="00A35FE6">
              <w:t>performance. Add any essential operating conditions that may be present with training and assessment depending on the work situation, needs of the candidate, accessibility of the item, and local industry and regional contexts.</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Pathophysiological concepts include</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 xml:space="preserve">Cellular injury and change: </w:t>
            </w:r>
          </w:p>
          <w:p w:rsidR="00000000" w:rsidRPr="00A35FE6" w:rsidP="00A35FE6">
            <w:pPr>
              <w:pStyle w:val="ListBullet2"/>
            </w:pPr>
            <w:r w:rsidRPr="00A35FE6">
              <w:t>physical, chemical, and infectious agents</w:t>
            </w:r>
          </w:p>
          <w:p w:rsidR="00000000" w:rsidRPr="00A35FE6" w:rsidP="00A35FE6">
            <w:pPr>
              <w:pStyle w:val="ListBullet2"/>
            </w:pPr>
            <w:r w:rsidRPr="00A35FE6">
              <w:t>inflammatory process</w:t>
            </w:r>
          </w:p>
          <w:p w:rsidR="00000000" w:rsidRPr="00A35FE6" w:rsidP="00A35FE6">
            <w:pPr>
              <w:pStyle w:val="ListBullet2"/>
            </w:pPr>
            <w:r w:rsidRPr="00A35FE6">
              <w:t>hypertrophy, hyperplasia, atrophy, necrosis, and gangrene</w:t>
            </w:r>
          </w:p>
          <w:p w:rsidR="00000000" w:rsidRPr="00A35FE6" w:rsidP="00A35FE6">
            <w:pPr>
              <w:pStyle w:val="ListBullet2"/>
            </w:pPr>
            <w:r w:rsidRPr="00A35FE6">
              <w:t>tumour, neoplasm, benign, malignant, metastasis, and anaplasia</w:t>
            </w:r>
          </w:p>
          <w:p w:rsidR="00000000" w:rsidRPr="00A35FE6" w:rsidP="00A35FE6">
            <w:pPr>
              <w:pStyle w:val="ListBullet"/>
            </w:pPr>
            <w:r w:rsidRPr="00A35FE6">
              <w:t>Immunology:</w:t>
            </w:r>
          </w:p>
          <w:p w:rsidR="00000000" w:rsidRPr="00A35FE6" w:rsidP="00A35FE6">
            <w:pPr>
              <w:pStyle w:val="ListBullet2"/>
            </w:pPr>
            <w:r w:rsidRPr="00A35FE6">
              <w:t>immune response and immunoglobulins, including:</w:t>
            </w:r>
          </w:p>
          <w:p w:rsidR="00000000" w:rsidRPr="00A35FE6" w:rsidP="00A35FE6">
            <w:pPr>
              <w:pStyle w:val="ListBullet3"/>
            </w:pPr>
            <w:r w:rsidRPr="00A35FE6">
              <w:t>hypersensitivity</w:t>
            </w:r>
          </w:p>
          <w:p w:rsidR="00000000" w:rsidRPr="00A35FE6" w:rsidP="00A35FE6">
            <w:pPr>
              <w:pStyle w:val="ListBullet3"/>
            </w:pPr>
            <w:r w:rsidRPr="00A35FE6">
              <w:t>anaphylaxis</w:t>
            </w:r>
          </w:p>
          <w:p w:rsidR="00000000" w:rsidRPr="00A35FE6" w:rsidP="00A35FE6">
            <w:pPr>
              <w:pStyle w:val="ListBullet3"/>
            </w:pPr>
            <w:r w:rsidRPr="00A35FE6">
              <w:t>tissue rejection</w:t>
            </w:r>
          </w:p>
          <w:p w:rsidR="00000000" w:rsidRPr="00A35FE6" w:rsidP="00A35FE6">
            <w:pPr>
              <w:pStyle w:val="ListBullet3"/>
            </w:pPr>
            <w:r w:rsidRPr="00A35FE6">
              <w:t>blood mismatch</w:t>
            </w:r>
          </w:p>
          <w:p w:rsidR="00000000" w:rsidRPr="00A35FE6" w:rsidP="00A35FE6">
            <w:pPr>
              <w:pStyle w:val="ListBullet3"/>
            </w:pPr>
            <w:r w:rsidRPr="00A35FE6">
              <w:t>Acquired Immune Deficiency Syndrome</w:t>
            </w:r>
          </w:p>
          <w:p w:rsidR="00000000" w:rsidRPr="00A35FE6" w:rsidP="00A35FE6">
            <w:pPr>
              <w:pStyle w:val="ListBullet3"/>
            </w:pPr>
            <w:r w:rsidRPr="00A35FE6">
              <w:t>Hepatitis B</w:t>
            </w:r>
          </w:p>
          <w:p w:rsidR="00000000" w:rsidRPr="00A35FE6" w:rsidP="00A35FE6">
            <w:pPr>
              <w:pStyle w:val="ListBullet3"/>
            </w:pPr>
            <w:r w:rsidRPr="00A35FE6">
              <w:t>oncogenes</w:t>
            </w:r>
          </w:p>
          <w:p w:rsidR="00000000" w:rsidRPr="00A35FE6" w:rsidP="00A35FE6">
            <w:pPr>
              <w:pStyle w:val="ListBullet2"/>
            </w:pPr>
            <w:r w:rsidRPr="00A35FE6">
              <w:t>auto-immunity</w:t>
            </w:r>
          </w:p>
          <w:p w:rsidR="00000000" w:rsidP="00A35FE6">
            <w:pPr>
              <w:pStyle w:val="ListBullet2"/>
              <w:rPr>
                <w:lang w:val="en-NZ"/>
              </w:rPr>
            </w:pPr>
            <w:r w:rsidRPr="00A35FE6">
              <w:t>malignant disease</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Fluid and electrolyte imbalance</w:t>
            </w:r>
            <w:r w:rsidRPr="00A35FE6">
              <w:rPr>
                <w:rStyle w:val="Emphasis"/>
              </w:rPr>
              <w:t xml:space="preserve"> includes</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'Electrolyte', 'non electrolyte', 'solvent' and 'solute'</w:t>
            </w:r>
          </w:p>
          <w:p w:rsidR="00000000" w:rsidRPr="00A35FE6" w:rsidP="00A35FE6">
            <w:pPr>
              <w:pStyle w:val="ListBullet"/>
            </w:pPr>
            <w:r w:rsidRPr="00A35FE6">
              <w:t>Role of electrolytes</w:t>
            </w:r>
          </w:p>
          <w:p w:rsidR="00000000" w:rsidRPr="00A35FE6" w:rsidP="00A35FE6">
            <w:pPr>
              <w:pStyle w:val="ListBullet"/>
            </w:pPr>
            <w:r w:rsidRPr="00A35FE6">
              <w:t>Potential problems of electrolyte imbalance:</w:t>
            </w:r>
          </w:p>
          <w:p w:rsidR="00000000" w:rsidRPr="00A35FE6" w:rsidP="00A35FE6">
            <w:pPr>
              <w:pStyle w:val="ListBullet2"/>
            </w:pPr>
            <w:r w:rsidRPr="00A35FE6">
              <w:t>sodium, potassium, calcium, phosphate, magnesium and chloride</w:t>
            </w:r>
          </w:p>
          <w:p w:rsidR="00000000" w:rsidRPr="00A35FE6" w:rsidP="00A35FE6">
            <w:pPr>
              <w:pStyle w:val="ListBullet"/>
            </w:pPr>
            <w:r w:rsidRPr="00A35FE6">
              <w:t>Mechanisms of fluid movement through the body:</w:t>
            </w:r>
          </w:p>
          <w:p w:rsidR="00000000" w:rsidRPr="00A35FE6" w:rsidP="00A35FE6">
            <w:pPr>
              <w:pStyle w:val="ListBullet2"/>
            </w:pPr>
            <w:r w:rsidRPr="00A35FE6">
              <w:t>Tonicity</w:t>
            </w:r>
          </w:p>
          <w:p w:rsidR="00000000" w:rsidRPr="00A35FE6" w:rsidP="00A35FE6">
            <w:pPr>
              <w:pStyle w:val="ListBullet2"/>
            </w:pPr>
            <w:r w:rsidRPr="00A35FE6">
              <w:t>diffusion, active transport, osmosis, hydrostatic pressure, facilitated diffusion, and filtration</w:t>
            </w:r>
          </w:p>
          <w:p w:rsidR="00000000" w:rsidRPr="00A35FE6" w:rsidP="00A35FE6">
            <w:pPr>
              <w:pStyle w:val="ListBullet"/>
            </w:pPr>
            <w:r w:rsidRPr="00A35FE6">
              <w:t>Maintenance of normal fluid volume:</w:t>
            </w:r>
          </w:p>
          <w:p w:rsidR="00000000" w:rsidRPr="00A35FE6" w:rsidP="00A35FE6">
            <w:pPr>
              <w:pStyle w:val="ListBullet2"/>
            </w:pPr>
            <w:r w:rsidRPr="00A35FE6">
              <w:t>antidiuretic hormone, sodium, negative feedback, sex hormones and thirst</w:t>
            </w:r>
          </w:p>
          <w:p w:rsidR="00000000" w:rsidRPr="00A35FE6" w:rsidP="00A35FE6">
            <w:pPr>
              <w:pStyle w:val="ListBullet"/>
            </w:pPr>
            <w:r w:rsidRPr="00A35FE6">
              <w:t>Oedema</w:t>
            </w:r>
          </w:p>
          <w:p w:rsidR="00000000" w:rsidRPr="00A35FE6" w:rsidP="00A35FE6">
            <w:pPr>
              <w:pStyle w:val="ListBullet"/>
            </w:pPr>
            <w:r w:rsidRPr="00A35FE6">
              <w:t>States of fluid imbalance:</w:t>
            </w:r>
          </w:p>
          <w:p w:rsidR="00000000" w:rsidRPr="00A35FE6" w:rsidP="00A35FE6">
            <w:pPr>
              <w:pStyle w:val="ListBullet2"/>
            </w:pPr>
            <w:r w:rsidRPr="00A35FE6">
              <w:t>normovolaem</w:t>
            </w:r>
            <w:r w:rsidRPr="00A35FE6">
              <w:t>ia', 'hypovolaemia' and 'hypervolaemia'</w:t>
            </w:r>
          </w:p>
          <w:p w:rsidR="00000000" w:rsidP="00A35FE6">
            <w:pPr>
              <w:pStyle w:val="ListBullet2"/>
              <w:rPr>
                <w:lang w:val="en-NZ"/>
              </w:rPr>
            </w:pPr>
            <w:r w:rsidRPr="00A35FE6">
              <w:t>burns, sweating, 3rd space shift, diarrhoea and vomiting</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Acid base imbalance includes</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pH, acidosis, alkalosis, physiological acidosis</w:t>
            </w:r>
          </w:p>
          <w:p w:rsidR="00000000" w:rsidRPr="00A35FE6" w:rsidP="00A35FE6">
            <w:pPr>
              <w:pStyle w:val="ListBullet"/>
            </w:pPr>
            <w:r w:rsidRPr="00A35FE6">
              <w:t>Physiological effects of acidosis and alkalosis</w:t>
            </w:r>
          </w:p>
          <w:p w:rsidR="00000000" w:rsidRPr="00A35FE6" w:rsidP="00A35FE6">
            <w:pPr>
              <w:pStyle w:val="ListBullet"/>
            </w:pPr>
            <w:r w:rsidRPr="00A35FE6">
              <w:t>Buffer systems and compensation</w:t>
            </w:r>
          </w:p>
          <w:p w:rsidR="00000000" w:rsidRPr="00A35FE6" w:rsidP="00A35FE6">
            <w:pPr>
              <w:pStyle w:val="ListBullet"/>
            </w:pPr>
            <w:r w:rsidRPr="00A35FE6">
              <w:t xml:space="preserve">pH imbalances: </w:t>
            </w:r>
          </w:p>
          <w:p w:rsidR="00000000" w:rsidRPr="00A35FE6" w:rsidP="00A35FE6">
            <w:pPr>
              <w:pStyle w:val="ListBullet2"/>
            </w:pPr>
            <w:r w:rsidRPr="00A35FE6">
              <w:t>Respiratory acidosis</w:t>
            </w:r>
          </w:p>
          <w:p w:rsidR="00000000" w:rsidRPr="00A35FE6" w:rsidP="00A35FE6">
            <w:pPr>
              <w:pStyle w:val="ListBullet2"/>
            </w:pPr>
            <w:r w:rsidRPr="00A35FE6">
              <w:t>respiratory alkalosis</w:t>
            </w:r>
          </w:p>
          <w:p w:rsidR="00000000" w:rsidRPr="00A35FE6" w:rsidP="00A35FE6">
            <w:pPr>
              <w:pStyle w:val="ListBullet2"/>
            </w:pPr>
            <w:r w:rsidRPr="00A35FE6">
              <w:t>metabolic acidosis</w:t>
            </w:r>
          </w:p>
          <w:p w:rsidR="00000000" w:rsidP="00A35FE6">
            <w:pPr>
              <w:pStyle w:val="ListBullet2"/>
              <w:rPr>
                <w:lang w:val="en-NZ"/>
              </w:rPr>
            </w:pPr>
            <w:r w:rsidRPr="00A35FE6">
              <w:t>metabolic alkalosis</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Advanced assessment includes</w:t>
            </w:r>
            <w:r w:rsidRPr="00A35FE6">
              <w:t>:</w:t>
            </w: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t>Capture, interpret and record comprehensive information regarding a client's health status to support advanced clinical care.</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Standard methods and protocols may include</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Clinical practice guidelines</w:t>
            </w:r>
          </w:p>
          <w:p w:rsidR="00000000" w:rsidRPr="00A35FE6" w:rsidP="00A35FE6">
            <w:pPr>
              <w:pStyle w:val="ListBullet"/>
            </w:pPr>
            <w:r w:rsidRPr="00A35FE6">
              <w:t>Organisation protocols</w:t>
            </w:r>
          </w:p>
          <w:p w:rsidR="00000000" w:rsidRPr="00A35FE6" w:rsidP="00A35FE6">
            <w:pPr>
              <w:pStyle w:val="ListBullet"/>
            </w:pPr>
            <w:r w:rsidRPr="00A35FE6">
              <w:t>Skills manuals</w:t>
            </w:r>
          </w:p>
          <w:p w:rsidR="00000000" w:rsidRPr="00A35FE6" w:rsidP="00A35FE6">
            <w:pPr>
              <w:pStyle w:val="ListBullet"/>
            </w:pPr>
            <w:r w:rsidRPr="00A35FE6">
              <w:t>State/territory ambulance authority regulations and/or operational procedures</w:t>
            </w:r>
          </w:p>
          <w:p w:rsidR="00000000" w:rsidP="00A35FE6">
            <w:pPr>
              <w:pStyle w:val="ListBullet"/>
              <w:rPr>
                <w:lang w:val="en-NZ"/>
              </w:rPr>
            </w:pPr>
            <w:r w:rsidRPr="00A35FE6">
              <w:t>Internationally recognised scales, charts, guidelines and surveys (e.g. Glasgow coma scale, dermatome charts, blood pressure reading scales, National Asthma Guidelines)</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Pharm</w:t>
            </w:r>
            <w:r w:rsidRPr="00A35FE6">
              <w:rPr>
                <w:rStyle w:val="Emphasis"/>
              </w:rPr>
              <w:t>acodynamics includes but is not limited to</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Drug interactions</w:t>
            </w:r>
          </w:p>
          <w:p w:rsidR="00000000" w:rsidRPr="00A35FE6" w:rsidP="00A35FE6">
            <w:pPr>
              <w:pStyle w:val="ListBullet"/>
            </w:pPr>
            <w:r w:rsidRPr="00A35FE6">
              <w:t>Pharmacological response of drugs associated with the state/territory ambulance service protocols/ guidelines</w:t>
            </w:r>
          </w:p>
          <w:p w:rsidR="00000000" w:rsidP="00A35FE6">
            <w:pPr>
              <w:pStyle w:val="ListBullet"/>
              <w:rPr>
                <w:lang w:val="en-NZ"/>
              </w:rPr>
            </w:pPr>
            <w:r w:rsidRPr="00A35FE6">
              <w:t>Duration and magnitude of response associated with the state/territory ambulance se</w:t>
            </w:r>
            <w:r w:rsidRPr="00A35FE6">
              <w:t>rvice protocols/ guidelines</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Critical questioning refers to</w:t>
            </w:r>
            <w:r w:rsidRPr="00A35FE6">
              <w:t>:</w:t>
            </w:r>
          </w:p>
        </w:tc>
        <w:tc>
          <w:tcPr>
            <w:tcW w:w="5670" w:type="dxa"/>
            <w:tcBorders>
              <w:top w:val="nil"/>
              <w:left w:val="nil"/>
              <w:bottom w:val="nil"/>
              <w:right w:val="nil"/>
            </w:tcBorders>
            <w:tcMar>
              <w:top w:w="0" w:type="dxa"/>
              <w:left w:w="62" w:type="dxa"/>
              <w:bottom w:w="0" w:type="dxa"/>
              <w:right w:w="62" w:type="dxa"/>
            </w:tcMar>
          </w:tcPr>
          <w:p w:rsidR="00000000" w:rsidP="00A35FE6">
            <w:pPr>
              <w:pStyle w:val="ListBullet"/>
              <w:rPr>
                <w:lang w:val="en-NZ"/>
              </w:rPr>
            </w:pPr>
            <w:r w:rsidRPr="00A35FE6">
              <w:t>Purposeful, informed open questioning in the clinical setting to make sense of the information presented at the scene of injury or illness</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Diagnostic reasoning refers to</w:t>
            </w:r>
            <w:r w:rsidRPr="00A35FE6">
              <w:t>:</w:t>
            </w:r>
          </w:p>
        </w:tc>
        <w:tc>
          <w:tcPr>
            <w:tcW w:w="5670" w:type="dxa"/>
            <w:tcBorders>
              <w:top w:val="nil"/>
              <w:left w:val="nil"/>
              <w:bottom w:val="nil"/>
              <w:right w:val="nil"/>
            </w:tcBorders>
            <w:tcMar>
              <w:top w:w="0" w:type="dxa"/>
              <w:left w:w="62" w:type="dxa"/>
              <w:bottom w:w="0" w:type="dxa"/>
              <w:right w:w="62" w:type="dxa"/>
            </w:tcMar>
          </w:tcPr>
          <w:p w:rsidR="00000000" w:rsidP="00A35FE6">
            <w:pPr>
              <w:pStyle w:val="ListBullet"/>
              <w:rPr>
                <w:lang w:val="en-NZ"/>
              </w:rPr>
            </w:pPr>
            <w:r w:rsidRPr="00A35FE6">
              <w:t>Using critical questioning and interpretation in the clinical setting which requires careful identification of key problems, issues, and the risks involved in responding to client needs</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Poor states of perfusion involves</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Shock:</w:t>
            </w:r>
          </w:p>
          <w:p w:rsidR="00000000" w:rsidRPr="00A35FE6" w:rsidP="00A35FE6">
            <w:pPr>
              <w:pStyle w:val="ListBullet2"/>
            </w:pPr>
            <w:r w:rsidRPr="00A35FE6">
              <w:t>pathophysiology of shock</w:t>
            </w:r>
          </w:p>
          <w:p w:rsidR="00000000" w:rsidRPr="00A35FE6" w:rsidP="00A35FE6">
            <w:pPr>
              <w:pStyle w:val="ListBullet2"/>
            </w:pPr>
            <w:r w:rsidRPr="00A35FE6">
              <w:t>aerobic to anaerobic metabolism</w:t>
            </w:r>
          </w:p>
          <w:p w:rsidR="00000000" w:rsidRPr="00A35FE6" w:rsidP="00A35FE6">
            <w:pPr>
              <w:pStyle w:val="ListBullet2"/>
            </w:pPr>
            <w:r w:rsidRPr="00A35FE6">
              <w:t xml:space="preserve">classifications of shock </w:t>
            </w:r>
          </w:p>
          <w:p w:rsidR="00000000" w:rsidP="00A35FE6">
            <w:pPr>
              <w:pStyle w:val="ListBullet2"/>
              <w:rPr>
                <w:lang w:val="en-NZ"/>
              </w:rPr>
            </w:pPr>
            <w:r w:rsidRPr="00A35FE6">
              <w:t>stages of shock</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Specific client conditions</w:t>
            </w:r>
            <w:r w:rsidRPr="00A35FE6">
              <w:t xml:space="preserve">, </w:t>
            </w:r>
            <w:r w:rsidRPr="00A35FE6">
              <w:rPr>
                <w:rStyle w:val="Emphasis"/>
              </w:rPr>
              <w:t>disorders and injuries to be assessed must include but are not limited to</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Burns:</w:t>
            </w:r>
          </w:p>
          <w:p w:rsidR="00000000" w:rsidRPr="00A35FE6" w:rsidP="00A35FE6">
            <w:pPr>
              <w:pStyle w:val="ListBullet2"/>
            </w:pPr>
            <w:r w:rsidRPr="00A35FE6">
              <w:t>burn classification</w:t>
            </w:r>
          </w:p>
          <w:p w:rsidR="00000000" w:rsidRPr="00A35FE6" w:rsidP="00A35FE6">
            <w:pPr>
              <w:pStyle w:val="ListBullet2"/>
            </w:pPr>
            <w:r w:rsidRPr="00A35FE6">
              <w:t>assessing burn area</w:t>
            </w:r>
          </w:p>
          <w:p w:rsidR="00000000" w:rsidRPr="00A35FE6" w:rsidP="00A35FE6">
            <w:pPr>
              <w:pStyle w:val="ListBullet2"/>
            </w:pPr>
            <w:r w:rsidRPr="00A35FE6">
              <w:t>potential systemic complications</w:t>
            </w:r>
          </w:p>
          <w:p w:rsidR="00000000" w:rsidRPr="00A35FE6" w:rsidP="00A35FE6">
            <w:pPr>
              <w:pStyle w:val="ListBullet2"/>
            </w:pPr>
            <w:r w:rsidRPr="00A35FE6">
              <w:t>assessment of time criticality</w:t>
            </w:r>
          </w:p>
          <w:p w:rsidR="00000000" w:rsidRPr="00A35FE6" w:rsidP="00A35FE6">
            <w:pPr>
              <w:pStyle w:val="ListBullet2"/>
            </w:pPr>
            <w:r w:rsidRPr="00A35FE6">
              <w:t>burns of different aetiology</w:t>
            </w:r>
          </w:p>
          <w:p w:rsidR="00000000" w:rsidRPr="00A35FE6" w:rsidP="00A35FE6">
            <w:pPr>
              <w:pStyle w:val="ListBullet"/>
            </w:pPr>
            <w:r w:rsidRPr="00A35FE6">
              <w:t>Head injuries:</w:t>
            </w:r>
          </w:p>
          <w:p w:rsidR="00000000" w:rsidRPr="00A35FE6" w:rsidP="00A35FE6">
            <w:pPr>
              <w:pStyle w:val="ListBullet2"/>
            </w:pPr>
            <w:r w:rsidRPr="00A35FE6">
              <w:t>types and causes of head injuries</w:t>
            </w:r>
          </w:p>
          <w:p w:rsidR="00000000" w:rsidRPr="00A35FE6" w:rsidP="00A35FE6">
            <w:pPr>
              <w:pStyle w:val="ListBullet2"/>
            </w:pPr>
            <w:r w:rsidRPr="00A35FE6">
              <w:t>primary and secondary injury</w:t>
            </w:r>
          </w:p>
          <w:p w:rsidR="00000000" w:rsidRPr="00A35FE6" w:rsidP="00A35FE6">
            <w:pPr>
              <w:pStyle w:val="ListBullet2"/>
            </w:pPr>
            <w:r w:rsidRPr="00A35FE6">
              <w:t>aetiology of head injuries including Monroe-Kellie doctrine</w:t>
            </w:r>
          </w:p>
          <w:p w:rsidR="00000000" w:rsidRPr="00A35FE6" w:rsidP="00A35FE6">
            <w:pPr>
              <w:pStyle w:val="ListBullet2"/>
            </w:pPr>
            <w:r w:rsidRPr="00A35FE6">
              <w:t xml:space="preserve">cerebral perfusion and </w:t>
            </w:r>
            <w:r w:rsidRPr="00A35FE6">
              <w:t>blood flow</w:t>
            </w:r>
          </w:p>
          <w:p w:rsidR="00000000" w:rsidRPr="00A35FE6" w:rsidP="00A35FE6">
            <w:pPr>
              <w:pStyle w:val="ListBullet2"/>
            </w:pPr>
            <w:r w:rsidRPr="00A35FE6">
              <w:t>assessment of a client with a head injury</w:t>
            </w:r>
          </w:p>
          <w:p w:rsidR="00000000" w:rsidRPr="00A35FE6" w:rsidP="00A35FE6">
            <w:pPr>
              <w:pStyle w:val="ListBullet"/>
            </w:pPr>
            <w:r w:rsidRPr="00A35FE6">
              <w:t>Maxillofacial trauma:</w:t>
            </w:r>
          </w:p>
          <w:p w:rsidR="00000000" w:rsidRPr="00A35FE6" w:rsidP="00A35FE6">
            <w:pPr>
              <w:pStyle w:val="ListBullet2"/>
            </w:pPr>
            <w:r w:rsidRPr="00A35FE6">
              <w:t>levels of mortality and morbidity</w:t>
            </w:r>
          </w:p>
          <w:p w:rsidR="00000000" w:rsidRPr="00A35FE6" w:rsidP="00A35FE6">
            <w:pPr>
              <w:pStyle w:val="ListBullet2"/>
            </w:pPr>
            <w:r w:rsidRPr="00A35FE6">
              <w:t>specialised knowledge of associated structures</w:t>
            </w:r>
          </w:p>
          <w:p w:rsidR="00000000" w:rsidRPr="00A35FE6" w:rsidP="00A35FE6">
            <w:pPr>
              <w:pStyle w:val="ListBullet"/>
            </w:pPr>
            <w:r w:rsidRPr="00A35FE6">
              <w:t>Thoracic, abdominal and pelvic trauma:</w:t>
            </w:r>
          </w:p>
          <w:p w:rsidR="00000000" w:rsidRPr="00A35FE6" w:rsidP="00A35FE6">
            <w:pPr>
              <w:pStyle w:val="ListBullet2"/>
            </w:pPr>
            <w:r w:rsidRPr="00A35FE6">
              <w:t>detailed knowledge of internal and external thoracic, abdominal and pelvic structures</w:t>
            </w:r>
          </w:p>
          <w:p w:rsidR="00000000" w:rsidRPr="00A35FE6" w:rsidP="00A35FE6">
            <w:pPr>
              <w:pStyle w:val="ListBullet2"/>
            </w:pPr>
            <w:r w:rsidRPr="00A35FE6">
              <w:t>detailed assessment of blunt vs penetrating trauma</w:t>
            </w:r>
          </w:p>
          <w:p w:rsidR="00000000" w:rsidRPr="00A35FE6" w:rsidP="00A35FE6">
            <w:pPr>
              <w:pStyle w:val="ListBullet"/>
            </w:pPr>
            <w:r w:rsidRPr="00A35FE6">
              <w:t>Environmental:</w:t>
            </w:r>
          </w:p>
          <w:p w:rsidR="00000000" w:rsidRPr="00A35FE6" w:rsidP="00A35FE6">
            <w:pPr>
              <w:pStyle w:val="ListBullet2"/>
            </w:pPr>
            <w:r w:rsidRPr="00A35FE6">
              <w:t>cold and heat disorders</w:t>
            </w:r>
          </w:p>
          <w:p w:rsidR="00000000" w:rsidRPr="00A35FE6" w:rsidP="00A35FE6">
            <w:pPr>
              <w:pStyle w:val="ListBullet2"/>
            </w:pPr>
            <w:r w:rsidRPr="00A35FE6">
              <w:t xml:space="preserve">pressure disorders e.g. barotrauma </w:t>
            </w:r>
          </w:p>
          <w:p w:rsidR="00000000" w:rsidRPr="00A35FE6" w:rsidP="00A35FE6">
            <w:pPr>
              <w:pStyle w:val="ListBullet2"/>
            </w:pPr>
            <w:r w:rsidRPr="00A35FE6">
              <w:t>drowning and near drowning</w:t>
            </w:r>
          </w:p>
          <w:p w:rsidR="00000000" w:rsidRPr="00A35FE6" w:rsidP="00A35FE6">
            <w:pPr>
              <w:pStyle w:val="ListBullet2"/>
            </w:pPr>
            <w:r w:rsidRPr="00A35FE6">
              <w:t>lightning injur</w:t>
            </w:r>
            <w:r w:rsidRPr="00A35FE6">
              <w:t>ies</w:t>
            </w:r>
          </w:p>
          <w:p w:rsidR="00000000" w:rsidRPr="00A35FE6" w:rsidP="00A35FE6">
            <w:pPr>
              <w:pStyle w:val="ListBullet"/>
            </w:pPr>
            <w:r w:rsidRPr="00A35FE6">
              <w:t>Acute coronary syndrome:</w:t>
            </w:r>
          </w:p>
          <w:p w:rsidR="00000000" w:rsidRPr="00A35FE6" w:rsidP="00A35FE6">
            <w:pPr>
              <w:pStyle w:val="ListBullet2"/>
            </w:pPr>
            <w:r w:rsidRPr="00A35FE6">
              <w:t>progression of coronary artery disease</w:t>
            </w:r>
          </w:p>
          <w:p w:rsidR="00000000" w:rsidRPr="00A35FE6" w:rsidP="00A35FE6">
            <w:pPr>
              <w:pStyle w:val="ListBullet2"/>
            </w:pPr>
            <w:r w:rsidRPr="00A35FE6">
              <w:t>ischaemic disorders:</w:t>
            </w:r>
          </w:p>
          <w:p w:rsidR="00000000" w:rsidRPr="00A35FE6" w:rsidP="00A35FE6">
            <w:pPr>
              <w:pStyle w:val="ListBullet3"/>
            </w:pPr>
            <w:r w:rsidRPr="00A35FE6">
              <w:t>angina</w:t>
            </w:r>
          </w:p>
          <w:p w:rsidR="00000000" w:rsidRPr="00A35FE6" w:rsidP="00A35FE6">
            <w:pPr>
              <w:pStyle w:val="ListBullet3"/>
            </w:pPr>
            <w:r w:rsidRPr="00A35FE6">
              <w:t>unstable angina</w:t>
            </w:r>
          </w:p>
          <w:p w:rsidR="00000000" w:rsidRPr="00A35FE6" w:rsidP="00A35FE6">
            <w:pPr>
              <w:pStyle w:val="ListBullet3"/>
            </w:pPr>
            <w:r w:rsidRPr="00A35FE6">
              <w:t>Prinzmetal angina</w:t>
            </w:r>
          </w:p>
          <w:p w:rsidR="00000000" w:rsidRPr="00A35FE6" w:rsidP="00A35FE6">
            <w:pPr>
              <w:pStyle w:val="ListBullet2"/>
            </w:pPr>
            <w:r w:rsidRPr="00A35FE6">
              <w:t>myocardial infarction</w:t>
            </w:r>
          </w:p>
          <w:p w:rsidR="00000000" w:rsidRPr="00A35FE6" w:rsidP="00A35FE6">
            <w:pPr>
              <w:pStyle w:val="ListBullet2"/>
            </w:pPr>
            <w:r w:rsidRPr="00A35FE6">
              <w:t>heart failure</w:t>
            </w:r>
          </w:p>
          <w:p w:rsidR="00000000" w:rsidRPr="00A35FE6" w:rsidP="00A35FE6">
            <w:pPr>
              <w:pStyle w:val="ListBullet2"/>
            </w:pPr>
            <w:r w:rsidRPr="00A35FE6">
              <w:t>valvular disease</w:t>
            </w:r>
          </w:p>
          <w:p w:rsidR="00000000" w:rsidRPr="00A35FE6" w:rsidP="00A35FE6">
            <w:pPr>
              <w:pStyle w:val="ListBullet2"/>
            </w:pPr>
            <w:r w:rsidRPr="00A35FE6">
              <w:t>hypertensive emergencies</w:t>
            </w:r>
          </w:p>
          <w:p w:rsidR="00000000" w:rsidRPr="00A35FE6" w:rsidP="00A35FE6">
            <w:pPr>
              <w:pStyle w:val="ListBullet2"/>
            </w:pPr>
            <w:r w:rsidRPr="00A35FE6">
              <w:t>other cardiovascular emergencies, e.g. peripheral vascular disease, pericarditis and endocarditis</w:t>
            </w:r>
          </w:p>
          <w:p w:rsidR="00000000" w:rsidRPr="00A35FE6" w:rsidP="00A35FE6">
            <w:pPr>
              <w:pStyle w:val="ListBullet"/>
            </w:pPr>
            <w:r w:rsidRPr="00A35FE6">
              <w:t>ECG recognition:</w:t>
            </w:r>
          </w:p>
          <w:p w:rsidR="00000000" w:rsidRPr="00A35FE6" w:rsidP="00A35FE6">
            <w:pPr>
              <w:pStyle w:val="ListBullet2"/>
            </w:pPr>
            <w:r w:rsidRPr="00A35FE6">
              <w:t>specialised knowledge of cardiac conduction</w:t>
            </w:r>
          </w:p>
          <w:p w:rsidR="00000000" w:rsidRPr="00A35FE6" w:rsidP="00A35FE6">
            <w:pPr>
              <w:pStyle w:val="ListBullet2"/>
            </w:pPr>
            <w:r w:rsidRPr="00A35FE6">
              <w:t>comprehensive ECG rhythm analysis</w:t>
            </w:r>
          </w:p>
          <w:p w:rsidR="00000000" w:rsidRPr="00A35FE6" w:rsidP="00A35FE6">
            <w:pPr>
              <w:pStyle w:val="ListBullet2"/>
            </w:pPr>
            <w:r w:rsidRPr="00A35FE6">
              <w:t>12 lead ECG capture and assessment:</w:t>
            </w:r>
          </w:p>
          <w:p w:rsidR="00000000" w:rsidRPr="00A35FE6" w:rsidP="00A35FE6">
            <w:pPr>
              <w:pStyle w:val="ListBullet3"/>
            </w:pPr>
            <w:r w:rsidRPr="00A35FE6">
              <w:t>axis determination</w:t>
            </w:r>
          </w:p>
          <w:p w:rsidR="00000000" w:rsidRPr="00A35FE6" w:rsidP="00A35FE6">
            <w:pPr>
              <w:pStyle w:val="ListBullet3"/>
            </w:pPr>
            <w:r w:rsidRPr="00A35FE6">
              <w:t>bundle branch and fascicular blocks</w:t>
            </w:r>
          </w:p>
          <w:p w:rsidR="00000000" w:rsidRPr="00A35FE6" w:rsidP="00A35FE6">
            <w:pPr>
              <w:pStyle w:val="ListBullet3"/>
            </w:pPr>
            <w:r w:rsidRPr="00A35FE6">
              <w:t>STEMI/non-STEMI</w:t>
            </w:r>
          </w:p>
          <w:p w:rsidR="00000000" w:rsidRPr="00A35FE6" w:rsidP="00A35FE6">
            <w:pPr>
              <w:pStyle w:val="ListBullet3"/>
            </w:pPr>
            <w:r w:rsidRPr="00A35FE6">
              <w:t xml:space="preserve">Infarct imposters </w:t>
            </w:r>
          </w:p>
          <w:p w:rsidR="00000000" w:rsidP="00A35FE6">
            <w:pPr>
              <w:pStyle w:val="BodyText"/>
              <w:rPr>
                <w:lang w:val="en-NZ"/>
              </w:rPr>
            </w:pPr>
            <w:r w:rsidRPr="00A35FE6">
              <w:rPr>
                <w:rStyle w:val="Emphasis"/>
              </w:rPr>
              <w:t>continued</w:t>
            </w:r>
            <w:r w:rsidRPr="00A35FE6">
              <w:t xml:space="preserve"> ...</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Specific client conditions</w:t>
            </w:r>
            <w:r w:rsidRPr="00A35FE6">
              <w:t xml:space="preserve">, </w:t>
            </w:r>
            <w:r w:rsidRPr="00A35FE6">
              <w:rPr>
                <w:rStyle w:val="Emphasis"/>
              </w:rPr>
              <w:t>disorders and injuries to be assessed must include but are not limited to</w:t>
            </w:r>
            <w:r w:rsidRPr="00A35FE6">
              <w:t>:</w:t>
            </w:r>
            <w:r w:rsidRPr="00A35FE6">
              <w:br/>
              <w:t>(</w:t>
            </w:r>
            <w:r w:rsidRPr="00A35FE6">
              <w:rPr>
                <w:rStyle w:val="Emphasis"/>
              </w:rPr>
              <w:t>contd</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Visceral disorders:</w:t>
            </w:r>
          </w:p>
          <w:p w:rsidR="00000000" w:rsidRPr="00A35FE6" w:rsidP="00A35FE6">
            <w:pPr>
              <w:pStyle w:val="ListBullet2"/>
            </w:pPr>
            <w:r w:rsidRPr="00A35FE6">
              <w:t>specialised knowledge of the thoracic, pelvic, gastrointestinal and associated organs and related disorders</w:t>
            </w:r>
          </w:p>
          <w:p w:rsidR="00000000" w:rsidRPr="00A35FE6" w:rsidP="00A35FE6">
            <w:pPr>
              <w:pStyle w:val="ListBullet2"/>
            </w:pPr>
            <w:r w:rsidRPr="00A35FE6">
              <w:t>detailed knowledge of urogenital and reproductive disorders</w:t>
            </w:r>
          </w:p>
          <w:p w:rsidR="00000000" w:rsidRPr="00A35FE6" w:rsidP="00A35FE6">
            <w:pPr>
              <w:pStyle w:val="ListBullet"/>
            </w:pPr>
            <w:r w:rsidRPr="00A35FE6">
              <w:t>Special circumstances:</w:t>
            </w:r>
          </w:p>
          <w:p w:rsidR="00000000" w:rsidRPr="00A35FE6" w:rsidP="00A35FE6">
            <w:pPr>
              <w:pStyle w:val="ListBullet2"/>
            </w:pPr>
            <w:r w:rsidRPr="00A35FE6">
              <w:t>medico-legal and ethical considerations</w:t>
            </w:r>
          </w:p>
          <w:p w:rsidR="00000000" w:rsidRPr="00A35FE6" w:rsidP="00A35FE6">
            <w:pPr>
              <w:pStyle w:val="ListBullet"/>
            </w:pPr>
            <w:r w:rsidRPr="00A35FE6">
              <w:t>Neurological:-</w:t>
            </w:r>
          </w:p>
          <w:p w:rsidR="00000000" w:rsidRPr="00A35FE6" w:rsidP="00A35FE6">
            <w:pPr>
              <w:pStyle w:val="ListBullet2"/>
            </w:pPr>
            <w:r w:rsidRPr="00A35FE6">
              <w:t>diseas</w:t>
            </w:r>
            <w:r w:rsidRPr="00A35FE6">
              <w:t xml:space="preserve">es: e.g. dementia, ms, motor neurone, cerebral palsy, </w:t>
            </w:r>
          </w:p>
          <w:p w:rsidR="00000000" w:rsidRPr="00A35FE6" w:rsidP="00A35FE6">
            <w:pPr>
              <w:pStyle w:val="ListBullet2"/>
            </w:pPr>
            <w:r w:rsidRPr="00A35FE6">
              <w:t>behavioural emergencies</w:t>
            </w:r>
          </w:p>
          <w:p w:rsidR="00000000" w:rsidRPr="00A35FE6" w:rsidP="00A35FE6">
            <w:pPr>
              <w:pStyle w:val="ListBullet2"/>
            </w:pPr>
            <w:r w:rsidRPr="00A35FE6">
              <w:t>pathogenesis:</w:t>
            </w:r>
          </w:p>
          <w:p w:rsidR="00000000" w:rsidRPr="00A35FE6" w:rsidP="00A35FE6">
            <w:pPr>
              <w:pStyle w:val="ListBullet3"/>
            </w:pPr>
            <w:r w:rsidRPr="00A35FE6">
              <w:t>common pharmacolog</w:t>
            </w:r>
          </w:p>
          <w:p w:rsidR="00000000" w:rsidRPr="00A35FE6" w:rsidP="00A35FE6">
            <w:pPr>
              <w:pStyle w:val="ListBullet3"/>
            </w:pPr>
            <w:r w:rsidRPr="00A35FE6">
              <w:t>Infections e.g. meningitis, encephalitis, tetanus</w:t>
            </w:r>
          </w:p>
          <w:p w:rsidR="00000000" w:rsidRPr="00A35FE6" w:rsidP="00A35FE6">
            <w:pPr>
              <w:pStyle w:val="ListBullet2"/>
            </w:pPr>
            <w:r w:rsidRPr="00A35FE6">
              <w:t>Conditions: e.g. seizures and epilepsy, CVA, tumours, brain abscess</w:t>
            </w:r>
          </w:p>
          <w:p w:rsidR="00000000" w:rsidRPr="00A35FE6" w:rsidP="00A35FE6">
            <w:pPr>
              <w:pStyle w:val="ListBullet"/>
            </w:pPr>
            <w:r w:rsidRPr="00A35FE6">
              <w:t>Spinal injury:</w:t>
            </w:r>
          </w:p>
          <w:p w:rsidR="00000000" w:rsidRPr="00A35FE6" w:rsidP="00A35FE6">
            <w:pPr>
              <w:pStyle w:val="ListBullet2"/>
            </w:pPr>
            <w:r w:rsidRPr="00A35FE6">
              <w:t>Specialised knowledge of sensory and motor functions</w:t>
            </w:r>
          </w:p>
          <w:p w:rsidR="00000000" w:rsidRPr="00A35FE6" w:rsidP="00A35FE6">
            <w:pPr>
              <w:pStyle w:val="ListBullet2"/>
            </w:pPr>
            <w:r w:rsidRPr="00A35FE6">
              <w:t>Reflex arc e.g. autonomic dysreflexia</w:t>
            </w:r>
          </w:p>
          <w:p w:rsidR="00000000" w:rsidRPr="00A35FE6" w:rsidP="00A35FE6">
            <w:pPr>
              <w:pStyle w:val="ListBullet2"/>
            </w:pPr>
            <w:r w:rsidRPr="00A35FE6">
              <w:t>Cardio-vascular changes</w:t>
            </w:r>
          </w:p>
          <w:p w:rsidR="00000000" w:rsidRPr="00A35FE6" w:rsidP="00A35FE6">
            <w:pPr>
              <w:pStyle w:val="ListBullet2"/>
            </w:pPr>
            <w:r w:rsidRPr="00A35FE6">
              <w:t>Respiratory impairment</w:t>
            </w:r>
          </w:p>
          <w:p w:rsidR="00000000" w:rsidRPr="00A35FE6" w:rsidP="00A35FE6">
            <w:pPr>
              <w:pStyle w:val="ListBullet"/>
            </w:pPr>
            <w:r w:rsidRPr="00A35FE6">
              <w:t>Respiratory:</w:t>
            </w:r>
          </w:p>
          <w:p w:rsidR="00000000" w:rsidRPr="00A35FE6" w:rsidP="00A35FE6">
            <w:pPr>
              <w:pStyle w:val="ListBullet2"/>
            </w:pPr>
            <w:r w:rsidRPr="00A35FE6">
              <w:t xml:space="preserve">detailed knowledge of the respiratory system and its function e.g. mechanics of ventilation, </w:t>
            </w:r>
            <w:r w:rsidRPr="00A35FE6">
              <w:t>inspiration and expiration, respiratory control and impact of gas laws</w:t>
            </w:r>
          </w:p>
          <w:p w:rsidR="00000000" w:rsidRPr="00A35FE6" w:rsidP="00A35FE6">
            <w:pPr>
              <w:pStyle w:val="ListBullet2"/>
            </w:pPr>
            <w:r w:rsidRPr="00A35FE6">
              <w:t>Ventilation perfusion (V/Q)</w:t>
            </w:r>
          </w:p>
          <w:p w:rsidR="00000000" w:rsidRPr="00A35FE6" w:rsidP="00A35FE6">
            <w:pPr>
              <w:pStyle w:val="ListBullet2"/>
            </w:pPr>
            <w:r w:rsidRPr="00A35FE6">
              <w:t>conditions and diseases e.g. asthma, chronic airways Limitation, pneumonia, PE, hyperventilation.</w:t>
            </w:r>
          </w:p>
          <w:p w:rsidR="00000000" w:rsidRPr="00A35FE6" w:rsidP="00A35FE6">
            <w:pPr>
              <w:pStyle w:val="ListBullet2"/>
            </w:pPr>
            <w:r w:rsidRPr="00A35FE6">
              <w:t>respiratory assessment</w:t>
            </w:r>
          </w:p>
          <w:p w:rsidR="00000000" w:rsidRPr="00A35FE6" w:rsidP="00A35FE6">
            <w:pPr>
              <w:pStyle w:val="ListBullet"/>
            </w:pPr>
            <w:r w:rsidRPr="00A35FE6">
              <w:t>Pain:</w:t>
            </w:r>
          </w:p>
          <w:p w:rsidR="00000000" w:rsidRPr="00A35FE6" w:rsidP="00A35FE6">
            <w:pPr>
              <w:pStyle w:val="ListBullet2"/>
            </w:pPr>
            <w:r w:rsidRPr="00A35FE6">
              <w:t>pain pathways and perception</w:t>
            </w:r>
          </w:p>
          <w:p w:rsidR="00000000" w:rsidRPr="00A35FE6" w:rsidP="00A35FE6">
            <w:pPr>
              <w:pStyle w:val="ListBullet2"/>
            </w:pPr>
            <w:r w:rsidRPr="00A35FE6">
              <w:t>physiological and psychological effects associated with pain</w:t>
            </w:r>
          </w:p>
          <w:p w:rsidR="00000000" w:rsidRPr="00A35FE6" w:rsidP="00A35FE6">
            <w:pPr>
              <w:pStyle w:val="ListBullet2"/>
            </w:pPr>
            <w:r w:rsidRPr="00A35FE6">
              <w:t>therapeutic effect of drugs e.g. narcotics, steroidals and non-steroidals, anxiolytics, anti-emetics, over the counter medications</w:t>
            </w:r>
          </w:p>
          <w:p w:rsidR="00000000" w:rsidRPr="00A35FE6" w:rsidP="00A35FE6">
            <w:pPr>
              <w:pStyle w:val="ListBullet2"/>
            </w:pPr>
            <w:r w:rsidRPr="00A35FE6">
              <w:t>pain assessment and documentation according to standard methods</w:t>
            </w:r>
            <w:r w:rsidRPr="00A35FE6">
              <w:t xml:space="preserve"> and protocols</w:t>
            </w:r>
          </w:p>
          <w:p w:rsidR="00000000" w:rsidP="00A35FE6">
            <w:pPr>
              <w:pStyle w:val="ListBullet2"/>
              <w:rPr>
                <w:lang w:val="en-NZ"/>
              </w:rPr>
            </w:pPr>
            <w:r w:rsidRPr="00A35FE6">
              <w:t>chronic pain management</w:t>
            </w: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p>
        </w:tc>
      </w:tr>
      <w:tr w:rsidTr="009067A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35FE6">
            <w:pPr>
              <w:pStyle w:val="BodyText"/>
              <w:rPr>
                <w:lang w:val="en-NZ"/>
              </w:rPr>
            </w:pPr>
            <w:r w:rsidRPr="00A35FE6">
              <w:rPr>
                <w:rStyle w:val="Emphasis"/>
              </w:rPr>
              <w:t>Specific categories of clients to be assessed must include but are not limited to</w:t>
            </w:r>
            <w:r w:rsidRPr="00A35FE6">
              <w:t>:</w:t>
            </w:r>
          </w:p>
        </w:tc>
        <w:tc>
          <w:tcPr>
            <w:tcW w:w="5670" w:type="dxa"/>
            <w:tcBorders>
              <w:top w:val="nil"/>
              <w:left w:val="nil"/>
              <w:bottom w:val="nil"/>
              <w:right w:val="nil"/>
            </w:tcBorders>
            <w:tcMar>
              <w:top w:w="0" w:type="dxa"/>
              <w:left w:w="62" w:type="dxa"/>
              <w:bottom w:w="0" w:type="dxa"/>
              <w:right w:w="62" w:type="dxa"/>
            </w:tcMar>
          </w:tcPr>
          <w:p w:rsidR="00000000" w:rsidRPr="00A35FE6" w:rsidP="00A35FE6">
            <w:pPr>
              <w:pStyle w:val="ListBullet"/>
            </w:pPr>
            <w:r w:rsidRPr="00A35FE6">
              <w:t>Adult client (male and female)</w:t>
            </w:r>
          </w:p>
          <w:p w:rsidR="00000000" w:rsidRPr="00A35FE6" w:rsidP="00A35FE6">
            <w:pPr>
              <w:pStyle w:val="ListBullet"/>
            </w:pPr>
            <w:r w:rsidRPr="00A35FE6">
              <w:t>Obstetric client:</w:t>
            </w:r>
          </w:p>
          <w:p w:rsidR="00000000" w:rsidRPr="00A35FE6" w:rsidP="00A35FE6">
            <w:pPr>
              <w:pStyle w:val="ListBullet2"/>
            </w:pPr>
            <w:r w:rsidRPr="00A35FE6">
              <w:t>specialised knowledge of foetal development:</w:t>
            </w:r>
          </w:p>
          <w:p w:rsidR="00000000" w:rsidRPr="00A35FE6" w:rsidP="00A35FE6">
            <w:pPr>
              <w:pStyle w:val="ListBullet3"/>
            </w:pPr>
            <w:r w:rsidRPr="00A35FE6">
              <w:t>foetal distress</w:t>
            </w:r>
          </w:p>
          <w:p w:rsidR="00000000" w:rsidRPr="00A35FE6" w:rsidP="00A35FE6">
            <w:pPr>
              <w:pStyle w:val="ListBullet3"/>
            </w:pPr>
            <w:r w:rsidRPr="00A35FE6">
              <w:t>neonatal physiology</w:t>
            </w:r>
          </w:p>
          <w:p w:rsidR="00000000" w:rsidRPr="00A35FE6" w:rsidP="00A35FE6">
            <w:pPr>
              <w:pStyle w:val="ListBullet3"/>
            </w:pPr>
            <w:r w:rsidRPr="00A35FE6">
              <w:t>congenital abnormalities</w:t>
            </w:r>
          </w:p>
          <w:p w:rsidR="00000000" w:rsidRPr="00A35FE6" w:rsidP="00A35FE6">
            <w:pPr>
              <w:pStyle w:val="ListBullet2"/>
            </w:pPr>
            <w:r w:rsidRPr="00A35FE6">
              <w:t>abnormal pregnancy:</w:t>
            </w:r>
          </w:p>
          <w:p w:rsidR="00000000" w:rsidRPr="00A35FE6" w:rsidP="00A35FE6">
            <w:pPr>
              <w:pStyle w:val="ListBullet3"/>
            </w:pPr>
            <w:r w:rsidRPr="00A35FE6">
              <w:t>pregnancy induced hypertension, gestational diabetes, eclampsia, ectopic pregnancy, hyperemesis gravidarum</w:t>
            </w:r>
          </w:p>
          <w:p w:rsidR="00000000" w:rsidRPr="00A35FE6" w:rsidP="00A35FE6">
            <w:pPr>
              <w:pStyle w:val="ListBullet3"/>
            </w:pPr>
            <w:r w:rsidRPr="00A35FE6">
              <w:t>threaten</w:t>
            </w:r>
            <w:r w:rsidRPr="00A35FE6">
              <w:t>ed abortion, spontaneous abortion, supine hypotensive syndrome, ante-partum bleeding</w:t>
            </w:r>
          </w:p>
          <w:p w:rsidR="00000000" w:rsidRPr="00A35FE6" w:rsidP="00A35FE6">
            <w:pPr>
              <w:pStyle w:val="ListBullet3"/>
            </w:pPr>
            <w:r w:rsidRPr="00A35FE6">
              <w:t>pre-existing congestive cardiac failure, pre-existing hypertension, pre-existing diabetes</w:t>
            </w:r>
          </w:p>
          <w:p w:rsidR="00000000" w:rsidRPr="00A35FE6" w:rsidP="00A35FE6">
            <w:pPr>
              <w:pStyle w:val="ListBullet2"/>
            </w:pPr>
            <w:r w:rsidRPr="00A35FE6">
              <w:t>stages of labour</w:t>
            </w:r>
          </w:p>
          <w:p w:rsidR="00000000" w:rsidRPr="00A35FE6" w:rsidP="00A35FE6">
            <w:pPr>
              <w:pStyle w:val="ListBullet2"/>
            </w:pPr>
            <w:r w:rsidRPr="00A35FE6">
              <w:t>normal presentation:</w:t>
            </w:r>
          </w:p>
          <w:p w:rsidR="00000000" w:rsidRPr="00A35FE6" w:rsidP="00A35FE6">
            <w:pPr>
              <w:pStyle w:val="ListBullet3"/>
            </w:pPr>
            <w:r w:rsidRPr="00A35FE6">
              <w:t>pre/post haemorrhage</w:t>
            </w:r>
          </w:p>
          <w:p w:rsidR="00000000" w:rsidRPr="00A35FE6" w:rsidP="00A35FE6">
            <w:pPr>
              <w:pStyle w:val="ListBullet3"/>
            </w:pPr>
            <w:r w:rsidRPr="00A35FE6">
              <w:t>normal at-term infan</w:t>
            </w:r>
            <w:r w:rsidRPr="00A35FE6">
              <w:t>tt/premature infant</w:t>
            </w:r>
          </w:p>
          <w:p w:rsidR="00000000" w:rsidRPr="00A35FE6" w:rsidP="00A35FE6">
            <w:pPr>
              <w:pStyle w:val="ListBullet2"/>
            </w:pPr>
            <w:r w:rsidRPr="00A35FE6">
              <w:t>abnormal presentation:</w:t>
            </w:r>
          </w:p>
          <w:p w:rsidR="00000000" w:rsidRPr="00A35FE6" w:rsidP="00A35FE6">
            <w:pPr>
              <w:pStyle w:val="ListBullet3"/>
            </w:pPr>
            <w:r w:rsidRPr="00A35FE6">
              <w:t>multiple/breech/still birth</w:t>
            </w:r>
          </w:p>
          <w:p w:rsidR="00000000" w:rsidRPr="00A35FE6" w:rsidP="00A35FE6">
            <w:pPr>
              <w:pStyle w:val="ListBullet3"/>
            </w:pPr>
            <w:r w:rsidRPr="00A35FE6">
              <w:t>limb presentation</w:t>
            </w:r>
          </w:p>
          <w:p w:rsidR="00000000" w:rsidRPr="00A35FE6" w:rsidP="00A35FE6">
            <w:pPr>
              <w:pStyle w:val="ListBullet3"/>
            </w:pPr>
            <w:r w:rsidRPr="00A35FE6">
              <w:t>prolapsed cord</w:t>
            </w:r>
          </w:p>
          <w:p w:rsidR="00000000" w:rsidRPr="00A35FE6" w:rsidP="00A35FE6">
            <w:pPr>
              <w:pStyle w:val="ListBullet2"/>
            </w:pPr>
            <w:r w:rsidRPr="00A35FE6">
              <w:t>assessment of the newborn:</w:t>
            </w:r>
          </w:p>
          <w:p w:rsidR="00000000" w:rsidRPr="00A35FE6" w:rsidP="00A35FE6">
            <w:pPr>
              <w:pStyle w:val="ListBullet3"/>
            </w:pPr>
            <w:r w:rsidRPr="00A35FE6">
              <w:t>APGAR</w:t>
            </w:r>
          </w:p>
          <w:p w:rsidR="00000000" w:rsidRPr="00A35FE6" w:rsidP="00A35FE6">
            <w:pPr>
              <w:pStyle w:val="ListBullet3"/>
            </w:pPr>
            <w:r w:rsidRPr="00A35FE6">
              <w:t>post delivery treatment and evaluation</w:t>
            </w:r>
          </w:p>
          <w:p w:rsidR="00000000" w:rsidRPr="00A35FE6" w:rsidP="00A35FE6">
            <w:pPr>
              <w:pStyle w:val="ListBullet2"/>
            </w:pPr>
            <w:r w:rsidRPr="00A35FE6">
              <w:t>other obstetric problems and gynaecology:</w:t>
            </w:r>
          </w:p>
          <w:p w:rsidR="00000000" w:rsidRPr="00A35FE6" w:rsidP="00A35FE6">
            <w:pPr>
              <w:pStyle w:val="ListBullet3"/>
            </w:pPr>
            <w:r w:rsidRPr="00A35FE6">
              <w:t xml:space="preserve">post partum bleeding, dysmenorrhoea, menorrhagia, pelvic infections, displacement of pelvic organs, urinary problems, endometriosis </w:t>
            </w:r>
          </w:p>
          <w:p w:rsidR="00000000" w:rsidRPr="00A35FE6" w:rsidP="00A35FE6">
            <w:pPr>
              <w:pStyle w:val="ListBullet"/>
            </w:pPr>
            <w:r w:rsidRPr="00A35FE6">
              <w:t>paediatric client:</w:t>
            </w:r>
          </w:p>
          <w:p w:rsidR="00000000" w:rsidRPr="00A35FE6" w:rsidP="00A35FE6">
            <w:pPr>
              <w:pStyle w:val="ListBullet2"/>
            </w:pPr>
            <w:r w:rsidRPr="00A35FE6">
              <w:t xml:space="preserve">detailed knowledge of differences in paediatric and adult anatomy and physiology as related </w:t>
            </w:r>
            <w:r w:rsidRPr="00A35FE6">
              <w:t>to assessment of the paediatric client</w:t>
            </w:r>
          </w:p>
          <w:p w:rsidR="00000000" w:rsidRPr="00A35FE6" w:rsidP="00A35FE6">
            <w:pPr>
              <w:pStyle w:val="ListBullet2"/>
            </w:pPr>
            <w:r w:rsidRPr="00A35FE6">
              <w:t>developmental stages of childhood e.g. psychosocial issues</w:t>
            </w:r>
          </w:p>
          <w:p w:rsidR="00000000" w:rsidRPr="00A35FE6" w:rsidP="00A35FE6">
            <w:pPr>
              <w:pStyle w:val="ListBullet2"/>
            </w:pPr>
            <w:r w:rsidRPr="00A35FE6">
              <w:t>issues surrounding paediatric assessment</w:t>
            </w:r>
          </w:p>
          <w:p w:rsidR="00000000" w:rsidRPr="00A35FE6" w:rsidP="00A35FE6">
            <w:pPr>
              <w:pStyle w:val="ListBullet2"/>
            </w:pPr>
            <w:r w:rsidRPr="00A35FE6">
              <w:t>specific paediatric conditions e.g. croup, epiglottitis, febrile convulsions</w:t>
            </w:r>
          </w:p>
          <w:p w:rsidR="00000000" w:rsidRPr="00A35FE6" w:rsidP="00A35FE6">
            <w:pPr>
              <w:pStyle w:val="ListBullet"/>
            </w:pPr>
            <w:r w:rsidRPr="00A35FE6">
              <w:t>geriatric client:</w:t>
            </w:r>
          </w:p>
          <w:p w:rsidR="00000000" w:rsidRPr="00A35FE6" w:rsidP="00A35FE6">
            <w:pPr>
              <w:pStyle w:val="ListBullet2"/>
            </w:pPr>
            <w:r w:rsidRPr="00A35FE6">
              <w:t>detailed knowledge o</w:t>
            </w:r>
            <w:r w:rsidRPr="00A35FE6">
              <w:t>f the normal anatomical and physiological changes associated with ageing as related to assessment of the geriatric client</w:t>
            </w:r>
          </w:p>
          <w:p w:rsidR="00000000" w:rsidRPr="00A35FE6" w:rsidP="00A35FE6">
            <w:pPr>
              <w:pStyle w:val="ListBullet2"/>
            </w:pPr>
            <w:r w:rsidRPr="00A35FE6">
              <w:t>pre-existing medical problems and pharmacology are considered</w:t>
            </w:r>
          </w:p>
        </w:tc>
      </w:tr>
    </w:tbl>
    <w:p w:rsidR="009067A4" w:rsidP="00A35FE6">
      <w:pPr>
        <w:pStyle w:val="BodyText"/>
      </w:pPr>
    </w:p>
    <w:p w:rsidR="009067A4" w:rsidP="00A35FE6">
      <w:pPr>
        <w:pStyle w:val="BodyText"/>
      </w:pPr>
    </w:p>
    <w:p w:rsidR="00000000" w:rsidRPr="00A35FE6" w:rsidP="00A35FE6">
      <w:pPr>
        <w:pStyle w:val="Heading1"/>
      </w:pPr>
      <w:bookmarkStart w:id="12" w:name="O_294887"/>
      <w:bookmarkEnd w:id="12"/>
      <w:r w:rsidRPr="00A35FE6">
        <w:t>Unit Sector(s)</w:t>
      </w:r>
    </w:p>
    <w:p w:rsidR="00000000" w:rsidRPr="00A35FE6" w:rsidP="00A35FE6">
      <w:pPr>
        <w:pStyle w:val="BodyText"/>
      </w:pPr>
      <w:r w:rsidRPr="00A35FE6">
        <w:t>Not Applicable</w:t>
      </w:r>
    </w:p>
    <w:p w:rsidR="00000000" w:rsidRPr="00A35FE6" w:rsidP="00A35FE6"/>
    <w:sectPr w:rsidSect="00A35F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7A4" w:rsidP="00906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A4" w:rsidP="00A35F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9067A4" w:rsidP="00A35F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067A4" w:rsidP="00A35F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7A4" w:rsidP="009067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5F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7A4" w:rsidP="00A35FE6">
    <w:pPr>
      <w:pStyle w:val="Header"/>
      <w:framePr w:wrap="around"/>
    </w:pPr>
    <w:r>
      <w:fldChar w:fldCharType="begin"/>
    </w:r>
    <w:r>
      <w:instrText xml:space="preserve"> TITLE   \* MERGEFORMAT </w:instrText>
    </w:r>
    <w:r>
      <w:fldChar w:fldCharType="separate"/>
    </w:r>
    <w:r>
      <w:t>HLTAMBAS604B Conduct advanced clinical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067A4" w:rsidP="00A35F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EFCBA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1AB9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A24B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5F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5FE6"/>
    <w:pPr>
      <w:spacing w:before="360" w:after="60"/>
      <w:outlineLvl w:val="0"/>
    </w:pPr>
    <w:rPr>
      <w:sz w:val="32"/>
    </w:rPr>
  </w:style>
  <w:style w:type="paragraph" w:styleId="Heading2">
    <w:name w:val="heading 2"/>
    <w:basedOn w:val="HeadingBase"/>
    <w:next w:val="BodyText"/>
    <w:link w:val="Heading2Char"/>
    <w:qFormat/>
    <w:rsid w:val="00A35FE6"/>
    <w:pPr>
      <w:keepLines/>
      <w:spacing w:before="240" w:after="120"/>
      <w:outlineLvl w:val="1"/>
    </w:pPr>
    <w:rPr>
      <w:sz w:val="28"/>
      <w:szCs w:val="40"/>
    </w:rPr>
  </w:style>
  <w:style w:type="paragraph" w:styleId="Heading3">
    <w:name w:val="heading 3"/>
    <w:basedOn w:val="HeadingBase"/>
    <w:next w:val="BodyText"/>
    <w:link w:val="Heading3Char"/>
    <w:qFormat/>
    <w:rsid w:val="00A35FE6"/>
    <w:pPr>
      <w:spacing w:before="180" w:after="120"/>
      <w:outlineLvl w:val="2"/>
    </w:pPr>
    <w:rPr>
      <w:spacing w:val="-10"/>
      <w:kern w:val="32"/>
    </w:rPr>
  </w:style>
  <w:style w:type="paragraph" w:styleId="Heading4">
    <w:name w:val="heading 4"/>
    <w:basedOn w:val="HeadingBase"/>
    <w:next w:val="BodyText"/>
    <w:link w:val="Heading4Char"/>
    <w:qFormat/>
    <w:rsid w:val="00A35FE6"/>
    <w:pPr>
      <w:spacing w:before="160" w:after="120"/>
      <w:outlineLvl w:val="3"/>
    </w:pPr>
    <w:rPr>
      <w:sz w:val="22"/>
    </w:rPr>
  </w:style>
  <w:style w:type="paragraph" w:styleId="Heading5">
    <w:name w:val="heading 5"/>
    <w:basedOn w:val="HeadingBase"/>
    <w:next w:val="Normal"/>
    <w:link w:val="Heading5Char"/>
    <w:qFormat/>
    <w:rsid w:val="00A35FE6"/>
    <w:pPr>
      <w:spacing w:before="80"/>
      <w:outlineLvl w:val="4"/>
    </w:pPr>
    <w:rPr>
      <w:color w:val="918585"/>
      <w:sz w:val="20"/>
    </w:rPr>
  </w:style>
  <w:style w:type="paragraph" w:styleId="Heading6">
    <w:name w:val="heading 6"/>
    <w:basedOn w:val="HeadingBase"/>
    <w:next w:val="Normal"/>
    <w:link w:val="Heading6Char"/>
    <w:qFormat/>
    <w:rsid w:val="00A35FE6"/>
    <w:pPr>
      <w:spacing w:before="60"/>
      <w:outlineLvl w:val="5"/>
    </w:pPr>
    <w:rPr>
      <w:color w:val="918585"/>
      <w:sz w:val="20"/>
    </w:rPr>
  </w:style>
  <w:style w:type="paragraph" w:styleId="Heading7">
    <w:name w:val="heading 7"/>
    <w:basedOn w:val="Normal"/>
    <w:next w:val="Normal"/>
    <w:link w:val="Heading7Char"/>
    <w:qFormat/>
    <w:rsid w:val="00A35FE6"/>
    <w:pPr>
      <w:ind w:left="720"/>
      <w:outlineLvl w:val="6"/>
    </w:pPr>
    <w:rPr>
      <w:i/>
    </w:rPr>
  </w:style>
  <w:style w:type="paragraph" w:styleId="Heading8">
    <w:name w:val="heading 8"/>
    <w:basedOn w:val="Normal"/>
    <w:next w:val="Normal"/>
    <w:link w:val="Heading8Char"/>
    <w:qFormat/>
    <w:rsid w:val="00A35FE6"/>
    <w:pPr>
      <w:ind w:left="720"/>
      <w:outlineLvl w:val="7"/>
    </w:pPr>
    <w:rPr>
      <w:i/>
    </w:rPr>
  </w:style>
  <w:style w:type="paragraph" w:styleId="Heading9">
    <w:name w:val="heading 9"/>
    <w:basedOn w:val="Normal"/>
    <w:next w:val="Normal"/>
    <w:link w:val="Heading9Char"/>
    <w:qFormat/>
    <w:rsid w:val="00A35FE6"/>
    <w:pPr>
      <w:ind w:left="720"/>
      <w:outlineLvl w:val="8"/>
    </w:pPr>
    <w:rPr>
      <w:i/>
    </w:rPr>
  </w:style>
  <w:style w:type="character" w:default="1" w:styleId="DefaultParagraphFont">
    <w:name w:val="Default Paragraph Font"/>
    <w:uiPriority w:val="1"/>
    <w:unhideWhenUsed/>
    <w:rsid w:val="00A35F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5FE6"/>
  </w:style>
  <w:style w:type="character" w:customStyle="1" w:styleId="Heading1Char">
    <w:name w:val="Heading 1 Char"/>
    <w:basedOn w:val="DefaultParagraphFont"/>
    <w:link w:val="Heading1"/>
    <w:rsid w:val="00A35FE6"/>
    <w:rPr>
      <w:rFonts w:ascii="Times New Roman" w:eastAsia="Times New Roman" w:hAnsi="Times New Roman" w:cs="Times New Roman"/>
      <w:b/>
      <w:sz w:val="32"/>
      <w:szCs w:val="20"/>
      <w:lang w:eastAsia="en-US"/>
    </w:rPr>
  </w:style>
  <w:style w:type="paragraph" w:styleId="BodyText">
    <w:name w:val="Body Text"/>
    <w:basedOn w:val="Normal"/>
    <w:link w:val="BodyTextChar"/>
    <w:rsid w:val="00A35F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5FE6"/>
    <w:rPr>
      <w:rFonts w:ascii="Times New Roman" w:eastAsia="Times New Roman" w:hAnsi="Times New Roman" w:cs="Times New Roman"/>
      <w:sz w:val="24"/>
      <w:lang w:val="en-US" w:eastAsia="en-US"/>
    </w:rPr>
  </w:style>
  <w:style w:type="paragraph" w:styleId="Footer">
    <w:name w:val="footer"/>
    <w:basedOn w:val="Normal"/>
    <w:link w:val="FooterChar"/>
    <w:rsid w:val="00A35F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5FE6"/>
    <w:rPr>
      <w:rFonts w:ascii="Times New Roman" w:eastAsia="Times New Roman" w:hAnsi="Times New Roman" w:cs="Times New Roman"/>
      <w:sz w:val="16"/>
      <w:lang w:val="en-US" w:eastAsia="en-US"/>
    </w:rPr>
  </w:style>
  <w:style w:type="paragraph" w:styleId="List">
    <w:name w:val="List"/>
    <w:basedOn w:val="BodyText"/>
    <w:next w:val="BodyText"/>
    <w:rsid w:val="00A35FE6"/>
    <w:pPr>
      <w:tabs>
        <w:tab w:val="left" w:pos="340"/>
      </w:tabs>
      <w:spacing w:before="60" w:after="60"/>
      <w:ind w:left="340" w:hanging="340"/>
    </w:pPr>
  </w:style>
  <w:style w:type="paragraph" w:styleId="ListBullet">
    <w:name w:val="List Bullet"/>
    <w:basedOn w:val="List"/>
    <w:rsid w:val="00A35FE6"/>
    <w:pPr>
      <w:numPr>
        <w:numId w:val="14"/>
      </w:numPr>
      <w:tabs>
        <w:tab w:val="clear" w:pos="340"/>
      </w:tabs>
      <w:spacing w:before="40" w:after="40"/>
    </w:pPr>
  </w:style>
  <w:style w:type="character" w:customStyle="1" w:styleId="SpecialBold">
    <w:name w:val="Special Bold"/>
    <w:basedOn w:val="DefaultParagraphFont"/>
    <w:rsid w:val="00A35FE6"/>
    <w:rPr>
      <w:b/>
      <w:spacing w:val="0"/>
    </w:rPr>
  </w:style>
  <w:style w:type="paragraph" w:styleId="ListBullet2">
    <w:name w:val="List Bullet 2"/>
    <w:basedOn w:val="List2"/>
    <w:rsid w:val="00A35FE6"/>
    <w:pPr>
      <w:numPr>
        <w:numId w:val="15"/>
      </w:numPr>
      <w:tabs>
        <w:tab w:val="clear" w:pos="680"/>
      </w:tabs>
    </w:pPr>
  </w:style>
  <w:style w:type="paragraph" w:styleId="Header">
    <w:name w:val="header"/>
    <w:basedOn w:val="Normal"/>
    <w:link w:val="HeaderChar"/>
    <w:rsid w:val="00A35F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5FE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35FE6"/>
    <w:rPr>
      <w:i/>
    </w:rPr>
  </w:style>
  <w:style w:type="paragraph" w:customStyle="1" w:styleId="SuperHeading">
    <w:name w:val="SuperHeading"/>
    <w:basedOn w:val="Normal"/>
    <w:rsid w:val="00A35FE6"/>
    <w:pPr>
      <w:spacing w:before="240" w:after="120"/>
      <w:outlineLvl w:val="0"/>
    </w:pPr>
    <w:rPr>
      <w:rFonts w:ascii="Times New Roman" w:hAnsi="Times New Roman"/>
      <w:b/>
      <w:sz w:val="28"/>
    </w:rPr>
  </w:style>
  <w:style w:type="paragraph" w:customStyle="1" w:styleId="AllowPageBreak">
    <w:name w:val="AllowPageBreak"/>
    <w:rsid w:val="00A35FE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35FE6"/>
    <w:pPr>
      <w:numPr>
        <w:numId w:val="3"/>
      </w:numPr>
      <w:tabs>
        <w:tab w:val="clear" w:pos="1021"/>
      </w:tabs>
      <w:ind w:left="1037" w:hanging="357"/>
    </w:pPr>
  </w:style>
  <w:style w:type="character" w:customStyle="1" w:styleId="Heading2Char">
    <w:name w:val="Heading 2 Char"/>
    <w:basedOn w:val="DefaultParagraphFont"/>
    <w:link w:val="Heading2"/>
    <w:rsid w:val="00A35F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5F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5F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5F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5F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5F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5F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5FE6"/>
    <w:rPr>
      <w:rFonts w:ascii="Courier New" w:eastAsia="Times New Roman" w:hAnsi="Courier New" w:cs="Times New Roman"/>
      <w:i/>
      <w:szCs w:val="20"/>
      <w:lang w:val="en-US" w:eastAsia="en-US"/>
    </w:rPr>
  </w:style>
  <w:style w:type="paragraph" w:customStyle="1" w:styleId="HeadingBase">
    <w:name w:val="Heading Base"/>
    <w:rsid w:val="00A35F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5FE6"/>
    <w:pPr>
      <w:tabs>
        <w:tab w:val="right" w:leader="dot" w:pos="9072"/>
      </w:tabs>
      <w:ind w:left="567"/>
    </w:pPr>
    <w:rPr>
      <w:szCs w:val="22"/>
    </w:rPr>
  </w:style>
  <w:style w:type="paragraph" w:customStyle="1" w:styleId="TOCBase">
    <w:name w:val="TOC Base"/>
    <w:rsid w:val="00A35F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5FE6"/>
    <w:pPr>
      <w:tabs>
        <w:tab w:val="right" w:leader="dot" w:pos="9072"/>
      </w:tabs>
      <w:spacing w:before="40" w:after="40"/>
      <w:ind w:left="284"/>
    </w:pPr>
    <w:rPr>
      <w:rFonts w:ascii="Times New Roman" w:hAnsi="Times New Roman"/>
    </w:rPr>
  </w:style>
  <w:style w:type="paragraph" w:styleId="TOC1">
    <w:name w:val="toc 1"/>
    <w:basedOn w:val="TOCBase"/>
    <w:next w:val="Normal"/>
    <w:rsid w:val="00A35F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5FE6"/>
    <w:pPr>
      <w:spacing w:before="5040"/>
      <w:jc w:val="center"/>
    </w:pPr>
    <w:rPr>
      <w:sz w:val="48"/>
      <w:szCs w:val="72"/>
      <w:lang w:val="en-US"/>
    </w:rPr>
  </w:style>
  <w:style w:type="character" w:customStyle="1" w:styleId="TitleChar">
    <w:name w:val="Title Char"/>
    <w:basedOn w:val="DefaultParagraphFont"/>
    <w:link w:val="Title"/>
    <w:rsid w:val="00A35F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5FE6"/>
    <w:pPr>
      <w:tabs>
        <w:tab w:val="left" w:pos="3600"/>
        <w:tab w:val="left" w:pos="3958"/>
      </w:tabs>
    </w:pPr>
  </w:style>
  <w:style w:type="paragraph" w:customStyle="1" w:styleId="Note">
    <w:name w:val="Note"/>
    <w:basedOn w:val="BodyText"/>
    <w:rsid w:val="00A35F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5FE6"/>
    <w:pPr>
      <w:framePr w:wrap="auto" w:hAnchor="text" w:y="6049"/>
    </w:pPr>
    <w:rPr>
      <w:color w:val="000000"/>
      <w:sz w:val="40"/>
    </w:rPr>
  </w:style>
  <w:style w:type="paragraph" w:customStyle="1" w:styleId="TOCTitle">
    <w:name w:val="TOCTitle"/>
    <w:basedOn w:val="Heading1"/>
    <w:rsid w:val="00A35FE6"/>
    <w:pPr>
      <w:spacing w:after="240"/>
      <w:jc w:val="center"/>
      <w:outlineLvl w:val="9"/>
    </w:pPr>
    <w:rPr>
      <w:caps/>
    </w:rPr>
  </w:style>
  <w:style w:type="paragraph" w:customStyle="1" w:styleId="Version">
    <w:name w:val="Version"/>
    <w:rsid w:val="00A35F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5FE6"/>
    <w:pPr>
      <w:keepNext w:val="0"/>
      <w:tabs>
        <w:tab w:val="right" w:pos="4176"/>
      </w:tabs>
      <w:ind w:left="198" w:hanging="198"/>
    </w:pPr>
    <w:rPr>
      <w:rFonts w:ascii="Garamond" w:hAnsi="Garamond"/>
    </w:rPr>
  </w:style>
  <w:style w:type="paragraph" w:styleId="IndexHeading">
    <w:name w:val="index heading"/>
    <w:basedOn w:val="Normal"/>
    <w:next w:val="Index1"/>
    <w:semiHidden/>
    <w:rsid w:val="00A35FE6"/>
    <w:pPr>
      <w:spacing w:before="120" w:after="120"/>
    </w:pPr>
    <w:rPr>
      <w:rFonts w:ascii="Arial" w:hAnsi="Arial"/>
      <w:b/>
      <w:color w:val="918585"/>
      <w:sz w:val="24"/>
    </w:rPr>
  </w:style>
  <w:style w:type="paragraph" w:customStyle="1" w:styleId="Chapter">
    <w:name w:val="Chapter"/>
    <w:basedOn w:val="Normal"/>
    <w:rsid w:val="00A35FE6"/>
    <w:pPr>
      <w:spacing w:before="240"/>
    </w:pPr>
    <w:rPr>
      <w:rFonts w:ascii="Times New Roman" w:hAnsi="Times New Roman"/>
      <w:smallCaps/>
      <w:spacing w:val="80"/>
      <w:sz w:val="28"/>
    </w:rPr>
  </w:style>
  <w:style w:type="paragraph" w:customStyle="1" w:styleId="InChapter">
    <w:name w:val="InChapter"/>
    <w:basedOn w:val="Heading3"/>
    <w:rsid w:val="00A35FE6"/>
    <w:pPr>
      <w:spacing w:after="240"/>
      <w:outlineLvl w:val="9"/>
    </w:pPr>
    <w:rPr>
      <w:noProof/>
    </w:rPr>
  </w:style>
  <w:style w:type="paragraph" w:styleId="Index2">
    <w:name w:val="index 2"/>
    <w:basedOn w:val="Normal"/>
    <w:next w:val="Normal"/>
    <w:semiHidden/>
    <w:rsid w:val="00A35FE6"/>
    <w:pPr>
      <w:tabs>
        <w:tab w:val="right" w:pos="4176"/>
      </w:tabs>
      <w:ind w:left="568" w:hanging="284"/>
    </w:pPr>
    <w:rPr>
      <w:rFonts w:ascii="Garamond" w:hAnsi="Garamond"/>
    </w:rPr>
  </w:style>
  <w:style w:type="paragraph" w:customStyle="1" w:styleId="Byline">
    <w:name w:val="Byline"/>
    <w:rsid w:val="00A35F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5FE6"/>
    <w:pPr>
      <w:tabs>
        <w:tab w:val="clear" w:pos="3600"/>
        <w:tab w:val="clear" w:pos="3958"/>
      </w:tabs>
      <w:jc w:val="right"/>
    </w:pPr>
  </w:style>
  <w:style w:type="paragraph" w:styleId="Caption">
    <w:name w:val="caption"/>
    <w:basedOn w:val="BodyText"/>
    <w:next w:val="Normal"/>
    <w:qFormat/>
    <w:rsid w:val="00A35FE6"/>
    <w:pPr>
      <w:framePr w:w="2268" w:hSpace="181" w:vSpace="181" w:wrap="around" w:vAnchor="text" w:hAnchor="page" w:x="1135" w:y="285" w:anchorLock="1"/>
    </w:pPr>
    <w:rPr>
      <w:i/>
    </w:rPr>
  </w:style>
  <w:style w:type="paragraph" w:customStyle="1" w:styleId="MiniTOCTitle">
    <w:name w:val="MiniTOCTitle"/>
    <w:basedOn w:val="Heading4"/>
    <w:rsid w:val="00A35FE6"/>
    <w:pPr>
      <w:spacing w:before="240"/>
      <w:outlineLvl w:val="9"/>
    </w:pPr>
    <w:rPr>
      <w:noProof/>
      <w:sz w:val="24"/>
    </w:rPr>
  </w:style>
  <w:style w:type="paragraph" w:customStyle="1" w:styleId="MiniTOCItem">
    <w:name w:val="MiniTOCItem"/>
    <w:basedOn w:val="ListBullet"/>
    <w:rsid w:val="00A35FE6"/>
    <w:pPr>
      <w:numPr>
        <w:numId w:val="0"/>
      </w:numPr>
      <w:tabs>
        <w:tab w:val="right" w:leader="dot" w:pos="6521"/>
      </w:tabs>
      <w:spacing w:before="0" w:after="0"/>
    </w:pPr>
  </w:style>
  <w:style w:type="paragraph" w:customStyle="1" w:styleId="TOFTitle">
    <w:name w:val="TOFTitle"/>
    <w:basedOn w:val="TOCTitle"/>
    <w:rsid w:val="00A35FE6"/>
  </w:style>
  <w:style w:type="paragraph" w:styleId="TableofFigures">
    <w:name w:val="table of figures"/>
    <w:basedOn w:val="Normal"/>
    <w:next w:val="Normal"/>
    <w:semiHidden/>
    <w:rsid w:val="00A35FE6"/>
    <w:pPr>
      <w:tabs>
        <w:tab w:val="right" w:leader="dot" w:pos="9072"/>
      </w:tabs>
      <w:ind w:left="970" w:hanging="403"/>
    </w:pPr>
    <w:rPr>
      <w:rFonts w:ascii="Times New Roman" w:hAnsi="Times New Roman"/>
      <w:b/>
    </w:rPr>
  </w:style>
  <w:style w:type="paragraph" w:styleId="ListNumber">
    <w:name w:val="List Number"/>
    <w:basedOn w:val="List"/>
    <w:rsid w:val="00A35FE6"/>
    <w:pPr>
      <w:numPr>
        <w:numId w:val="12"/>
      </w:numPr>
    </w:pPr>
  </w:style>
  <w:style w:type="character" w:customStyle="1" w:styleId="WingdingSymbols">
    <w:name w:val="Wingding Symbols"/>
    <w:rsid w:val="00A35FE6"/>
    <w:rPr>
      <w:rFonts w:ascii="Wingdings" w:hAnsi="Wingdings"/>
    </w:rPr>
  </w:style>
  <w:style w:type="paragraph" w:customStyle="1" w:styleId="TableHeading">
    <w:name w:val="Table Heading"/>
    <w:basedOn w:val="HeadingBase"/>
    <w:rsid w:val="00A35FE6"/>
    <w:pPr>
      <w:keepLines/>
      <w:pBdr>
        <w:bottom w:val="single" w:sz="6" w:space="1" w:color="918585"/>
      </w:pBdr>
      <w:spacing w:before="240"/>
    </w:pPr>
  </w:style>
  <w:style w:type="character" w:customStyle="1" w:styleId="HotSpot">
    <w:name w:val="HotSpot"/>
    <w:rsid w:val="00A35FE6"/>
    <w:rPr>
      <w:color w:val="0033CC"/>
      <w:u w:val="none"/>
    </w:rPr>
  </w:style>
  <w:style w:type="paragraph" w:customStyle="1" w:styleId="BodyTextRight">
    <w:name w:val="Body Text Right"/>
    <w:basedOn w:val="BodyText"/>
    <w:rsid w:val="00A35FE6"/>
    <w:pPr>
      <w:spacing w:before="0" w:after="0"/>
      <w:jc w:val="right"/>
    </w:pPr>
  </w:style>
  <w:style w:type="paragraph" w:styleId="Index3">
    <w:name w:val="index 3"/>
    <w:basedOn w:val="ListNumber2"/>
    <w:next w:val="Normal"/>
    <w:semiHidden/>
    <w:rsid w:val="00A35FE6"/>
    <w:pPr>
      <w:numPr>
        <w:numId w:val="0"/>
      </w:numPr>
      <w:tabs>
        <w:tab w:val="right" w:leader="dot" w:pos="4176"/>
      </w:tabs>
    </w:pPr>
  </w:style>
  <w:style w:type="paragraph" w:styleId="ListNumber2">
    <w:name w:val="List Number 2"/>
    <w:basedOn w:val="List2"/>
    <w:rsid w:val="00A35FE6"/>
    <w:pPr>
      <w:numPr>
        <w:numId w:val="11"/>
      </w:numPr>
      <w:tabs>
        <w:tab w:val="clear" w:pos="1060"/>
      </w:tabs>
    </w:pPr>
  </w:style>
  <w:style w:type="paragraph" w:customStyle="1" w:styleId="MarginNote">
    <w:name w:val="Margin Note"/>
    <w:basedOn w:val="BodyText"/>
    <w:rsid w:val="00A35F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5F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5F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5FE6"/>
    <w:rPr>
      <w:sz w:val="32"/>
    </w:rPr>
  </w:style>
  <w:style w:type="paragraph" w:customStyle="1" w:styleId="HeadingProcedure">
    <w:name w:val="Heading Procedure"/>
    <w:basedOn w:val="HeadingBase"/>
    <w:next w:val="Normal"/>
    <w:rsid w:val="00A35FE6"/>
    <w:pPr>
      <w:tabs>
        <w:tab w:val="left" w:pos="0"/>
      </w:tabs>
      <w:spacing w:before="120" w:after="60"/>
    </w:pPr>
    <w:rPr>
      <w:i/>
      <w:color w:val="918585"/>
      <w:sz w:val="22"/>
    </w:rPr>
  </w:style>
  <w:style w:type="paragraph" w:customStyle="1" w:styleId="TableBodyText">
    <w:name w:val="Table Body Text"/>
    <w:basedOn w:val="BodyText"/>
    <w:rsid w:val="00A35FE6"/>
    <w:pPr>
      <w:spacing w:before="60" w:after="60"/>
    </w:pPr>
  </w:style>
  <w:style w:type="paragraph" w:styleId="ListContinue">
    <w:name w:val="List Continue"/>
    <w:basedOn w:val="List"/>
    <w:rsid w:val="00A35FE6"/>
    <w:pPr>
      <w:ind w:firstLine="0"/>
    </w:pPr>
  </w:style>
  <w:style w:type="paragraph" w:customStyle="1" w:styleId="ListNote">
    <w:name w:val="List Note"/>
    <w:basedOn w:val="List"/>
    <w:rsid w:val="00A35FE6"/>
    <w:pPr>
      <w:pBdr>
        <w:top w:val="single" w:sz="6" w:space="2" w:color="918585"/>
        <w:bottom w:val="single" w:sz="6" w:space="2" w:color="918585"/>
      </w:pBdr>
      <w:tabs>
        <w:tab w:val="left" w:pos="1021"/>
      </w:tabs>
      <w:ind w:firstLine="0"/>
    </w:pPr>
  </w:style>
  <w:style w:type="paragraph" w:customStyle="1" w:styleId="Warning">
    <w:name w:val="Warning"/>
    <w:basedOn w:val="BodyText"/>
    <w:rsid w:val="00A35FE6"/>
    <w:pPr>
      <w:shd w:val="clear" w:color="auto" w:fill="D9D9D9"/>
      <w:tabs>
        <w:tab w:val="left" w:pos="992"/>
      </w:tabs>
      <w:ind w:left="119" w:right="119"/>
    </w:pPr>
    <w:rPr>
      <w:sz w:val="20"/>
    </w:rPr>
  </w:style>
  <w:style w:type="paragraph" w:customStyle="1" w:styleId="MarginIcons">
    <w:name w:val="Margin Icons"/>
    <w:basedOn w:val="BodyText"/>
    <w:rsid w:val="00A35F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5FE6"/>
    <w:rPr>
      <w:rFonts w:ascii="Courier New" w:hAnsi="Courier New"/>
    </w:rPr>
  </w:style>
  <w:style w:type="paragraph" w:customStyle="1" w:styleId="NoteBullet">
    <w:name w:val="Note Bullet"/>
    <w:basedOn w:val="Note"/>
    <w:rsid w:val="00A35FE6"/>
    <w:pPr>
      <w:tabs>
        <w:tab w:val="clear" w:pos="680"/>
      </w:tabs>
      <w:spacing w:before="60" w:after="60"/>
    </w:pPr>
  </w:style>
  <w:style w:type="paragraph" w:customStyle="1" w:styleId="SubHeading2">
    <w:name w:val="SubHeading2"/>
    <w:basedOn w:val="HeadingBase"/>
    <w:rsid w:val="00A35FE6"/>
    <w:pPr>
      <w:spacing w:before="240" w:after="60"/>
    </w:pPr>
    <w:rPr>
      <w:sz w:val="20"/>
    </w:rPr>
  </w:style>
  <w:style w:type="paragraph" w:customStyle="1" w:styleId="SubHeading1">
    <w:name w:val="SubHeading1"/>
    <w:basedOn w:val="HeadingBase"/>
    <w:rsid w:val="00A35FE6"/>
    <w:pPr>
      <w:spacing w:before="240" w:after="60"/>
    </w:pPr>
    <w:rPr>
      <w:color w:val="918585"/>
      <w:sz w:val="22"/>
    </w:rPr>
  </w:style>
  <w:style w:type="paragraph" w:customStyle="1" w:styleId="SideHeading">
    <w:name w:val="Side Heading"/>
    <w:basedOn w:val="HeadingBase"/>
    <w:rsid w:val="00A35F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5FE6"/>
    <w:pPr>
      <w:numPr>
        <w:numId w:val="13"/>
      </w:numPr>
    </w:pPr>
  </w:style>
  <w:style w:type="paragraph" w:styleId="PlainText">
    <w:name w:val="Plain Text"/>
    <w:basedOn w:val="Normal"/>
    <w:link w:val="PlainTextChar"/>
    <w:rsid w:val="00A35FE6"/>
    <w:rPr>
      <w:sz w:val="20"/>
    </w:rPr>
  </w:style>
  <w:style w:type="character" w:customStyle="1" w:styleId="PlainTextChar">
    <w:name w:val="Plain Text Char"/>
    <w:basedOn w:val="DefaultParagraphFont"/>
    <w:link w:val="PlainText"/>
    <w:rsid w:val="00A35F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5FE6"/>
    <w:rPr>
      <w:b/>
      <w:smallCaps/>
    </w:rPr>
  </w:style>
  <w:style w:type="paragraph" w:customStyle="1" w:styleId="TableListNumber">
    <w:name w:val="Table List Number"/>
    <w:basedOn w:val="ListNumber"/>
    <w:rsid w:val="00A35FE6"/>
    <w:pPr>
      <w:numPr>
        <w:numId w:val="0"/>
      </w:numPr>
    </w:pPr>
  </w:style>
  <w:style w:type="paragraph" w:styleId="TOC4">
    <w:name w:val="toc 4"/>
    <w:basedOn w:val="TOCBase"/>
    <w:next w:val="Normal"/>
    <w:semiHidden/>
    <w:rsid w:val="00A35FE6"/>
    <w:pPr>
      <w:tabs>
        <w:tab w:val="right" w:leader="dot" w:pos="9071"/>
      </w:tabs>
      <w:ind w:left="1701"/>
    </w:pPr>
  </w:style>
  <w:style w:type="paragraph" w:customStyle="1" w:styleId="ListAlpha">
    <w:name w:val="List Alpha"/>
    <w:basedOn w:val="List"/>
    <w:rsid w:val="00A35FE6"/>
    <w:pPr>
      <w:numPr>
        <w:numId w:val="10"/>
      </w:numPr>
    </w:pPr>
  </w:style>
  <w:style w:type="paragraph" w:customStyle="1" w:styleId="ListAlpha2">
    <w:name w:val="List Alpha 2"/>
    <w:basedOn w:val="List2"/>
    <w:rsid w:val="00A35FE6"/>
    <w:pPr>
      <w:numPr>
        <w:numId w:val="9"/>
      </w:numPr>
    </w:pPr>
  </w:style>
  <w:style w:type="paragraph" w:styleId="List2">
    <w:name w:val="List 2"/>
    <w:basedOn w:val="BodyText"/>
    <w:rsid w:val="00A35FE6"/>
    <w:pPr>
      <w:tabs>
        <w:tab w:val="left" w:pos="680"/>
      </w:tabs>
      <w:spacing w:before="60" w:after="60"/>
      <w:ind w:left="680" w:hanging="340"/>
    </w:pPr>
  </w:style>
  <w:style w:type="paragraph" w:styleId="List3">
    <w:name w:val="List 3"/>
    <w:basedOn w:val="BodyText"/>
    <w:rsid w:val="00A35FE6"/>
    <w:pPr>
      <w:tabs>
        <w:tab w:val="left" w:pos="1021"/>
      </w:tabs>
      <w:spacing w:before="60" w:after="60"/>
      <w:ind w:left="1020" w:hanging="340"/>
    </w:pPr>
  </w:style>
  <w:style w:type="paragraph" w:styleId="List4">
    <w:name w:val="List 4"/>
    <w:basedOn w:val="BodyText"/>
    <w:rsid w:val="00A35FE6"/>
    <w:pPr>
      <w:tabs>
        <w:tab w:val="left" w:pos="1361"/>
      </w:tabs>
      <w:spacing w:before="60" w:after="60"/>
      <w:ind w:left="1361" w:hanging="340"/>
    </w:pPr>
  </w:style>
  <w:style w:type="paragraph" w:styleId="List5">
    <w:name w:val="List 5"/>
    <w:basedOn w:val="BodyText"/>
    <w:rsid w:val="00A35FE6"/>
    <w:pPr>
      <w:tabs>
        <w:tab w:val="left" w:pos="1701"/>
      </w:tabs>
      <w:spacing w:before="60" w:after="60"/>
      <w:ind w:left="1701" w:hanging="340"/>
    </w:pPr>
  </w:style>
  <w:style w:type="paragraph" w:styleId="ListBullet4">
    <w:name w:val="List Bullet 4"/>
    <w:basedOn w:val="List4"/>
    <w:rsid w:val="00A35FE6"/>
    <w:pPr>
      <w:numPr>
        <w:numId w:val="4"/>
      </w:numPr>
    </w:pPr>
  </w:style>
  <w:style w:type="paragraph" w:styleId="ListBullet5">
    <w:name w:val="List Bullet 5"/>
    <w:basedOn w:val="List5"/>
    <w:rsid w:val="00A35FE6"/>
    <w:pPr>
      <w:numPr>
        <w:numId w:val="5"/>
      </w:numPr>
    </w:pPr>
  </w:style>
  <w:style w:type="paragraph" w:styleId="ListContinue2">
    <w:name w:val="List Continue 2"/>
    <w:basedOn w:val="List2"/>
    <w:rsid w:val="00A35FE6"/>
    <w:pPr>
      <w:ind w:firstLine="0"/>
    </w:pPr>
  </w:style>
  <w:style w:type="paragraph" w:styleId="ListContinue3">
    <w:name w:val="List Continue 3"/>
    <w:basedOn w:val="List3"/>
    <w:rsid w:val="00A35FE6"/>
    <w:pPr>
      <w:ind w:left="1021" w:firstLine="0"/>
    </w:pPr>
  </w:style>
  <w:style w:type="paragraph" w:styleId="ListContinue4">
    <w:name w:val="List Continue 4"/>
    <w:basedOn w:val="List4"/>
    <w:rsid w:val="00A35FE6"/>
    <w:pPr>
      <w:ind w:firstLine="0"/>
    </w:pPr>
  </w:style>
  <w:style w:type="paragraph" w:styleId="ListContinue5">
    <w:name w:val="List Continue 5"/>
    <w:basedOn w:val="List5"/>
    <w:rsid w:val="00A35FE6"/>
    <w:pPr>
      <w:ind w:firstLine="0"/>
    </w:pPr>
  </w:style>
  <w:style w:type="paragraph" w:styleId="ListNumber3">
    <w:name w:val="List Number 3"/>
    <w:basedOn w:val="List3"/>
    <w:rsid w:val="00A35FE6"/>
    <w:pPr>
      <w:numPr>
        <w:numId w:val="6"/>
      </w:numPr>
    </w:pPr>
  </w:style>
  <w:style w:type="paragraph" w:styleId="ListNumber4">
    <w:name w:val="List Number 4"/>
    <w:basedOn w:val="List4"/>
    <w:rsid w:val="00A35FE6"/>
    <w:pPr>
      <w:numPr>
        <w:numId w:val="7"/>
      </w:numPr>
    </w:pPr>
  </w:style>
  <w:style w:type="paragraph" w:styleId="ListNumber5">
    <w:name w:val="List Number 5"/>
    <w:basedOn w:val="List5"/>
    <w:rsid w:val="00A35FE6"/>
    <w:pPr>
      <w:numPr>
        <w:numId w:val="8"/>
      </w:numPr>
    </w:pPr>
  </w:style>
  <w:style w:type="paragraph" w:styleId="BlockText">
    <w:name w:val="Block Text"/>
    <w:basedOn w:val="Normal"/>
    <w:rsid w:val="00A35FE6"/>
    <w:pPr>
      <w:spacing w:after="120"/>
      <w:ind w:left="1440" w:right="1440"/>
    </w:pPr>
  </w:style>
  <w:style w:type="character" w:customStyle="1" w:styleId="Subscript">
    <w:name w:val="Subscript"/>
    <w:basedOn w:val="DefaultParagraphFont"/>
    <w:rsid w:val="00A35FE6"/>
    <w:rPr>
      <w:sz w:val="16"/>
      <w:vertAlign w:val="subscript"/>
    </w:rPr>
  </w:style>
  <w:style w:type="character" w:customStyle="1" w:styleId="Superscript">
    <w:name w:val="Superscript"/>
    <w:basedOn w:val="DefaultParagraphFont"/>
    <w:rsid w:val="00A35FE6"/>
    <w:rPr>
      <w:sz w:val="16"/>
      <w:vertAlign w:val="superscript"/>
    </w:rPr>
  </w:style>
  <w:style w:type="character" w:customStyle="1" w:styleId="Symbols">
    <w:name w:val="Symbols"/>
    <w:basedOn w:val="DefaultParagraphFont"/>
    <w:rsid w:val="00A35FE6"/>
    <w:rPr>
      <w:rFonts w:ascii="Symbol" w:hAnsi="Symbol"/>
    </w:rPr>
  </w:style>
  <w:style w:type="character" w:customStyle="1" w:styleId="MenuOptions">
    <w:name w:val="Menu Options"/>
    <w:basedOn w:val="DefaultParagraphFont"/>
    <w:rsid w:val="00A35FE6"/>
    <w:rPr>
      <w:rFonts w:ascii="Arial Narrow" w:hAnsi="Arial Narrow"/>
      <w:smallCaps/>
    </w:rPr>
  </w:style>
  <w:style w:type="character" w:customStyle="1" w:styleId="Buttons">
    <w:name w:val="Buttons"/>
    <w:basedOn w:val="DefaultParagraphFont"/>
    <w:rsid w:val="00A35FE6"/>
    <w:rPr>
      <w:b/>
    </w:rPr>
  </w:style>
  <w:style w:type="character" w:customStyle="1" w:styleId="Underlined">
    <w:name w:val="Underlined"/>
    <w:basedOn w:val="DefaultParagraphFont"/>
    <w:rsid w:val="00A35FE6"/>
    <w:rPr>
      <w:u w:val="single"/>
    </w:rPr>
  </w:style>
  <w:style w:type="paragraph" w:customStyle="1" w:styleId="TableBodyTextRight">
    <w:name w:val="Table Body Text Right"/>
    <w:basedOn w:val="TableBodyText"/>
    <w:rsid w:val="00A35FE6"/>
    <w:pPr>
      <w:widowControl w:val="0"/>
      <w:autoSpaceDE w:val="0"/>
      <w:autoSpaceDN w:val="0"/>
      <w:adjustRightInd w:val="0"/>
      <w:jc w:val="right"/>
    </w:pPr>
    <w:rPr>
      <w:rFonts w:cs="Arial"/>
      <w:szCs w:val="18"/>
    </w:rPr>
  </w:style>
  <w:style w:type="paragraph" w:customStyle="1" w:styleId="CopyrightText">
    <w:name w:val="Copyright Text"/>
    <w:basedOn w:val="BodyText"/>
    <w:rsid w:val="00A35FE6"/>
    <w:rPr>
      <w:sz w:val="18"/>
    </w:rPr>
  </w:style>
  <w:style w:type="paragraph" w:customStyle="1" w:styleId="BodySmallRight">
    <w:name w:val="Body Small Right"/>
    <w:basedOn w:val="BodyTextRight"/>
    <w:rsid w:val="00A35FE6"/>
    <w:rPr>
      <w:sz w:val="18"/>
      <w:szCs w:val="18"/>
    </w:rPr>
  </w:style>
  <w:style w:type="paragraph" w:customStyle="1" w:styleId="MarginEdition">
    <w:name w:val="Margin Edition"/>
    <w:basedOn w:val="MarginNote"/>
    <w:rsid w:val="00A35FE6"/>
    <w:pPr>
      <w:spacing w:before="0" w:after="0"/>
    </w:pPr>
    <w:rPr>
      <w:rFonts w:ascii="Times New Roman" w:hAnsi="Times New Roman"/>
      <w:color w:val="999999"/>
    </w:rPr>
  </w:style>
  <w:style w:type="paragraph" w:customStyle="1" w:styleId="Spacer">
    <w:name w:val="Spacer"/>
    <w:basedOn w:val="Normal"/>
    <w:rsid w:val="00A35FE6"/>
    <w:rPr>
      <w:sz w:val="2"/>
      <w:szCs w:val="2"/>
    </w:rPr>
  </w:style>
  <w:style w:type="character" w:customStyle="1" w:styleId="Small">
    <w:name w:val="Small"/>
    <w:basedOn w:val="DefaultParagraphFont"/>
    <w:rsid w:val="00A35FE6"/>
    <w:rPr>
      <w:sz w:val="16"/>
    </w:rPr>
  </w:style>
  <w:style w:type="paragraph" w:customStyle="1" w:styleId="WideTable">
    <w:name w:val="Wide Table"/>
    <w:basedOn w:val="Normal"/>
    <w:rsid w:val="00A35FE6"/>
    <w:pPr>
      <w:ind w:left="-1418"/>
    </w:pPr>
    <w:rPr>
      <w:sz w:val="2"/>
      <w:szCs w:val="2"/>
    </w:rPr>
  </w:style>
  <w:style w:type="character" w:styleId="PageNumber">
    <w:name w:val="page number"/>
    <w:basedOn w:val="DefaultParagraphFont"/>
    <w:rsid w:val="00A35FE6"/>
  </w:style>
  <w:style w:type="paragraph" w:styleId="Quote">
    <w:name w:val="Quote"/>
    <w:basedOn w:val="Heading1"/>
    <w:link w:val="QuoteChar"/>
    <w:qFormat/>
    <w:rsid w:val="00A35FE6"/>
    <w:rPr>
      <w:b w:val="0"/>
      <w:sz w:val="72"/>
      <w:szCs w:val="72"/>
      <w:lang w:val="en-NZ"/>
    </w:rPr>
  </w:style>
  <w:style w:type="character" w:customStyle="1" w:styleId="QuoteChar">
    <w:name w:val="Quote Char"/>
    <w:basedOn w:val="DefaultParagraphFont"/>
    <w:link w:val="Quote"/>
    <w:rsid w:val="00A35F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5FE6"/>
    <w:pPr>
      <w:pageBreakBefore/>
    </w:pPr>
  </w:style>
  <w:style w:type="paragraph" w:customStyle="1" w:styleId="Border">
    <w:name w:val="Border"/>
    <w:basedOn w:val="Normal"/>
    <w:qFormat/>
    <w:rsid w:val="00A35F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5FE6"/>
    <w:rPr>
      <w:b/>
      <w:bCs/>
      <w:i/>
      <w:iCs/>
      <w:color w:val="auto"/>
    </w:rPr>
  </w:style>
  <w:style w:type="paragraph" w:styleId="IntenseQuote">
    <w:name w:val="Intense Quote"/>
    <w:basedOn w:val="Normal"/>
    <w:next w:val="Normal"/>
    <w:link w:val="IntenseQuoteChar"/>
    <w:uiPriority w:val="30"/>
    <w:qFormat/>
    <w:rsid w:val="00A35F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5F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5FE6"/>
    <w:rPr>
      <w:smallCaps/>
      <w:color w:val="auto"/>
      <w:u w:val="single"/>
    </w:rPr>
  </w:style>
  <w:style w:type="character" w:styleId="IntenseReference">
    <w:name w:val="Intense Reference"/>
    <w:basedOn w:val="DefaultParagraphFont"/>
    <w:uiPriority w:val="32"/>
    <w:qFormat/>
    <w:rsid w:val="00A35FE6"/>
    <w:rPr>
      <w:b/>
      <w:bCs/>
      <w:smallCaps/>
      <w:color w:val="auto"/>
      <w:spacing w:val="5"/>
      <w:u w:val="single"/>
    </w:rPr>
  </w:style>
  <w:style w:type="paragraph" w:customStyle="1" w:styleId="2ColumnHeading">
    <w:name w:val="2Column Heading"/>
    <w:basedOn w:val="BodyText"/>
    <w:qFormat/>
    <w:rsid w:val="00A35FE6"/>
    <w:pPr>
      <w:spacing w:after="60"/>
      <w:ind w:left="-2268"/>
    </w:pPr>
    <w:rPr>
      <w:b/>
    </w:rPr>
  </w:style>
  <w:style w:type="paragraph" w:customStyle="1" w:styleId="Heading1TOC">
    <w:name w:val="Heading1 TOC"/>
    <w:basedOn w:val="Normal"/>
    <w:qFormat/>
    <w:rsid w:val="00A35FE6"/>
    <w:pPr>
      <w:spacing w:before="240" w:after="120"/>
    </w:pPr>
    <w:rPr>
      <w:rFonts w:ascii="Times New Roman" w:hAnsi="Times New Roman"/>
      <w:b/>
      <w:sz w:val="32"/>
    </w:rPr>
  </w:style>
  <w:style w:type="paragraph" w:customStyle="1" w:styleId="Heading2TOC">
    <w:name w:val="Heading2 TOC"/>
    <w:basedOn w:val="Normal"/>
    <w:qFormat/>
    <w:rsid w:val="00A35FE6"/>
    <w:pPr>
      <w:spacing w:before="240" w:after="60"/>
    </w:pPr>
    <w:rPr>
      <w:rFonts w:ascii="Times New Roman" w:hAnsi="Times New Roman"/>
      <w:b/>
      <w:sz w:val="28"/>
    </w:rPr>
  </w:style>
  <w:style w:type="character" w:customStyle="1" w:styleId="Underline">
    <w:name w:val="Underline"/>
    <w:basedOn w:val="DefaultParagraphFont"/>
    <w:qFormat/>
    <w:rsid w:val="00A35FE6"/>
    <w:rPr>
      <w:u w:val="single"/>
    </w:rPr>
  </w:style>
  <w:style w:type="character" w:customStyle="1" w:styleId="BoldandItalics">
    <w:name w:val="Bold and Italics"/>
    <w:qFormat/>
    <w:rsid w:val="00A35FE6"/>
    <w:rPr>
      <w:b/>
      <w:i/>
      <w:u w:val="none"/>
    </w:rPr>
  </w:style>
  <w:style w:type="paragraph" w:styleId="BalloonText">
    <w:name w:val="Balloon Text"/>
    <w:basedOn w:val="Normal"/>
    <w:link w:val="BalloonTextChar"/>
    <w:rsid w:val="00A35FE6"/>
    <w:rPr>
      <w:rFonts w:ascii="Tahoma" w:hAnsi="Tahoma" w:cs="Tahoma"/>
      <w:sz w:val="16"/>
      <w:szCs w:val="16"/>
    </w:rPr>
  </w:style>
  <w:style w:type="character" w:customStyle="1" w:styleId="BalloonTextChar">
    <w:name w:val="Balloon Text Char"/>
    <w:basedOn w:val="DefaultParagraphFont"/>
    <w:link w:val="BalloonText"/>
    <w:rsid w:val="00A35F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5F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5F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1954</Words>
  <Characters>13430</Characters>
  <Application>Microsoft Office Word</Application>
  <DocSecurity>0</DocSecurity>
  <Lines>495</Lines>
  <Paragraphs>270</Paragraphs>
  <ScaleCrop>false</ScaleCrop>
  <Company>Author-it Software Corporation Ltd.</Company>
  <LinksUpToDate>false</LinksUpToDate>
  <CharactersWithSpaces>15320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HLTAMBAS604B Conduct advanced clinical assessment</dc:title>
  <dc:subject>Approved</dc:subject>
  <dc:creator>Community Services and Health Industry Skills Council</dc:creator>
  <cp:keywords>Release: 1</cp:keywords>
  <dc:description>Copyright © 1996-2007 Author-it Software Corporation Ltd., all rights reserved.</dc:description>
  <cp:lastModifiedBy>Dennis Urbans</cp:lastModifiedBy>
  <cp:revision>3</cp:revision>
  <dcterms:created xsi:type="dcterms:W3CDTF">2012-05-26T03:55:00Z</dcterms:created>
  <dcterms:modified xsi:type="dcterms:W3CDTF">2012-05-26T03:55:00Z</dcterms:modified>
</cp:coreProperties>
</file>