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C4D12" w:rsidP="006C4D12">
      <w:pPr>
        <w:pStyle w:val="Title"/>
      </w:pPr>
      <w:bookmarkStart w:id="0" w:name="_GoBack"/>
      <w:bookmarkEnd w:id="0"/>
      <w:r>
        <w:fldChar w:fldCharType="begin"/>
      </w:r>
      <w:r>
        <w:instrText xml:space="preserve"> TITLE   \* MERGEFORMAT </w:instrText>
      </w:r>
      <w:r>
        <w:fldChar w:fldCharType="separate"/>
      </w:r>
      <w:r>
        <w:t>HLTAHW508B Develop a healing framework for social and emotional well being work</w:t>
      </w:r>
      <w:r>
        <w:fldChar w:fldCharType="end"/>
      </w:r>
    </w:p>
    <w:p w:rsidR="006C4D12" w:rsidP="006C4D12">
      <w:pPr>
        <w:pStyle w:val="Version"/>
        <w:sectPr w:rsidSect="009F32D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F32D5" w:rsidP="009F32D5">
      <w:pPr>
        <w:pStyle w:val="SuperHeading"/>
      </w:pPr>
      <w:r w:rsidRPr="009F32D5">
        <w:t>HLTAHW508B Develop a healing framework for social and emotional well being work</w:t>
      </w:r>
    </w:p>
    <w:p w:rsidR="00000000" w:rsidRPr="009F32D5" w:rsidP="009F32D5">
      <w:pPr>
        <w:pStyle w:val="Heading1"/>
      </w:pPr>
      <w:bookmarkStart w:id="1" w:name="O_270946"/>
      <w:bookmarkEnd w:id="1"/>
      <w:r w:rsidRPr="009F32D5">
        <w:t>Modification History</w:t>
      </w:r>
    </w:p>
    <w:p w:rsidR="00000000" w:rsidRPr="009F32D5" w:rsidP="009F32D5">
      <w:pPr>
        <w:pStyle w:val="BodyText"/>
      </w:pPr>
      <w:r w:rsidRPr="009F32D5">
        <w:t>Not Applicable</w:t>
      </w:r>
    </w:p>
    <w:p w:rsidR="00000000" w:rsidRPr="009F32D5" w:rsidP="009F32D5">
      <w:pPr>
        <w:pStyle w:val="AllowPageBreak"/>
      </w:pPr>
    </w:p>
    <w:p w:rsidR="00000000" w:rsidRPr="009F32D5" w:rsidP="009F32D5">
      <w:pPr>
        <w:pStyle w:val="Heading1"/>
      </w:pPr>
      <w:bookmarkStart w:id="2" w:name="O_205099"/>
      <w:bookmarkEnd w:id="2"/>
      <w:r w:rsidRPr="009F32D5">
        <w:t>Unit Descriptor</w:t>
      </w:r>
    </w:p>
    <w:tbl>
      <w:tblPr>
        <w:tblW w:w="0" w:type="auto"/>
        <w:tblLayout w:type="fixed"/>
        <w:tblCellMar>
          <w:left w:w="62" w:type="dxa"/>
          <w:right w:w="62" w:type="dxa"/>
        </w:tblCellMar>
        <w:tblLook w:val="0000"/>
      </w:tblPr>
      <w:tblGrid>
        <w:gridCol w:w="3265"/>
        <w:gridCol w:w="5291"/>
      </w:tblGrid>
      <w:tr w:rsidTr="006C4D12">
        <w:tblPrEx>
          <w:tblW w:w="0" w:type="auto"/>
          <w:tblLayout w:type="fixed"/>
          <w:tblCellMar>
            <w:left w:w="62" w:type="dxa"/>
            <w:right w:w="62" w:type="dxa"/>
          </w:tblCellMar>
          <w:tblLook w:val="0000"/>
        </w:tblPrEx>
        <w:trPr>
          <w:tblHeader/>
        </w:trPr>
        <w:tc>
          <w:tcPr>
            <w:tcW w:w="3265" w:type="dxa"/>
            <w:tcBorders>
              <w:top w:val="nil"/>
              <w:left w:val="nil"/>
              <w:bottom w:val="nil"/>
              <w:right w:val="nil"/>
            </w:tcBorders>
            <w:tcMar>
              <w:top w:w="0" w:type="dxa"/>
              <w:left w:w="62" w:type="dxa"/>
              <w:bottom w:w="0" w:type="dxa"/>
              <w:right w:w="62" w:type="dxa"/>
            </w:tcMar>
          </w:tcPr>
          <w:p w:rsidR="00000000" w:rsidP="009F32D5">
            <w:pPr>
              <w:pStyle w:val="BodyText"/>
              <w:rPr>
                <w:lang w:val="en-NZ"/>
              </w:rPr>
            </w:pPr>
            <w:r w:rsidRPr="009F32D5">
              <w:rPr>
                <w:rStyle w:val="SpecialBold"/>
              </w:rPr>
              <w:t>U</w:t>
            </w:r>
            <w:r w:rsidRPr="009F32D5">
              <w:rPr>
                <w:rStyle w:val="SpecialBold"/>
              </w:rPr>
              <w:t>nit Descriptor</w:t>
            </w:r>
          </w:p>
        </w:tc>
        <w:tc>
          <w:tcPr>
            <w:tcW w:w="5291" w:type="dxa"/>
            <w:tcBorders>
              <w:top w:val="nil"/>
              <w:left w:val="nil"/>
              <w:bottom w:val="nil"/>
              <w:right w:val="nil"/>
            </w:tcBorders>
            <w:tcMar>
              <w:top w:w="0" w:type="dxa"/>
              <w:left w:w="62" w:type="dxa"/>
              <w:bottom w:w="0" w:type="dxa"/>
              <w:right w:w="62" w:type="dxa"/>
            </w:tcMar>
          </w:tcPr>
          <w:p w:rsidR="00000000" w:rsidRPr="009F32D5" w:rsidP="009F32D5">
            <w:pPr>
              <w:pStyle w:val="BodyText"/>
            </w:pPr>
            <w:r w:rsidRPr="009F32D5">
              <w:t>This unit describes the skills and knowledge required for SEWB Workers to begin their own healing journey to assist them to better understand and empathise with clients</w:t>
            </w:r>
          </w:p>
        </w:tc>
      </w:tr>
    </w:tbl>
    <w:p w:rsidR="006C4D12" w:rsidP="009F32D5">
      <w:pPr>
        <w:pStyle w:val="BodyText"/>
      </w:pPr>
    </w:p>
    <w:p w:rsidR="006C4D12" w:rsidP="009F32D5">
      <w:pPr>
        <w:pStyle w:val="BodyText"/>
      </w:pPr>
    </w:p>
    <w:p w:rsidR="00000000" w:rsidRPr="009F32D5" w:rsidP="009F32D5">
      <w:pPr>
        <w:pStyle w:val="Heading1"/>
      </w:pPr>
      <w:bookmarkStart w:id="3" w:name="O_205101"/>
      <w:bookmarkEnd w:id="3"/>
      <w:r w:rsidRPr="009F32D5">
        <w:t>Application of the Unit</w:t>
      </w:r>
    </w:p>
    <w:tbl>
      <w:tblPr>
        <w:tblW w:w="0" w:type="auto"/>
        <w:tblLayout w:type="fixed"/>
        <w:tblCellMar>
          <w:left w:w="62" w:type="dxa"/>
          <w:right w:w="62" w:type="dxa"/>
        </w:tblCellMar>
        <w:tblLook w:val="0000"/>
      </w:tblPr>
      <w:tblGrid>
        <w:gridCol w:w="3341"/>
        <w:gridCol w:w="5215"/>
      </w:tblGrid>
      <w:tr w:rsidTr="006C4D12">
        <w:tblPrEx>
          <w:tblW w:w="0" w:type="auto"/>
          <w:tblLayout w:type="fixed"/>
          <w:tblCellMar>
            <w:left w:w="62" w:type="dxa"/>
            <w:right w:w="62" w:type="dxa"/>
          </w:tblCellMar>
          <w:tblLook w:val="0000"/>
        </w:tblPrEx>
        <w:trPr>
          <w:tblHeader/>
        </w:trPr>
        <w:tc>
          <w:tcPr>
            <w:tcW w:w="3341" w:type="dxa"/>
            <w:tcBorders>
              <w:top w:val="nil"/>
              <w:left w:val="nil"/>
              <w:bottom w:val="nil"/>
              <w:right w:val="nil"/>
            </w:tcBorders>
            <w:tcMar>
              <w:top w:w="0" w:type="dxa"/>
              <w:left w:w="62" w:type="dxa"/>
              <w:bottom w:w="0" w:type="dxa"/>
              <w:right w:w="62" w:type="dxa"/>
            </w:tcMar>
          </w:tcPr>
          <w:p w:rsidR="00000000" w:rsidP="009F32D5">
            <w:pPr>
              <w:pStyle w:val="BodyText"/>
              <w:rPr>
                <w:lang w:val="en-NZ"/>
              </w:rPr>
            </w:pPr>
            <w:r w:rsidRPr="009F32D5">
              <w:rPr>
                <w:rStyle w:val="SpecialBold"/>
              </w:rPr>
              <w:t>Application</w:t>
            </w:r>
          </w:p>
        </w:tc>
        <w:tc>
          <w:tcPr>
            <w:tcW w:w="5215" w:type="dxa"/>
            <w:tcBorders>
              <w:top w:val="nil"/>
              <w:left w:val="nil"/>
              <w:bottom w:val="nil"/>
              <w:right w:val="nil"/>
            </w:tcBorders>
            <w:tcMar>
              <w:top w:w="0" w:type="dxa"/>
              <w:left w:w="62" w:type="dxa"/>
              <w:bottom w:w="0" w:type="dxa"/>
              <w:right w:w="62" w:type="dxa"/>
            </w:tcMar>
          </w:tcPr>
          <w:p w:rsidR="00000000" w:rsidRPr="009F32D5" w:rsidP="009F32D5">
            <w:pPr>
              <w:pStyle w:val="BodyText"/>
            </w:pPr>
            <w:r w:rsidRPr="009F32D5">
              <w:t>Aboriginal and/or Torres Strait Islander SEWB workers who undertake their own healing are equipped with skills and knowledge that provide a basis for better understanding the healing process and an increased awareness of their own issues and limitations</w:t>
            </w:r>
          </w:p>
        </w:tc>
      </w:tr>
    </w:tbl>
    <w:p w:rsidR="006C4D12" w:rsidP="009F32D5">
      <w:pPr>
        <w:pStyle w:val="BodyText"/>
      </w:pPr>
    </w:p>
    <w:p w:rsidR="006C4D12" w:rsidP="009F32D5">
      <w:pPr>
        <w:pStyle w:val="BodyText"/>
      </w:pPr>
    </w:p>
    <w:p w:rsidR="00000000" w:rsidRPr="009F32D5" w:rsidP="009F32D5">
      <w:pPr>
        <w:pStyle w:val="Heading1"/>
      </w:pPr>
      <w:bookmarkStart w:id="4" w:name="O_279206"/>
      <w:bookmarkEnd w:id="4"/>
      <w:r w:rsidRPr="009F32D5">
        <w:t>Licensing/Regulatory Information</w:t>
      </w:r>
    </w:p>
    <w:p w:rsidR="00000000" w:rsidRPr="009F32D5" w:rsidP="009F32D5">
      <w:pPr>
        <w:pStyle w:val="BodyText"/>
      </w:pPr>
      <w:r w:rsidRPr="009F32D5">
        <w:t>Not Applicable</w:t>
      </w:r>
    </w:p>
    <w:p w:rsidR="00000000" w:rsidRPr="009F32D5" w:rsidP="009F32D5">
      <w:pPr>
        <w:pStyle w:val="AllowPageBreak"/>
      </w:pPr>
    </w:p>
    <w:p w:rsidR="00000000" w:rsidRPr="009F32D5" w:rsidP="009F32D5">
      <w:pPr>
        <w:pStyle w:val="Heading1"/>
      </w:pPr>
      <w:bookmarkStart w:id="5" w:name="O_283991"/>
      <w:bookmarkEnd w:id="5"/>
      <w:r w:rsidRPr="009F32D5">
        <w:t>Pre-Requisites</w:t>
      </w:r>
    </w:p>
    <w:p w:rsidR="00000000" w:rsidRPr="009F32D5" w:rsidP="009F32D5">
      <w:pPr>
        <w:pStyle w:val="BodyText"/>
      </w:pPr>
      <w:r w:rsidRPr="009F32D5">
        <w:t>Not Applicable</w:t>
      </w:r>
    </w:p>
    <w:p w:rsidR="00000000" w:rsidRPr="009F32D5" w:rsidP="009F32D5">
      <w:pPr>
        <w:pStyle w:val="AllowPageBreak"/>
      </w:pPr>
    </w:p>
    <w:p w:rsidR="00000000" w:rsidRPr="009F32D5" w:rsidP="009F32D5">
      <w:pPr>
        <w:pStyle w:val="Heading1"/>
      </w:pPr>
      <w:bookmarkStart w:id="6" w:name="O_205100"/>
      <w:bookmarkEnd w:id="6"/>
      <w:r w:rsidRPr="009F32D5">
        <w:t>Employability Skills Information</w:t>
      </w:r>
    </w:p>
    <w:tbl>
      <w:tblPr>
        <w:tblW w:w="0" w:type="auto"/>
        <w:tblLayout w:type="fixed"/>
        <w:tblCellMar>
          <w:left w:w="62" w:type="dxa"/>
          <w:right w:w="62" w:type="dxa"/>
        </w:tblCellMar>
        <w:tblLook w:val="0000"/>
      </w:tblPr>
      <w:tblGrid>
        <w:gridCol w:w="3320"/>
        <w:gridCol w:w="5236"/>
      </w:tblGrid>
      <w:tr w:rsidTr="006C4D12">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9F32D5">
            <w:pPr>
              <w:pStyle w:val="BodyText"/>
              <w:rPr>
                <w:lang w:val="en-NZ"/>
              </w:rPr>
            </w:pPr>
            <w:r w:rsidRPr="009F32D5">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9F32D5" w:rsidP="009F32D5">
            <w:pPr>
              <w:pStyle w:val="BodyText"/>
            </w:pPr>
            <w:r w:rsidRPr="009F32D5">
              <w:t>This unit contains Employability Skills</w:t>
            </w:r>
          </w:p>
        </w:tc>
      </w:tr>
    </w:tbl>
    <w:p w:rsidR="006C4D12" w:rsidP="009F32D5">
      <w:pPr>
        <w:pStyle w:val="BodyText"/>
      </w:pPr>
    </w:p>
    <w:p w:rsidR="006C4D12" w:rsidP="009F32D5">
      <w:pPr>
        <w:pStyle w:val="BodyText"/>
      </w:pPr>
    </w:p>
    <w:p w:rsidR="00000000" w:rsidRPr="009F32D5" w:rsidP="009F32D5">
      <w:pPr>
        <w:pStyle w:val="Heading1"/>
      </w:pPr>
      <w:bookmarkStart w:id="7" w:name="O_288992"/>
      <w:bookmarkEnd w:id="7"/>
      <w:r w:rsidRPr="009F32D5">
        <w:t>Elements and Performance Criteria Pre-Content</w:t>
      </w:r>
    </w:p>
    <w:tbl>
      <w:tblPr>
        <w:tblW w:w="0" w:type="auto"/>
        <w:tblLayout w:type="fixed"/>
        <w:tblCellMar>
          <w:left w:w="62" w:type="dxa"/>
          <w:right w:w="62" w:type="dxa"/>
        </w:tblCellMar>
        <w:tblLook w:val="0000"/>
      </w:tblPr>
      <w:tblGrid>
        <w:gridCol w:w="3369"/>
        <w:gridCol w:w="5702"/>
      </w:tblGrid>
      <w:tr w:rsidTr="006C4D1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F32D5">
            <w:pPr>
              <w:pStyle w:val="BodyText"/>
              <w:rPr>
                <w:lang w:val="en-NZ"/>
              </w:rPr>
            </w:pPr>
            <w:r w:rsidRPr="009F32D5">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9F32D5" w:rsidP="009F32D5">
            <w:pPr>
              <w:pStyle w:val="BodyText"/>
            </w:pPr>
            <w:r w:rsidRPr="009F32D5">
              <w:t>The Performance Criteria specify the level of performance required to demonstrate achievement of the Element. Terms in italics are elaborated in t</w:t>
            </w:r>
            <w:r w:rsidRPr="009F32D5">
              <w:t xml:space="preserve">he Range Statement. </w:t>
            </w:r>
          </w:p>
        </w:tc>
      </w:tr>
    </w:tbl>
    <w:p w:rsidR="00000000" w:rsidRPr="009F32D5" w:rsidP="009F32D5">
      <w:pPr>
        <w:pStyle w:val="BodyText"/>
      </w:pPr>
    </w:p>
    <w:p w:rsidR="00000000" w:rsidRPr="009F32D5" w:rsidP="009F32D5">
      <w:pPr>
        <w:pStyle w:val="AllowPageBreak"/>
      </w:pPr>
    </w:p>
    <w:p w:rsidR="00000000" w:rsidRPr="009F32D5" w:rsidP="009F32D5">
      <w:pPr>
        <w:pStyle w:val="Heading1"/>
      </w:pPr>
      <w:bookmarkStart w:id="8" w:name="O_235659"/>
      <w:bookmarkEnd w:id="8"/>
      <w:r w:rsidRPr="009F32D5">
        <w:t>Elements and Performance Criteria</w:t>
      </w:r>
    </w:p>
    <w:tbl>
      <w:tblPr>
        <w:tblW w:w="0" w:type="auto"/>
        <w:tblLayout w:type="fixed"/>
        <w:tblCellMar>
          <w:left w:w="62" w:type="dxa"/>
          <w:right w:w="62" w:type="dxa"/>
        </w:tblCellMar>
        <w:tblLook w:val="0000"/>
      </w:tblPr>
      <w:tblGrid>
        <w:gridCol w:w="3369"/>
        <w:gridCol w:w="5702"/>
      </w:tblGrid>
      <w:tr w:rsidTr="006C4D12">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9F32D5" w:rsidP="009F32D5">
            <w:pPr>
              <w:pStyle w:val="BodyText"/>
            </w:pPr>
            <w:r w:rsidRPr="009F32D5">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9F32D5">
            <w:pPr>
              <w:pStyle w:val="BodyText"/>
              <w:rPr>
                <w:lang w:val="en-NZ"/>
              </w:rPr>
            </w:pPr>
            <w:r w:rsidRPr="009F32D5">
              <w:rPr>
                <w:rStyle w:val="SpecialBold"/>
              </w:rPr>
              <w:t>PERFORMANCE CRITERIA</w:t>
            </w:r>
          </w:p>
        </w:tc>
      </w:tr>
      <w:tr w:rsidTr="006C4D1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F32D5">
            <w:pPr>
              <w:pStyle w:val="List"/>
              <w:rPr>
                <w:lang w:val="en-NZ"/>
              </w:rPr>
            </w:pPr>
            <w:r w:rsidRPr="009F32D5">
              <w:t>1.</w:t>
            </w:r>
            <w:r w:rsidRPr="009F32D5">
              <w:tab/>
              <w:t xml:space="preserve">Participate in a </w:t>
            </w:r>
            <w:r w:rsidRPr="009F32D5">
              <w:rPr>
                <w:rStyle w:val="Emphasis"/>
              </w:rPr>
              <w:t>facilitated group healing process</w:t>
            </w:r>
          </w:p>
        </w:tc>
        <w:tc>
          <w:tcPr>
            <w:tcW w:w="5702" w:type="dxa"/>
            <w:tcBorders>
              <w:top w:val="nil"/>
              <w:left w:val="nil"/>
              <w:bottom w:val="nil"/>
              <w:right w:val="nil"/>
            </w:tcBorders>
            <w:tcMar>
              <w:top w:w="0" w:type="dxa"/>
              <w:left w:w="62" w:type="dxa"/>
              <w:bottom w:w="0" w:type="dxa"/>
              <w:right w:w="62" w:type="dxa"/>
            </w:tcMar>
          </w:tcPr>
          <w:p w:rsidR="00000000" w:rsidRPr="009F32D5" w:rsidP="009F32D5">
            <w:pPr>
              <w:pStyle w:val="BodyText"/>
            </w:pPr>
            <w:r w:rsidRPr="009F32D5">
              <w:t>1.1</w:t>
            </w:r>
            <w:r w:rsidRPr="009F32D5">
              <w:tab/>
            </w:r>
            <w:r w:rsidRPr="009F32D5">
              <w:t>Develop and agree to rules for participation in a healing group as part of a group, ensuring safety, confidentiality and cultural security during and after the process</w:t>
            </w:r>
          </w:p>
          <w:p w:rsidR="00000000" w:rsidRPr="009F32D5" w:rsidP="009F32D5">
            <w:pPr>
              <w:pStyle w:val="BodyText"/>
            </w:pPr>
            <w:r w:rsidRPr="009F32D5">
              <w:t>1.2</w:t>
            </w:r>
            <w:r w:rsidRPr="009F32D5">
              <w:tab/>
              <w:t>Practise verbal and non-verbal communication skills within the group</w:t>
            </w:r>
          </w:p>
          <w:p w:rsidR="00000000" w:rsidRPr="009F32D5" w:rsidP="009F32D5">
            <w:pPr>
              <w:pStyle w:val="BodyText"/>
            </w:pPr>
            <w:r w:rsidRPr="009F32D5">
              <w:t>1.3</w:t>
            </w:r>
            <w:r w:rsidRPr="009F32D5">
              <w:tab/>
              <w:t>Practise se</w:t>
            </w:r>
            <w:r w:rsidRPr="009F32D5">
              <w:t xml:space="preserve">lf reflection and record key issues </w:t>
            </w:r>
          </w:p>
          <w:p w:rsidR="00000000" w:rsidRPr="009F32D5" w:rsidP="009F32D5">
            <w:pPr>
              <w:pStyle w:val="BodyText"/>
            </w:pPr>
            <w:r w:rsidRPr="009F32D5">
              <w:t>1.4</w:t>
            </w:r>
            <w:r w:rsidRPr="009F32D5">
              <w:tab/>
              <w:t xml:space="preserve">Disclose self selected </w:t>
            </w:r>
            <w:r w:rsidRPr="009F32D5">
              <w:rPr>
                <w:rStyle w:val="Emphasis"/>
              </w:rPr>
              <w:t>past emotional influences</w:t>
            </w:r>
            <w:r w:rsidRPr="009F32D5">
              <w:t xml:space="preserve"> with the group involved in the healing process and relate to the present situation and potential future issues</w:t>
            </w:r>
          </w:p>
          <w:p w:rsidR="00000000" w:rsidP="009F32D5">
            <w:pPr>
              <w:pStyle w:val="BodyText"/>
              <w:rPr>
                <w:lang w:val="en-NZ"/>
              </w:rPr>
            </w:pPr>
            <w:r w:rsidRPr="009F32D5">
              <w:t>1.5</w:t>
            </w:r>
            <w:r w:rsidRPr="009F32D5">
              <w:tab/>
              <w:t>Examine trans-generational trauma with the group us</w:t>
            </w:r>
            <w:r w:rsidRPr="009F32D5">
              <w:t xml:space="preserve">ing appropriate techniques </w:t>
            </w:r>
          </w:p>
        </w:tc>
      </w:tr>
      <w:tr w:rsidTr="006C4D1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9F32D5">
            <w:pPr>
              <w:pStyle w:val="BodyText"/>
              <w:rPr>
                <w:lang w:val="en-NZ"/>
              </w:rPr>
            </w:pPr>
          </w:p>
        </w:tc>
      </w:tr>
      <w:tr w:rsidTr="006C4D1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F32D5">
            <w:pPr>
              <w:pStyle w:val="List"/>
              <w:rPr>
                <w:lang w:val="en-NZ"/>
              </w:rPr>
            </w:pPr>
            <w:r w:rsidRPr="009F32D5">
              <w:t>2.</w:t>
            </w:r>
            <w:r w:rsidRPr="009F32D5">
              <w:tab/>
              <w:t>Observe local cultural traditions and practice</w:t>
            </w:r>
          </w:p>
        </w:tc>
        <w:tc>
          <w:tcPr>
            <w:tcW w:w="5702" w:type="dxa"/>
            <w:tcBorders>
              <w:top w:val="nil"/>
              <w:left w:val="nil"/>
              <w:bottom w:val="nil"/>
              <w:right w:val="nil"/>
            </w:tcBorders>
            <w:tcMar>
              <w:top w:w="0" w:type="dxa"/>
              <w:left w:w="62" w:type="dxa"/>
              <w:bottom w:w="0" w:type="dxa"/>
              <w:right w:w="62" w:type="dxa"/>
            </w:tcMar>
          </w:tcPr>
          <w:p w:rsidR="00000000" w:rsidRPr="009F32D5" w:rsidP="009F32D5">
            <w:pPr>
              <w:pStyle w:val="BodyText"/>
            </w:pPr>
            <w:r w:rsidRPr="009F32D5">
              <w:t>2.1</w:t>
            </w:r>
            <w:r w:rsidRPr="009F32D5">
              <w:tab/>
              <w:t>Acknowledge traditional ownership of the land and seek permission to allow the healing process to take place on the land</w:t>
            </w:r>
          </w:p>
          <w:p w:rsidR="00000000" w:rsidRPr="009F32D5" w:rsidP="009F32D5">
            <w:pPr>
              <w:pStyle w:val="BodyText"/>
            </w:pPr>
            <w:r w:rsidRPr="009F32D5">
              <w:t>2.2</w:t>
            </w:r>
            <w:r w:rsidRPr="009F32D5">
              <w:tab/>
            </w:r>
            <w:r w:rsidRPr="009F32D5">
              <w:t>Recognise the presence of traditional land owners in the healing process, including their role in the spiritual aspects of the healing process</w:t>
            </w:r>
          </w:p>
          <w:p w:rsidR="00000000" w:rsidRPr="009F32D5" w:rsidP="009F32D5">
            <w:pPr>
              <w:pStyle w:val="BodyText"/>
            </w:pPr>
            <w:r w:rsidRPr="009F32D5">
              <w:t>2.3</w:t>
            </w:r>
            <w:r w:rsidRPr="009F32D5">
              <w:tab/>
              <w:t>Clarify local kinship structures, roles and obligations through discussion with elders</w:t>
            </w:r>
          </w:p>
          <w:p w:rsidR="00000000" w:rsidRPr="009F32D5" w:rsidP="009F32D5">
            <w:pPr>
              <w:pStyle w:val="BodyText"/>
            </w:pPr>
            <w:r w:rsidRPr="009F32D5">
              <w:t>2.4</w:t>
            </w:r>
            <w:r w:rsidRPr="009F32D5">
              <w:tab/>
              <w:t>Acknowledge the im</w:t>
            </w:r>
            <w:r w:rsidRPr="009F32D5">
              <w:t>portance of the support processes of extended families in preparation for healing and in undergoing a healing process</w:t>
            </w:r>
          </w:p>
          <w:p w:rsidR="00000000" w:rsidRPr="009F32D5" w:rsidP="009F32D5">
            <w:pPr>
              <w:pStyle w:val="BodyText"/>
            </w:pPr>
            <w:r w:rsidRPr="009F32D5">
              <w:t>2.5</w:t>
            </w:r>
            <w:r w:rsidRPr="009F32D5">
              <w:tab/>
              <w:t xml:space="preserve">Discuss cultural grieving processes </w:t>
            </w:r>
          </w:p>
          <w:p w:rsidR="00000000" w:rsidP="009F32D5">
            <w:pPr>
              <w:pStyle w:val="BodyText"/>
              <w:rPr>
                <w:lang w:val="en-NZ"/>
              </w:rPr>
            </w:pPr>
            <w:r w:rsidRPr="009F32D5">
              <w:t>2.6</w:t>
            </w:r>
            <w:r w:rsidRPr="009F32D5">
              <w:tab/>
              <w:t>Support self-expression and healing through art, dancing, storytelling, singing and/or painti</w:t>
            </w:r>
            <w:r w:rsidRPr="009F32D5">
              <w:t>ng</w:t>
            </w:r>
          </w:p>
        </w:tc>
      </w:tr>
      <w:tr w:rsidTr="006C4D1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9F32D5" w:rsidP="009F32D5">
            <w:pPr>
              <w:pStyle w:val="BodyText"/>
            </w:pPr>
          </w:p>
        </w:tc>
      </w:tr>
    </w:tbl>
    <w:p w:rsidR="006C4D12" w:rsidP="009F32D5">
      <w:pPr>
        <w:pStyle w:val="BodyText"/>
      </w:pPr>
    </w:p>
    <w:p w:rsidR="006C4D12" w:rsidP="009F32D5">
      <w:pPr>
        <w:pStyle w:val="BodyText"/>
      </w:pPr>
    </w:p>
    <w:p w:rsidR="00000000" w:rsidRPr="009F32D5" w:rsidP="009F32D5">
      <w:pPr>
        <w:pStyle w:val="Heading1"/>
      </w:pPr>
      <w:bookmarkStart w:id="9" w:name="O_259609"/>
      <w:bookmarkEnd w:id="9"/>
      <w:r w:rsidRPr="009F32D5">
        <w:t>Required Skills and Knowledge</w:t>
      </w:r>
    </w:p>
    <w:tbl>
      <w:tblPr>
        <w:tblW w:w="0" w:type="auto"/>
        <w:tblLayout w:type="fixed"/>
        <w:tblCellMar>
          <w:left w:w="62" w:type="dxa"/>
          <w:right w:w="62" w:type="dxa"/>
        </w:tblCellMar>
        <w:tblLook w:val="0000"/>
      </w:tblPr>
      <w:tblGrid>
        <w:gridCol w:w="9072"/>
      </w:tblGrid>
      <w:tr w:rsidTr="006C4D12">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9F32D5">
            <w:pPr>
              <w:pStyle w:val="BodyText"/>
              <w:rPr>
                <w:lang w:val="en-NZ"/>
              </w:rPr>
            </w:pPr>
            <w:r w:rsidRPr="009F32D5">
              <w:rPr>
                <w:rStyle w:val="SpecialBold"/>
              </w:rPr>
              <w:t>REQUIRED SKILLS AND KNOWLEDGE</w:t>
            </w:r>
          </w:p>
        </w:tc>
      </w:tr>
      <w:tr w:rsidTr="006C4D1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F32D5">
            <w:pPr>
              <w:pStyle w:val="BodyText"/>
              <w:rPr>
                <w:lang w:val="en-NZ"/>
              </w:rPr>
            </w:pPr>
          </w:p>
        </w:tc>
      </w:tr>
      <w:tr w:rsidTr="006C4D1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F32D5">
            <w:pPr>
              <w:pStyle w:val="BodyText"/>
              <w:rPr>
                <w:lang w:val="en-NZ"/>
              </w:rPr>
            </w:pPr>
            <w:r w:rsidRPr="009F32D5">
              <w:t>This describes the essential skills and knowledge and their level required for this unit.</w:t>
            </w:r>
          </w:p>
        </w:tc>
      </w:tr>
      <w:tr w:rsidTr="006C4D1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F32D5">
            <w:pPr>
              <w:pStyle w:val="BodyText"/>
              <w:rPr>
                <w:lang w:val="en-NZ"/>
              </w:rPr>
            </w:pPr>
          </w:p>
        </w:tc>
      </w:tr>
      <w:tr w:rsidTr="006C4D1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9F32D5" w:rsidP="009F32D5">
            <w:pPr>
              <w:pStyle w:val="BodyText"/>
            </w:pPr>
            <w:r w:rsidRPr="009F32D5">
              <w:rPr>
                <w:rStyle w:val="Emphasis"/>
              </w:rPr>
              <w:t>Essential knowledge</w:t>
            </w:r>
            <w:r w:rsidRPr="009F32D5">
              <w:t>:</w:t>
            </w:r>
          </w:p>
          <w:p w:rsidR="00000000" w:rsidRPr="009F32D5" w:rsidP="009F32D5">
            <w:pPr>
              <w:pStyle w:val="BodyText"/>
            </w:pPr>
            <w:r w:rsidRPr="009F32D5">
              <w:t>The candidate m</w:t>
            </w:r>
            <w:r w:rsidRPr="009F32D5">
              <w:t>ust be able to demonstrate essential knowledge required to effectively do the task outlined in elements and performance criteria of this unit, manage the task and manage contingencies in the context of the identified work role</w:t>
            </w:r>
          </w:p>
          <w:p w:rsidR="00000000" w:rsidRPr="009F32D5" w:rsidP="009F32D5">
            <w:pPr>
              <w:pStyle w:val="BodyText"/>
            </w:pPr>
            <w:r w:rsidRPr="009F32D5">
              <w:t>This includes knowledge of:</w:t>
            </w:r>
          </w:p>
          <w:p w:rsidR="00000000" w:rsidRPr="009F32D5" w:rsidP="009F32D5">
            <w:pPr>
              <w:pStyle w:val="ListBullet"/>
            </w:pPr>
            <w:r w:rsidRPr="009F32D5">
              <w:t>C</w:t>
            </w:r>
            <w:r w:rsidRPr="009F32D5">
              <w:t xml:space="preserve">ommunication </w:t>
            </w:r>
          </w:p>
          <w:p w:rsidR="00000000" w:rsidRPr="009F32D5" w:rsidP="009F32D5">
            <w:pPr>
              <w:pStyle w:val="ListBullet"/>
            </w:pPr>
            <w:r w:rsidRPr="009F32D5">
              <w:t>Story telling therapies</w:t>
            </w:r>
          </w:p>
          <w:p w:rsidR="00000000" w:rsidRPr="009F32D5" w:rsidP="009F32D5">
            <w:pPr>
              <w:pStyle w:val="ListBullet"/>
            </w:pPr>
            <w:r w:rsidRPr="009F32D5">
              <w:t>Male&amp;female perspectives</w:t>
            </w:r>
          </w:p>
          <w:p w:rsidR="00000000" w:rsidRPr="009F32D5" w:rsidP="009F32D5">
            <w:pPr>
              <w:pStyle w:val="ListBullet"/>
            </w:pPr>
            <w:r w:rsidRPr="009F32D5">
              <w:t>Trans-generational trauma</w:t>
            </w:r>
          </w:p>
          <w:p w:rsidR="00000000" w:rsidRPr="009F32D5" w:rsidP="009F32D5">
            <w:pPr>
              <w:pStyle w:val="ListBullet"/>
            </w:pPr>
            <w:r w:rsidRPr="009F32D5">
              <w:t>Story maps</w:t>
            </w:r>
          </w:p>
          <w:p w:rsidR="00000000" w:rsidRPr="009F32D5" w:rsidP="009F32D5">
            <w:pPr>
              <w:pStyle w:val="ListBullet"/>
            </w:pPr>
            <w:r w:rsidRPr="009F32D5">
              <w:t>Alternative therapies - art, music</w:t>
            </w:r>
          </w:p>
          <w:p w:rsidR="00000000" w:rsidRPr="009F32D5" w:rsidP="009F32D5">
            <w:pPr>
              <w:pStyle w:val="ListBullet"/>
            </w:pPr>
            <w:r w:rsidRPr="009F32D5">
              <w:t>Professional boundaries</w:t>
            </w:r>
          </w:p>
          <w:p w:rsidR="00000000" w:rsidRPr="009F32D5" w:rsidP="009F32D5">
            <w:pPr>
              <w:pStyle w:val="ListBullet"/>
            </w:pPr>
            <w:r w:rsidRPr="009F32D5">
              <w:t>Referral processes</w:t>
            </w:r>
          </w:p>
          <w:p w:rsidR="00000000" w:rsidRPr="009F32D5" w:rsidP="009F32D5">
            <w:pPr>
              <w:pStyle w:val="ListBullet"/>
            </w:pPr>
            <w:r w:rsidRPr="009F32D5">
              <w:t>Joint counselling techniques</w:t>
            </w:r>
          </w:p>
          <w:p w:rsidR="00000000" w:rsidRPr="009F32D5" w:rsidP="009F32D5">
            <w:pPr>
              <w:pStyle w:val="ListBullet"/>
            </w:pPr>
            <w:r w:rsidRPr="009F32D5">
              <w:t>Local language, culture&amp;practices</w:t>
            </w:r>
          </w:p>
          <w:p w:rsidR="00000000" w:rsidP="009F32D5">
            <w:pPr>
              <w:pStyle w:val="ListBullet"/>
              <w:rPr>
                <w:lang w:val="en-NZ"/>
              </w:rPr>
            </w:pPr>
            <w:r w:rsidRPr="009F32D5">
              <w:t>Self healing journey processes</w:t>
            </w:r>
          </w:p>
        </w:tc>
      </w:tr>
      <w:tr w:rsidTr="006C4D1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F32D5">
            <w:pPr>
              <w:pStyle w:val="BodyText"/>
              <w:rPr>
                <w:lang w:val="en-NZ"/>
              </w:rPr>
            </w:pPr>
          </w:p>
        </w:tc>
      </w:tr>
      <w:tr w:rsidTr="006C4D1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9F32D5" w:rsidP="009F32D5">
            <w:pPr>
              <w:pStyle w:val="BodyText"/>
            </w:pPr>
            <w:r w:rsidRPr="009F32D5">
              <w:rPr>
                <w:rStyle w:val="Emphasis"/>
              </w:rPr>
              <w:t>Essential skills</w:t>
            </w:r>
            <w:r w:rsidRPr="009F32D5">
              <w:t>:</w:t>
            </w:r>
          </w:p>
          <w:p w:rsidR="00000000" w:rsidRPr="009F32D5" w:rsidP="009F32D5">
            <w:pPr>
              <w:pStyle w:val="BodyText"/>
            </w:pPr>
            <w:r w:rsidRPr="009F32D5">
              <w:t>It is critical that the candidate demonstrate the ability to:</w:t>
            </w:r>
          </w:p>
          <w:p w:rsidR="00000000" w:rsidRPr="009F32D5" w:rsidP="009F32D5">
            <w:pPr>
              <w:pStyle w:val="ListBullet"/>
            </w:pPr>
            <w:r w:rsidRPr="009F32D5">
              <w:t xml:space="preserve">Use appropriate verbal and non-verbal communication to understand and support self and others within the context of a healing process </w:t>
            </w:r>
          </w:p>
          <w:p w:rsidR="00000000" w:rsidRPr="009F32D5" w:rsidP="009F32D5">
            <w:pPr>
              <w:pStyle w:val="ListBullet"/>
            </w:pPr>
            <w:r w:rsidRPr="009F32D5">
              <w:t>Apply s</w:t>
            </w:r>
            <w:r w:rsidRPr="009F32D5">
              <w:t>elf reflection practices and disclosure to facilitate a healing process for self and others</w:t>
            </w:r>
          </w:p>
          <w:p w:rsidR="00000000" w:rsidRPr="009F32D5" w:rsidP="009F32D5">
            <w:pPr>
              <w:pStyle w:val="ListBullet"/>
            </w:pPr>
            <w:r w:rsidRPr="009F32D5">
              <w:t>Acknowledge and clarify the contribution of traditional roles, structures and processes to the healing process</w:t>
            </w:r>
          </w:p>
          <w:p w:rsidR="00000000" w:rsidRPr="009F32D5" w:rsidP="009F32D5">
            <w:pPr>
              <w:pStyle w:val="ListBullet"/>
            </w:pPr>
            <w:r w:rsidRPr="009F32D5">
              <w:t>Use appropriate techniques to support the healing pro</w:t>
            </w:r>
            <w:r w:rsidRPr="009F32D5">
              <w:t>cess through self-expression</w:t>
            </w:r>
          </w:p>
          <w:p w:rsidR="00000000" w:rsidRPr="009F32D5" w:rsidP="009F32D5">
            <w:pPr>
              <w:pStyle w:val="BodyText"/>
            </w:pPr>
          </w:p>
          <w:p w:rsidR="00000000" w:rsidRPr="009F32D5" w:rsidP="009F32D5">
            <w:pPr>
              <w:pStyle w:val="BodyText"/>
            </w:pPr>
            <w:r w:rsidRPr="009F32D5">
              <w:t>In addition, the candidate must be able to effectively do the task outlined in elements and performance criteria of this unit, manage the task and manage contingencies in the context of the identified work role</w:t>
            </w:r>
          </w:p>
          <w:p w:rsidR="00000000" w:rsidRPr="009F32D5" w:rsidP="009F32D5">
            <w:pPr>
              <w:pStyle w:val="BodyText"/>
            </w:pPr>
            <w:r w:rsidRPr="009F32D5">
              <w:t>This includes t</w:t>
            </w:r>
            <w:r w:rsidRPr="009F32D5">
              <w:t>he ability to apply skills in:</w:t>
            </w:r>
          </w:p>
          <w:p w:rsidR="00000000" w:rsidRPr="009F32D5" w:rsidP="009F32D5">
            <w:pPr>
              <w:pStyle w:val="ListBullet"/>
            </w:pPr>
            <w:r w:rsidRPr="009F32D5">
              <w:t>Communication</w:t>
            </w:r>
          </w:p>
          <w:p w:rsidR="00000000" w:rsidRPr="009F32D5" w:rsidP="009F32D5">
            <w:pPr>
              <w:pStyle w:val="ListBullet"/>
            </w:pPr>
            <w:r w:rsidRPr="009F32D5">
              <w:t>Sharing</w:t>
            </w:r>
          </w:p>
          <w:p w:rsidR="00000000" w:rsidRPr="009F32D5" w:rsidP="009F32D5">
            <w:pPr>
              <w:pStyle w:val="ListBullet"/>
            </w:pPr>
            <w:r w:rsidRPr="009F32D5">
              <w:t>Keeping a journal</w:t>
            </w:r>
          </w:p>
          <w:p w:rsidR="00000000" w:rsidRPr="009F32D5" w:rsidP="009F32D5">
            <w:pPr>
              <w:pStyle w:val="ListBullet"/>
            </w:pPr>
            <w:r w:rsidRPr="009F32D5">
              <w:t>Referral</w:t>
            </w:r>
          </w:p>
          <w:p w:rsidR="00000000" w:rsidRPr="009F32D5" w:rsidP="009F32D5">
            <w:pPr>
              <w:pStyle w:val="ListBullet"/>
            </w:pPr>
            <w:r w:rsidRPr="009F32D5">
              <w:t>Self healing/self reflection</w:t>
            </w:r>
          </w:p>
        </w:tc>
      </w:tr>
    </w:tbl>
    <w:p w:rsidR="006C4D12" w:rsidP="009F32D5">
      <w:pPr>
        <w:pStyle w:val="BodyText"/>
      </w:pPr>
    </w:p>
    <w:p w:rsidR="006C4D12" w:rsidP="009F32D5">
      <w:pPr>
        <w:pStyle w:val="BodyText"/>
      </w:pPr>
    </w:p>
    <w:p w:rsidR="00000000" w:rsidRPr="009F32D5" w:rsidP="009F32D5">
      <w:pPr>
        <w:pStyle w:val="Heading1"/>
      </w:pPr>
      <w:bookmarkStart w:id="10" w:name="O_243643"/>
      <w:bookmarkEnd w:id="10"/>
      <w:r w:rsidRPr="009F32D5">
        <w:t>Evidence Guide</w:t>
      </w:r>
    </w:p>
    <w:tbl>
      <w:tblPr>
        <w:tblW w:w="0" w:type="auto"/>
        <w:tblLayout w:type="fixed"/>
        <w:tblCellMar>
          <w:left w:w="62" w:type="dxa"/>
          <w:right w:w="62" w:type="dxa"/>
        </w:tblCellMar>
        <w:tblLook w:val="0000"/>
      </w:tblPr>
      <w:tblGrid>
        <w:gridCol w:w="3402"/>
        <w:gridCol w:w="5670"/>
      </w:tblGrid>
      <w:tr w:rsidTr="006C4D12">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9F32D5">
            <w:pPr>
              <w:pStyle w:val="BodyText"/>
              <w:rPr>
                <w:lang w:val="en-NZ"/>
              </w:rPr>
            </w:pPr>
            <w:r w:rsidRPr="009F32D5">
              <w:rPr>
                <w:rStyle w:val="SpecialBold"/>
              </w:rPr>
              <w:t>EVIDENCE GUIDE</w:t>
            </w:r>
          </w:p>
        </w:tc>
      </w:tr>
      <w:tr w:rsidTr="006C4D1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F32D5">
            <w:pPr>
              <w:pStyle w:val="BodyText"/>
              <w:rPr>
                <w:lang w:val="en-NZ"/>
              </w:rPr>
            </w:pPr>
          </w:p>
        </w:tc>
      </w:tr>
      <w:tr w:rsidTr="006C4D1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F32D5">
            <w:pPr>
              <w:pStyle w:val="BodyText"/>
              <w:rPr>
                <w:lang w:val="en-NZ"/>
              </w:rPr>
            </w:pPr>
            <w:r w:rsidRPr="009F32D5">
              <w:t>The evidence guide provides advice on assessment and must be read in conjunction with the Performance Criteria, Required Skills and Knowledge, the Range Statement and the Assessment Guidelines for this Training Package.</w:t>
            </w:r>
          </w:p>
        </w:tc>
      </w:tr>
      <w:tr w:rsidTr="006C4D1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F32D5">
            <w:pPr>
              <w:pStyle w:val="BodyText"/>
              <w:rPr>
                <w:lang w:val="en-NZ"/>
              </w:rPr>
            </w:pPr>
          </w:p>
        </w:tc>
      </w:tr>
      <w:tr w:rsidTr="006C4D1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F32D5">
            <w:pPr>
              <w:pStyle w:val="BodyText"/>
              <w:rPr>
                <w:lang w:val="en-NZ"/>
              </w:rPr>
            </w:pPr>
            <w:r w:rsidRPr="009F32D5">
              <w:rPr>
                <w:rStyle w:val="Emphasis"/>
              </w:rPr>
              <w:t>Critical aspects of assessment</w:t>
            </w:r>
            <w:r w:rsidRPr="009F32D5">
              <w:t>:</w:t>
            </w:r>
          </w:p>
        </w:tc>
        <w:tc>
          <w:tcPr>
            <w:tcW w:w="5670" w:type="dxa"/>
            <w:tcBorders>
              <w:top w:val="nil"/>
              <w:left w:val="nil"/>
              <w:bottom w:val="nil"/>
              <w:right w:val="nil"/>
            </w:tcBorders>
            <w:tcMar>
              <w:top w:w="0" w:type="dxa"/>
              <w:left w:w="62" w:type="dxa"/>
              <w:bottom w:w="0" w:type="dxa"/>
              <w:right w:w="62" w:type="dxa"/>
            </w:tcMar>
          </w:tcPr>
          <w:p w:rsidR="00000000" w:rsidRPr="009F32D5" w:rsidP="009F32D5">
            <w:pPr>
              <w:pStyle w:val="ListBullet"/>
            </w:pPr>
            <w:r w:rsidRPr="009F32D5">
              <w:t>The individual being assessed must provide evidence of specified essential knowledge as well as skills</w:t>
            </w:r>
          </w:p>
          <w:p w:rsidR="00000000" w:rsidRPr="009F32D5" w:rsidP="009F32D5">
            <w:pPr>
              <w:pStyle w:val="ListBullet"/>
            </w:pPr>
            <w:r w:rsidRPr="009F32D5">
              <w:t>Consistency of performance should be demonstrated over the required range of situations relevant to the workplace</w:t>
            </w:r>
          </w:p>
          <w:p w:rsidR="00000000" w:rsidP="009F32D5">
            <w:pPr>
              <w:pStyle w:val="ListBullet"/>
              <w:rPr>
                <w:lang w:val="en-NZ"/>
              </w:rPr>
            </w:pPr>
            <w:r w:rsidRPr="009F32D5">
              <w:t>Where, for reasons of safety, space, o</w:t>
            </w:r>
            <w:r w:rsidRPr="009F32D5">
              <w:t>r access to equipment and resources, assessment takes place away from the workplace, the assessment environment should represent workplace conditions as closely as possible</w:t>
            </w:r>
          </w:p>
        </w:tc>
      </w:tr>
      <w:tr w:rsidTr="006C4D1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F32D5">
            <w:pPr>
              <w:pStyle w:val="BodyText"/>
              <w:rPr>
                <w:lang w:val="en-NZ"/>
              </w:rPr>
            </w:pPr>
          </w:p>
        </w:tc>
      </w:tr>
      <w:tr w:rsidTr="006C4D1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F32D5">
            <w:pPr>
              <w:pStyle w:val="BodyText"/>
              <w:rPr>
                <w:lang w:val="en-NZ"/>
              </w:rPr>
            </w:pPr>
            <w:r w:rsidRPr="009F32D5">
              <w:rPr>
                <w:rStyle w:val="Emphasis"/>
              </w:rPr>
              <w:t>Resource implications</w:t>
            </w:r>
            <w:r w:rsidRPr="009F32D5">
              <w:t>:</w:t>
            </w:r>
          </w:p>
        </w:tc>
        <w:tc>
          <w:tcPr>
            <w:tcW w:w="5670" w:type="dxa"/>
            <w:tcBorders>
              <w:top w:val="nil"/>
              <w:left w:val="nil"/>
              <w:bottom w:val="nil"/>
              <w:right w:val="nil"/>
            </w:tcBorders>
            <w:tcMar>
              <w:top w:w="0" w:type="dxa"/>
              <w:left w:w="62" w:type="dxa"/>
              <w:bottom w:w="0" w:type="dxa"/>
              <w:right w:w="62" w:type="dxa"/>
            </w:tcMar>
          </w:tcPr>
          <w:p w:rsidR="00000000" w:rsidRPr="009F32D5" w:rsidP="009F32D5">
            <w:pPr>
              <w:pStyle w:val="ListBullet"/>
            </w:pPr>
            <w:r w:rsidRPr="009F32D5">
              <w:t>To deliver and assess in this unit it is</w:t>
            </w:r>
            <w:r w:rsidRPr="009F32D5">
              <w:t xml:space="preserve"> essential that the trainer/assessor have special skills in group therapy and facilitation, with particular experience and expertise in working with and empathy for Aboriginal and/or Torres Strait Islander people in community settings</w:t>
            </w:r>
          </w:p>
          <w:p w:rsidR="00000000" w:rsidP="009F32D5">
            <w:pPr>
              <w:pStyle w:val="ListBullet"/>
              <w:rPr>
                <w:lang w:val="en-NZ"/>
              </w:rPr>
            </w:pPr>
            <w:r w:rsidRPr="009F32D5">
              <w:t>It is essential for t</w:t>
            </w:r>
            <w:r w:rsidRPr="009F32D5">
              <w:t>he delivery of this unit that back up counselling arrangements for unexpected or unusual traumas are arranged and made available</w:t>
            </w:r>
          </w:p>
        </w:tc>
      </w:tr>
      <w:tr w:rsidTr="006C4D1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F32D5">
            <w:pPr>
              <w:pStyle w:val="BodyText"/>
              <w:rPr>
                <w:lang w:val="en-NZ"/>
              </w:rPr>
            </w:pPr>
          </w:p>
        </w:tc>
      </w:tr>
      <w:tr w:rsidTr="006C4D1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F32D5">
            <w:pPr>
              <w:pStyle w:val="BodyText"/>
              <w:rPr>
                <w:lang w:val="en-NZ"/>
              </w:rPr>
            </w:pPr>
            <w:r w:rsidRPr="009F32D5">
              <w:rPr>
                <w:rStyle w:val="Emphasis"/>
              </w:rPr>
              <w:t>Conditions of assessment</w:t>
            </w:r>
            <w:r w:rsidRPr="009F32D5">
              <w:t>:</w:t>
            </w:r>
          </w:p>
        </w:tc>
        <w:tc>
          <w:tcPr>
            <w:tcW w:w="5670" w:type="dxa"/>
            <w:tcBorders>
              <w:top w:val="nil"/>
              <w:left w:val="nil"/>
              <w:bottom w:val="nil"/>
              <w:right w:val="nil"/>
            </w:tcBorders>
            <w:tcMar>
              <w:top w:w="0" w:type="dxa"/>
              <w:left w:w="62" w:type="dxa"/>
              <w:bottom w:w="0" w:type="dxa"/>
              <w:right w:w="62" w:type="dxa"/>
            </w:tcMar>
          </w:tcPr>
          <w:p w:rsidR="00000000" w:rsidRPr="009F32D5" w:rsidP="009F32D5">
            <w:pPr>
              <w:pStyle w:val="BodyText"/>
            </w:pPr>
            <w:r w:rsidRPr="009F32D5">
              <w:t>This unit includes skills and knowledge specific to Aboriginal and/or Torres Strait Islander cult</w:t>
            </w:r>
            <w:r w:rsidRPr="009F32D5">
              <w:t>ure</w:t>
            </w:r>
          </w:p>
          <w:p w:rsidR="00000000" w:rsidRPr="009F32D5" w:rsidP="009F32D5">
            <w:pPr>
              <w:pStyle w:val="BodyText"/>
            </w:pPr>
            <w:r w:rsidRPr="009F32D5">
              <w:t>Assessment must therefore be undertaken by a workplace assessor who has expertise in the unit of competency or who has the current qualification being assessed and who is:</w:t>
            </w:r>
          </w:p>
          <w:p w:rsidR="00000000" w:rsidRPr="009F32D5" w:rsidP="009F32D5">
            <w:pPr>
              <w:pStyle w:val="ListBullet2"/>
            </w:pPr>
            <w:r w:rsidRPr="009F32D5">
              <w:t>Aboriginal or Torres Strait Islander him/herself</w:t>
            </w:r>
          </w:p>
          <w:p w:rsidR="00000000" w:rsidRPr="009F32D5" w:rsidP="009F32D5">
            <w:pPr>
              <w:pStyle w:val="BodyText"/>
            </w:pPr>
            <w:r w:rsidRPr="009F32D5">
              <w:t>or:</w:t>
            </w:r>
          </w:p>
          <w:p w:rsidR="00000000" w:rsidRPr="009F32D5" w:rsidP="009F32D5">
            <w:pPr>
              <w:pStyle w:val="ListBullet2"/>
            </w:pPr>
            <w:r w:rsidRPr="009F32D5">
              <w:t>accompanied and advised by an Aboriginal or Torres Strait Islander person who is a recognised member of the community with experience in primary health care</w:t>
            </w:r>
          </w:p>
          <w:p w:rsidR="00000000" w:rsidP="009F32D5">
            <w:pPr>
              <w:pStyle w:val="BodyText"/>
              <w:rPr>
                <w:lang w:val="en-NZ"/>
              </w:rPr>
            </w:pPr>
            <w:r w:rsidRPr="009F32D5">
              <w:t xml:space="preserve">It is critical that in assessing this unit, consideration is given to the sensitive nature of some </w:t>
            </w:r>
            <w:r w:rsidRPr="009F32D5">
              <w:t>aspects of the unit, particularly as they apply to Aboriginal and/or Torres Strait Islander history and culture</w:t>
            </w:r>
          </w:p>
        </w:tc>
      </w:tr>
      <w:tr w:rsidTr="006C4D1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F32D5">
            <w:pPr>
              <w:pStyle w:val="BodyText"/>
              <w:rPr>
                <w:lang w:val="en-NZ"/>
              </w:rPr>
            </w:pPr>
          </w:p>
        </w:tc>
      </w:tr>
      <w:tr w:rsidTr="006C4D1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F32D5">
            <w:pPr>
              <w:pStyle w:val="BodyText"/>
              <w:rPr>
                <w:lang w:val="en-NZ"/>
              </w:rPr>
            </w:pPr>
            <w:r w:rsidRPr="009F32D5">
              <w:rPr>
                <w:rStyle w:val="Emphasis"/>
              </w:rPr>
              <w:t>Method of assessment</w:t>
            </w:r>
            <w:r w:rsidRPr="009F32D5">
              <w:t>:</w:t>
            </w:r>
          </w:p>
        </w:tc>
        <w:tc>
          <w:tcPr>
            <w:tcW w:w="5670" w:type="dxa"/>
            <w:tcBorders>
              <w:top w:val="nil"/>
              <w:left w:val="nil"/>
              <w:bottom w:val="nil"/>
              <w:right w:val="nil"/>
            </w:tcBorders>
            <w:tcMar>
              <w:top w:w="0" w:type="dxa"/>
              <w:left w:w="62" w:type="dxa"/>
              <w:bottom w:w="0" w:type="dxa"/>
              <w:right w:w="62" w:type="dxa"/>
            </w:tcMar>
          </w:tcPr>
          <w:p w:rsidR="00000000" w:rsidP="009F32D5">
            <w:pPr>
              <w:pStyle w:val="BodyText"/>
              <w:rPr>
                <w:lang w:val="en-NZ"/>
              </w:rPr>
            </w:pPr>
            <w:r w:rsidRPr="009F32D5">
              <w:t>Assessment methods should be sensitive to emotional reactions of individuals being assessed, and it is highly recommen</w:t>
            </w:r>
            <w:r w:rsidRPr="009F32D5">
              <w:t>ded that access be made available as required to support, such as counselling in social and emotional well being</w:t>
            </w:r>
          </w:p>
        </w:tc>
      </w:tr>
      <w:tr w:rsidTr="006C4D1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F32D5">
            <w:pPr>
              <w:pStyle w:val="BodyText"/>
              <w:rPr>
                <w:lang w:val="en-NZ"/>
              </w:rPr>
            </w:pPr>
          </w:p>
        </w:tc>
      </w:tr>
      <w:tr w:rsidTr="006C4D1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F32D5">
            <w:pPr>
              <w:pStyle w:val="BodyText"/>
              <w:rPr>
                <w:lang w:val="en-NZ"/>
              </w:rPr>
            </w:pPr>
            <w:r w:rsidRPr="009F32D5">
              <w:rPr>
                <w:rStyle w:val="Emphasis"/>
              </w:rPr>
              <w:t>Context of assessment</w:t>
            </w:r>
            <w:r w:rsidRPr="009F32D5">
              <w:t>:</w:t>
            </w:r>
          </w:p>
        </w:tc>
        <w:tc>
          <w:tcPr>
            <w:tcW w:w="5670" w:type="dxa"/>
            <w:tcBorders>
              <w:top w:val="nil"/>
              <w:left w:val="nil"/>
              <w:bottom w:val="nil"/>
              <w:right w:val="nil"/>
            </w:tcBorders>
            <w:tcMar>
              <w:top w:w="0" w:type="dxa"/>
              <w:left w:w="62" w:type="dxa"/>
              <w:bottom w:w="0" w:type="dxa"/>
              <w:right w:w="62" w:type="dxa"/>
            </w:tcMar>
          </w:tcPr>
          <w:p w:rsidR="00000000" w:rsidRPr="009F32D5" w:rsidP="009F32D5">
            <w:pPr>
              <w:pStyle w:val="ListBullet"/>
            </w:pPr>
            <w:r w:rsidRPr="009F32D5">
              <w:t xml:space="preserve">A bush/residential setting is preferred for delivery of this </w:t>
            </w:r>
            <w:r w:rsidRPr="009F32D5">
              <w:t>competency to ensure that the participants are able to complete, or work with their colleagues to support their completion of, a healing journey away from external influences such as work or home (though with sufficient proximity to their home to enable th</w:t>
            </w:r>
            <w:r w:rsidRPr="009F32D5">
              <w:t>em to deal with emergencies that may arise)</w:t>
            </w:r>
          </w:p>
          <w:p w:rsidR="00000000" w:rsidP="009F32D5">
            <w:pPr>
              <w:pStyle w:val="ListBullet"/>
              <w:rPr>
                <w:lang w:val="en-NZ"/>
              </w:rPr>
            </w:pPr>
            <w:r w:rsidRPr="009F32D5">
              <w:t>The setting will also enable the participants to appreciate and acknowledge the cultural practices and healing of the traditional landowners and traditional healers in the appropriate context</w:t>
            </w:r>
          </w:p>
        </w:tc>
      </w:tr>
      <w:tr w:rsidTr="006C4D1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F32D5">
            <w:pPr>
              <w:pStyle w:val="BodyText"/>
              <w:rPr>
                <w:lang w:val="en-NZ"/>
              </w:rPr>
            </w:pPr>
          </w:p>
        </w:tc>
      </w:tr>
      <w:tr w:rsidTr="006C4D1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F32D5">
            <w:pPr>
              <w:pStyle w:val="BodyText"/>
              <w:rPr>
                <w:lang w:val="en-NZ"/>
              </w:rPr>
            </w:pPr>
            <w:r w:rsidRPr="009F32D5">
              <w:rPr>
                <w:rStyle w:val="Emphasis"/>
              </w:rPr>
              <w:t>Related units</w:t>
            </w:r>
            <w:r w:rsidRPr="009F32D5">
              <w:t>:</w:t>
            </w:r>
          </w:p>
        </w:tc>
        <w:tc>
          <w:tcPr>
            <w:tcW w:w="5670" w:type="dxa"/>
            <w:tcBorders>
              <w:top w:val="nil"/>
              <w:left w:val="nil"/>
              <w:bottom w:val="nil"/>
              <w:right w:val="nil"/>
            </w:tcBorders>
            <w:tcMar>
              <w:top w:w="0" w:type="dxa"/>
              <w:left w:w="62" w:type="dxa"/>
              <w:bottom w:w="0" w:type="dxa"/>
              <w:right w:w="62" w:type="dxa"/>
            </w:tcMar>
          </w:tcPr>
          <w:p w:rsidR="00000000" w:rsidP="009F32D5">
            <w:pPr>
              <w:pStyle w:val="BodyText"/>
              <w:rPr>
                <w:lang w:val="en-NZ"/>
              </w:rPr>
            </w:pPr>
            <w:r w:rsidRPr="009F32D5">
              <w:t>T</w:t>
            </w:r>
            <w:r w:rsidRPr="009F32D5">
              <w:t>his unit may be assessed independently or in conjunction with other units with associated workplace application</w:t>
            </w:r>
          </w:p>
        </w:tc>
      </w:tr>
      <w:tr w:rsidTr="006C4D1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9F32D5" w:rsidP="009F32D5">
            <w:pPr>
              <w:pStyle w:val="BodyText"/>
            </w:pPr>
          </w:p>
        </w:tc>
      </w:tr>
    </w:tbl>
    <w:p w:rsidR="006C4D12" w:rsidP="009F32D5">
      <w:pPr>
        <w:pStyle w:val="BodyText"/>
      </w:pPr>
    </w:p>
    <w:p w:rsidR="006C4D12" w:rsidP="009F32D5">
      <w:pPr>
        <w:pStyle w:val="BodyText"/>
      </w:pPr>
    </w:p>
    <w:p w:rsidR="00000000" w:rsidRPr="009F32D5" w:rsidP="009F32D5">
      <w:pPr>
        <w:pStyle w:val="Heading1"/>
      </w:pPr>
      <w:bookmarkStart w:id="11" w:name="O_251626"/>
      <w:bookmarkEnd w:id="11"/>
      <w:r w:rsidRPr="009F32D5">
        <w:t>Range Statement</w:t>
      </w:r>
    </w:p>
    <w:tbl>
      <w:tblPr>
        <w:tblW w:w="0" w:type="auto"/>
        <w:tblLayout w:type="fixed"/>
        <w:tblCellMar>
          <w:left w:w="62" w:type="dxa"/>
          <w:right w:w="62" w:type="dxa"/>
        </w:tblCellMar>
        <w:tblLook w:val="0000"/>
      </w:tblPr>
      <w:tblGrid>
        <w:gridCol w:w="3402"/>
        <w:gridCol w:w="5670"/>
      </w:tblGrid>
      <w:tr w:rsidTr="006C4D12">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9F32D5">
            <w:pPr>
              <w:pStyle w:val="BodyText"/>
              <w:rPr>
                <w:lang w:val="en-NZ"/>
              </w:rPr>
            </w:pPr>
            <w:r w:rsidRPr="009F32D5">
              <w:rPr>
                <w:rStyle w:val="SpecialBold"/>
              </w:rPr>
              <w:t>RANGE STATEMENT</w:t>
            </w:r>
          </w:p>
        </w:tc>
      </w:tr>
      <w:tr w:rsidTr="006C4D1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F32D5">
            <w:pPr>
              <w:pStyle w:val="BodyText"/>
              <w:rPr>
                <w:lang w:val="en-NZ"/>
              </w:rPr>
            </w:pPr>
          </w:p>
        </w:tc>
      </w:tr>
      <w:tr w:rsidTr="006C4D1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F32D5">
            <w:pPr>
              <w:pStyle w:val="BodyText"/>
              <w:rPr>
                <w:lang w:val="en-NZ"/>
              </w:rPr>
            </w:pPr>
            <w:r w:rsidRPr="009F32D5">
              <w:t>The Range Statement relates to the unit of competency as a whole. It allows for different work environments and situations that may affect performance. Add any essential operating conditions that may be present with training and assessment depending on the</w:t>
            </w:r>
            <w:r w:rsidRPr="009F32D5">
              <w:t xml:space="preserve"> work situation, needs of the candidate, accessibility of the item, and local industry and regional contexts.</w:t>
            </w:r>
          </w:p>
        </w:tc>
      </w:tr>
      <w:tr w:rsidTr="006C4D1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F32D5">
            <w:pPr>
              <w:pStyle w:val="BodyText"/>
              <w:rPr>
                <w:lang w:val="en-NZ"/>
              </w:rPr>
            </w:pPr>
          </w:p>
        </w:tc>
      </w:tr>
      <w:tr w:rsidTr="006C4D1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F32D5">
            <w:pPr>
              <w:pStyle w:val="BodyText"/>
              <w:rPr>
                <w:lang w:val="en-NZ"/>
              </w:rPr>
            </w:pPr>
            <w:r w:rsidRPr="009F32D5">
              <w:rPr>
                <w:rStyle w:val="Emphasis"/>
              </w:rPr>
              <w:t>Cultural Respect</w:t>
            </w:r>
          </w:p>
        </w:tc>
        <w:tc>
          <w:tcPr>
            <w:tcW w:w="5670" w:type="dxa"/>
            <w:tcBorders>
              <w:top w:val="nil"/>
              <w:left w:val="nil"/>
              <w:bottom w:val="nil"/>
              <w:right w:val="nil"/>
            </w:tcBorders>
            <w:tcMar>
              <w:top w:w="0" w:type="dxa"/>
              <w:left w:w="62" w:type="dxa"/>
              <w:bottom w:w="0" w:type="dxa"/>
              <w:right w:w="62" w:type="dxa"/>
            </w:tcMar>
          </w:tcPr>
          <w:p w:rsidR="00000000" w:rsidRPr="009F32D5" w:rsidP="009F32D5">
            <w:pPr>
              <w:pStyle w:val="BodyText"/>
            </w:pPr>
            <w:r w:rsidRPr="009F32D5">
              <w:t>This competency standard supports the recognition, protection and continued advancement of the inherent rights, cultures and traditions of Aboriginal and Torres Strait Islander peoples</w:t>
            </w:r>
          </w:p>
          <w:p w:rsidR="00000000" w:rsidRPr="009F32D5" w:rsidP="009F32D5">
            <w:pPr>
              <w:pStyle w:val="BodyText"/>
            </w:pPr>
            <w:r w:rsidRPr="009F32D5">
              <w:t>It recognises that the improvement of the health status of Aboriginal a</w:t>
            </w:r>
            <w:r w:rsidRPr="009F32D5">
              <w:t>nd Torres Strait Islander people must include attention to physical, spiritual, cultural, emotional and social well being, community capacity and governance</w:t>
            </w:r>
          </w:p>
          <w:p w:rsidR="00000000" w:rsidP="009F32D5">
            <w:pPr>
              <w:pStyle w:val="BodyText"/>
              <w:rPr>
                <w:lang w:val="en-NZ"/>
              </w:rPr>
            </w:pPr>
            <w:r w:rsidRPr="009F32D5">
              <w:t>Its application must be culturally sensitive and supportive of traditional healing and health, know</w:t>
            </w:r>
            <w:r w:rsidRPr="009F32D5">
              <w:t>ledge and practices</w:t>
            </w:r>
          </w:p>
        </w:tc>
      </w:tr>
      <w:tr w:rsidTr="006C4D1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F32D5">
            <w:pPr>
              <w:pStyle w:val="BodyText"/>
              <w:rPr>
                <w:lang w:val="en-NZ"/>
              </w:rPr>
            </w:pPr>
          </w:p>
        </w:tc>
      </w:tr>
      <w:tr w:rsidTr="006C4D1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F32D5">
            <w:pPr>
              <w:pStyle w:val="BodyText"/>
              <w:rPr>
                <w:lang w:val="en-NZ"/>
              </w:rPr>
            </w:pPr>
            <w:r w:rsidRPr="009F32D5">
              <w:rPr>
                <w:rStyle w:val="Emphasis"/>
              </w:rPr>
              <w:t>Community Control</w:t>
            </w:r>
          </w:p>
        </w:tc>
        <w:tc>
          <w:tcPr>
            <w:tcW w:w="5670" w:type="dxa"/>
            <w:tcBorders>
              <w:top w:val="nil"/>
              <w:left w:val="nil"/>
              <w:bottom w:val="nil"/>
              <w:right w:val="nil"/>
            </w:tcBorders>
            <w:tcMar>
              <w:top w:w="0" w:type="dxa"/>
              <w:left w:w="62" w:type="dxa"/>
              <w:bottom w:w="0" w:type="dxa"/>
              <w:right w:w="62" w:type="dxa"/>
            </w:tcMar>
          </w:tcPr>
          <w:p w:rsidR="00000000" w:rsidP="009F32D5">
            <w:pPr>
              <w:pStyle w:val="BodyText"/>
              <w:rPr>
                <w:lang w:val="en-NZ"/>
              </w:rPr>
            </w:pPr>
            <w:r w:rsidRPr="009F32D5">
              <w:t>Community participation and control in decision-making is essential to all aspects of health work, and the role of the health worker is to support the community in this process</w:t>
            </w:r>
          </w:p>
        </w:tc>
      </w:tr>
      <w:tr w:rsidTr="006C4D1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F32D5">
            <w:pPr>
              <w:pStyle w:val="BodyText"/>
              <w:rPr>
                <w:lang w:val="en-NZ"/>
              </w:rPr>
            </w:pPr>
          </w:p>
        </w:tc>
      </w:tr>
      <w:tr w:rsidTr="006C4D1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F32D5">
            <w:pPr>
              <w:pStyle w:val="BodyText"/>
              <w:rPr>
                <w:lang w:val="en-NZ"/>
              </w:rPr>
            </w:pPr>
            <w:r w:rsidRPr="009F32D5">
              <w:rPr>
                <w:rStyle w:val="Emphasis"/>
              </w:rPr>
              <w:t>Supervision</w:t>
            </w:r>
          </w:p>
        </w:tc>
        <w:tc>
          <w:tcPr>
            <w:tcW w:w="5670" w:type="dxa"/>
            <w:tcBorders>
              <w:top w:val="nil"/>
              <w:left w:val="nil"/>
              <w:bottom w:val="nil"/>
              <w:right w:val="nil"/>
            </w:tcBorders>
            <w:tcMar>
              <w:top w:w="0" w:type="dxa"/>
              <w:left w:w="62" w:type="dxa"/>
              <w:bottom w:w="0" w:type="dxa"/>
              <w:right w:w="62" w:type="dxa"/>
            </w:tcMar>
          </w:tcPr>
          <w:p w:rsidR="00000000" w:rsidRPr="009F32D5" w:rsidP="009F32D5">
            <w:pPr>
              <w:pStyle w:val="BodyText"/>
            </w:pPr>
            <w:r w:rsidRPr="009F32D5">
              <w:t>Supervision must be c</w:t>
            </w:r>
            <w:r w:rsidRPr="009F32D5">
              <w:t>onducted in accordance with prevailing State/Territory and organisation legislative and regulatory requirements</w:t>
            </w:r>
          </w:p>
          <w:p w:rsidR="00000000" w:rsidRPr="009F32D5" w:rsidP="009F32D5">
            <w:pPr>
              <w:pStyle w:val="BodyText"/>
            </w:pPr>
            <w:r w:rsidRPr="009F32D5">
              <w:t xml:space="preserve">References to supervision may include either direct or indirect supervision of work by more experienced workers, supervisors, managers or other </w:t>
            </w:r>
            <w:r w:rsidRPr="009F32D5">
              <w:t>health professionals</w:t>
            </w:r>
          </w:p>
          <w:p w:rsidR="00000000" w:rsidP="009F32D5">
            <w:pPr>
              <w:pStyle w:val="BodyText"/>
              <w:rPr>
                <w:lang w:val="en-NZ"/>
              </w:rPr>
            </w:pPr>
            <w:r w:rsidRPr="009F32D5">
              <w:t xml:space="preserve">A person at this level should </w:t>
            </w:r>
            <w:r w:rsidRPr="009F32D5">
              <w:rPr>
                <w:rStyle w:val="BoldandItalics"/>
              </w:rPr>
              <w:t>only</w:t>
            </w:r>
            <w:r w:rsidRPr="009F32D5">
              <w:t xml:space="preserve"> be required to make decisions about clients within the organisation's standard treatment protocols and associated guidelines</w:t>
            </w:r>
          </w:p>
        </w:tc>
      </w:tr>
      <w:tr w:rsidTr="006C4D1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F32D5">
            <w:pPr>
              <w:pStyle w:val="BodyText"/>
              <w:rPr>
                <w:lang w:val="en-NZ"/>
              </w:rPr>
            </w:pPr>
          </w:p>
        </w:tc>
      </w:tr>
      <w:tr w:rsidTr="006C4D1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F32D5">
            <w:pPr>
              <w:pStyle w:val="BodyText"/>
              <w:rPr>
                <w:lang w:val="en-NZ"/>
              </w:rPr>
            </w:pPr>
            <w:r w:rsidRPr="009F32D5">
              <w:rPr>
                <w:rStyle w:val="Emphasis"/>
              </w:rPr>
              <w:t>Legislative Requirements</w:t>
            </w:r>
          </w:p>
        </w:tc>
        <w:tc>
          <w:tcPr>
            <w:tcW w:w="5670" w:type="dxa"/>
            <w:tcBorders>
              <w:top w:val="nil"/>
              <w:left w:val="nil"/>
              <w:bottom w:val="nil"/>
              <w:right w:val="nil"/>
            </w:tcBorders>
            <w:tcMar>
              <w:top w:w="0" w:type="dxa"/>
              <w:left w:w="62" w:type="dxa"/>
              <w:bottom w:w="0" w:type="dxa"/>
              <w:right w:w="62" w:type="dxa"/>
            </w:tcMar>
          </w:tcPr>
          <w:p w:rsidR="00000000" w:rsidRPr="009F32D5" w:rsidP="009F32D5">
            <w:pPr>
              <w:pStyle w:val="BodyText"/>
            </w:pPr>
            <w:r w:rsidRPr="009F32D5">
              <w:t>Federal, State or Territory legislation may impact on workers' practices and responsibilities. Implementation of the competency standards should reflect the legislative framework in which a health worker operates. It is recognised that this may sometimes r</w:t>
            </w:r>
            <w:r w:rsidRPr="009F32D5">
              <w:t>educe the application of the Range of Variables in practice. However, assessment in the workplace or through simulation should address all essential skills and knowledge across the Range of Variables</w:t>
            </w:r>
          </w:p>
          <w:p w:rsidR="00000000" w:rsidRPr="009F32D5" w:rsidP="009F32D5">
            <w:pPr>
              <w:pStyle w:val="BodyText"/>
            </w:pPr>
            <w:r w:rsidRPr="009F32D5">
              <w:t xml:space="preserve">Aboriginal and/or Torres Strait Islander Health Workers </w:t>
            </w:r>
            <w:r w:rsidRPr="009F32D5">
              <w:t>may be required to operate in situations that do not constitute 'usual practice' due to lack of resources, remote locations and community needs. As a result, they may need to possess more competencies than described by 'usual practice circumstances'</w:t>
            </w:r>
          </w:p>
          <w:p w:rsidR="00000000" w:rsidP="009F32D5">
            <w:pPr>
              <w:pStyle w:val="BodyText"/>
              <w:rPr>
                <w:lang w:val="en-NZ"/>
              </w:rPr>
            </w:pPr>
            <w:r w:rsidRPr="009F32D5">
              <w:t xml:space="preserve">Under </w:t>
            </w:r>
            <w:r w:rsidRPr="009F32D5">
              <w:t>all circumstances, the employer must enable the worker to function within the prevailing legislative framework</w:t>
            </w:r>
          </w:p>
        </w:tc>
      </w:tr>
      <w:tr w:rsidTr="006C4D1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F32D5">
            <w:pPr>
              <w:pStyle w:val="BodyText"/>
              <w:rPr>
                <w:lang w:val="en-NZ"/>
              </w:rPr>
            </w:pPr>
          </w:p>
        </w:tc>
      </w:tr>
      <w:tr w:rsidTr="006C4D1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F32D5">
            <w:pPr>
              <w:pStyle w:val="BodyText"/>
              <w:rPr>
                <w:lang w:val="en-NZ"/>
              </w:rPr>
            </w:pPr>
            <w:r w:rsidRPr="009F32D5">
              <w:rPr>
                <w:rStyle w:val="Emphasis"/>
              </w:rPr>
              <w:t>A facilitated group healing process includes</w:t>
            </w:r>
            <w:r w:rsidRPr="009F32D5">
              <w:t>:</w:t>
            </w:r>
          </w:p>
        </w:tc>
        <w:tc>
          <w:tcPr>
            <w:tcW w:w="5670" w:type="dxa"/>
            <w:tcBorders>
              <w:top w:val="nil"/>
              <w:left w:val="nil"/>
              <w:bottom w:val="nil"/>
              <w:right w:val="nil"/>
            </w:tcBorders>
            <w:tcMar>
              <w:top w:w="0" w:type="dxa"/>
              <w:left w:w="62" w:type="dxa"/>
              <w:bottom w:w="0" w:type="dxa"/>
              <w:right w:w="62" w:type="dxa"/>
            </w:tcMar>
          </w:tcPr>
          <w:p w:rsidR="00000000" w:rsidRPr="009F32D5" w:rsidP="009F32D5">
            <w:pPr>
              <w:pStyle w:val="ListBullet"/>
            </w:pPr>
            <w:r w:rsidRPr="009F32D5">
              <w:t>Sharing self selected past emotional influences</w:t>
            </w:r>
          </w:p>
          <w:p w:rsidR="00000000" w:rsidRPr="009F32D5" w:rsidP="009F32D5">
            <w:pPr>
              <w:pStyle w:val="ListBullet"/>
            </w:pPr>
            <w:r w:rsidRPr="009F32D5">
              <w:t>Reflection</w:t>
            </w:r>
          </w:p>
          <w:p w:rsidR="00000000" w:rsidRPr="009F32D5" w:rsidP="009F32D5">
            <w:pPr>
              <w:pStyle w:val="ListBullet"/>
            </w:pPr>
            <w:r w:rsidRPr="009F32D5">
              <w:t>Emotional support</w:t>
            </w:r>
          </w:p>
          <w:p w:rsidR="00000000" w:rsidRPr="009F32D5" w:rsidP="009F32D5">
            <w:pPr>
              <w:pStyle w:val="ListBullet"/>
            </w:pPr>
            <w:r w:rsidRPr="009F32D5">
              <w:t>Confidentiality</w:t>
            </w:r>
          </w:p>
          <w:p w:rsidR="00000000" w:rsidRPr="009F32D5" w:rsidP="009F32D5">
            <w:pPr>
              <w:pStyle w:val="ListBullet"/>
            </w:pPr>
            <w:r w:rsidRPr="009F32D5">
              <w:t>Ex</w:t>
            </w:r>
            <w:r w:rsidRPr="009F32D5">
              <w:t>amination of trans-generational trauma</w:t>
            </w:r>
          </w:p>
          <w:p w:rsidR="00000000" w:rsidRPr="009F32D5" w:rsidP="009F32D5">
            <w:pPr>
              <w:pStyle w:val="ListBullet"/>
            </w:pPr>
            <w:r w:rsidRPr="009F32D5">
              <w:t>Self healing process</w:t>
            </w:r>
          </w:p>
          <w:p w:rsidR="00000000" w:rsidRPr="009F32D5" w:rsidP="009F32D5">
            <w:pPr>
              <w:pStyle w:val="ListBullet"/>
            </w:pPr>
            <w:r w:rsidRPr="009F32D5">
              <w:t>Different therapies and techniques, such as story telling, art therapy, local traditional therapies, family genograms, narrative therapy</w:t>
            </w:r>
          </w:p>
          <w:p w:rsidR="00000000" w:rsidRPr="009F32D5" w:rsidP="009F32D5">
            <w:pPr>
              <w:pStyle w:val="ListBullet"/>
            </w:pPr>
            <w:r w:rsidRPr="009F32D5">
              <w:t>Male and female perspectives</w:t>
            </w:r>
          </w:p>
          <w:p w:rsidR="00000000" w:rsidP="009F32D5">
            <w:pPr>
              <w:pStyle w:val="ListBullet"/>
              <w:rPr>
                <w:lang w:val="en-NZ"/>
              </w:rPr>
            </w:pPr>
            <w:r w:rsidRPr="009F32D5">
              <w:t>Local traditional healers and/</w:t>
            </w:r>
            <w:r w:rsidRPr="009F32D5">
              <w:t>or community elders</w:t>
            </w:r>
          </w:p>
        </w:tc>
      </w:tr>
      <w:tr w:rsidTr="006C4D1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F32D5">
            <w:pPr>
              <w:pStyle w:val="BodyText"/>
              <w:rPr>
                <w:lang w:val="en-NZ"/>
              </w:rPr>
            </w:pPr>
          </w:p>
        </w:tc>
      </w:tr>
      <w:tr w:rsidTr="006C4D1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F32D5">
            <w:pPr>
              <w:pStyle w:val="BodyText"/>
              <w:rPr>
                <w:lang w:val="en-NZ"/>
              </w:rPr>
            </w:pPr>
            <w:r w:rsidRPr="009F32D5">
              <w:rPr>
                <w:rStyle w:val="Emphasis"/>
              </w:rPr>
              <w:t>Past emotional influences may include</w:t>
            </w:r>
            <w:r w:rsidRPr="009F32D5">
              <w:t xml:space="preserve"> (</w:t>
            </w:r>
            <w:r w:rsidRPr="009F32D5">
              <w:rPr>
                <w:rStyle w:val="Emphasis"/>
              </w:rPr>
              <w:t>but not be limited to</w:t>
            </w:r>
            <w:r w:rsidRPr="009F32D5">
              <w:t>)</w:t>
            </w:r>
          </w:p>
        </w:tc>
        <w:tc>
          <w:tcPr>
            <w:tcW w:w="5670" w:type="dxa"/>
            <w:tcBorders>
              <w:top w:val="nil"/>
              <w:left w:val="nil"/>
              <w:bottom w:val="nil"/>
              <w:right w:val="nil"/>
            </w:tcBorders>
            <w:tcMar>
              <w:top w:w="0" w:type="dxa"/>
              <w:left w:w="62" w:type="dxa"/>
              <w:bottom w:w="0" w:type="dxa"/>
              <w:right w:w="62" w:type="dxa"/>
            </w:tcMar>
          </w:tcPr>
          <w:p w:rsidR="00000000" w:rsidRPr="009F32D5" w:rsidP="009F32D5">
            <w:pPr>
              <w:pStyle w:val="ListBullet"/>
            </w:pPr>
            <w:r w:rsidRPr="009F32D5">
              <w:t>Death/loss of a family member, friend or community member</w:t>
            </w:r>
          </w:p>
          <w:p w:rsidR="00000000" w:rsidRPr="009F32D5" w:rsidP="009F32D5">
            <w:pPr>
              <w:pStyle w:val="ListBullet"/>
            </w:pPr>
            <w:r w:rsidRPr="009F32D5">
              <w:t>Loss of a friend</w:t>
            </w:r>
          </w:p>
          <w:p w:rsidR="00000000" w:rsidRPr="009F32D5" w:rsidP="009F32D5">
            <w:pPr>
              <w:pStyle w:val="ListBullet"/>
            </w:pPr>
            <w:r w:rsidRPr="009F32D5">
              <w:t>Loss of country</w:t>
            </w:r>
          </w:p>
          <w:p w:rsidR="00000000" w:rsidRPr="009F32D5" w:rsidP="009F32D5">
            <w:pPr>
              <w:pStyle w:val="ListBullet"/>
            </w:pPr>
            <w:r w:rsidRPr="009F32D5">
              <w:t>Removal of a relative (stolen generations)</w:t>
            </w:r>
          </w:p>
          <w:p w:rsidR="00000000" w:rsidRPr="009F32D5" w:rsidP="009F32D5">
            <w:pPr>
              <w:pStyle w:val="ListBullet"/>
            </w:pPr>
            <w:r w:rsidRPr="009F32D5">
              <w:t>Removal of self from family</w:t>
            </w:r>
          </w:p>
          <w:p w:rsidR="00000000" w:rsidRPr="009F32D5" w:rsidP="009F32D5">
            <w:pPr>
              <w:pStyle w:val="ListBullet"/>
            </w:pPr>
            <w:r w:rsidRPr="009F32D5">
              <w:t>Birth of a child</w:t>
            </w:r>
          </w:p>
          <w:p w:rsidR="00000000" w:rsidRPr="009F32D5" w:rsidP="009F32D5">
            <w:pPr>
              <w:pStyle w:val="ListBullet"/>
            </w:pPr>
            <w:r w:rsidRPr="009F32D5">
              <w:t>End of a marriage/relationship (self or family)</w:t>
            </w:r>
          </w:p>
          <w:p w:rsidR="00000000" w:rsidRPr="009F32D5" w:rsidP="009F32D5">
            <w:pPr>
              <w:pStyle w:val="ListBullet"/>
            </w:pPr>
            <w:r w:rsidRPr="009F32D5">
              <w:t>Suicide or self harm of family member, friend, community member</w:t>
            </w:r>
          </w:p>
          <w:p w:rsidR="00000000" w:rsidRPr="009F32D5" w:rsidP="009F32D5">
            <w:pPr>
              <w:pStyle w:val="ListBullet"/>
            </w:pPr>
            <w:r w:rsidRPr="009F32D5">
              <w:t>Sexual assault, abuse of self, family member, community member, friend</w:t>
            </w:r>
          </w:p>
          <w:p w:rsidR="00000000" w:rsidRPr="009F32D5" w:rsidP="009F32D5">
            <w:pPr>
              <w:pStyle w:val="ListBullet"/>
            </w:pPr>
            <w:r w:rsidRPr="009F32D5">
              <w:t xml:space="preserve">Domestic/family violence </w:t>
            </w:r>
          </w:p>
          <w:p w:rsidR="00000000" w:rsidRPr="009F32D5" w:rsidP="009F32D5">
            <w:pPr>
              <w:pStyle w:val="ListBullet"/>
            </w:pPr>
            <w:r w:rsidRPr="009F32D5">
              <w:t>Loss of a job</w:t>
            </w:r>
          </w:p>
          <w:p w:rsidR="00000000" w:rsidP="009F32D5">
            <w:pPr>
              <w:pStyle w:val="ListBullet"/>
              <w:rPr>
                <w:lang w:val="en-NZ"/>
              </w:rPr>
            </w:pPr>
            <w:r w:rsidRPr="009F32D5">
              <w:t>Cultural issues</w:t>
            </w:r>
          </w:p>
        </w:tc>
      </w:tr>
      <w:tr w:rsidTr="006C4D1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F32D5">
            <w:pPr>
              <w:pStyle w:val="BodyText"/>
              <w:rPr>
                <w:lang w:val="en-NZ"/>
              </w:rPr>
            </w:pPr>
          </w:p>
        </w:tc>
      </w:tr>
      <w:tr w:rsidTr="006C4D1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F32D5">
            <w:pPr>
              <w:pStyle w:val="BodyText"/>
              <w:rPr>
                <w:lang w:val="en-NZ"/>
              </w:rPr>
            </w:pPr>
            <w:r w:rsidRPr="009F32D5">
              <w:rPr>
                <w:rStyle w:val="Emphasis"/>
              </w:rPr>
              <w:t>Process of acquisition of this competency unit must include</w:t>
            </w:r>
            <w:r w:rsidRPr="009F32D5">
              <w:t>:</w:t>
            </w:r>
          </w:p>
        </w:tc>
        <w:tc>
          <w:tcPr>
            <w:tcW w:w="5670" w:type="dxa"/>
            <w:tcBorders>
              <w:top w:val="nil"/>
              <w:left w:val="nil"/>
              <w:bottom w:val="nil"/>
              <w:right w:val="nil"/>
            </w:tcBorders>
            <w:tcMar>
              <w:top w:w="0" w:type="dxa"/>
              <w:left w:w="62" w:type="dxa"/>
              <w:bottom w:w="0" w:type="dxa"/>
              <w:right w:w="62" w:type="dxa"/>
            </w:tcMar>
          </w:tcPr>
          <w:p w:rsidR="00000000" w:rsidP="009F32D5">
            <w:pPr>
              <w:pStyle w:val="ListBullet"/>
              <w:rPr>
                <w:lang w:val="en-NZ"/>
              </w:rPr>
            </w:pPr>
            <w:r w:rsidRPr="009F32D5">
              <w:t xml:space="preserve">Support from counsellors (preferably Aboriginal and/or Torres Strait Islander) with appropriate experience in working with </w:t>
            </w:r>
            <w:r w:rsidRPr="009F32D5">
              <w:t>Aboriginal and/or Torres Strait Islander people to provide support where personal issues arise that require additional support or counselling</w:t>
            </w:r>
          </w:p>
        </w:tc>
      </w:tr>
      <w:tr w:rsidTr="006C4D1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F32D5">
            <w:pPr>
              <w:pStyle w:val="BodyText"/>
              <w:rPr>
                <w:lang w:val="en-NZ"/>
              </w:rPr>
            </w:pPr>
          </w:p>
        </w:tc>
      </w:tr>
      <w:tr w:rsidTr="006C4D1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F32D5">
            <w:pPr>
              <w:pStyle w:val="BodyText"/>
              <w:rPr>
                <w:lang w:val="en-NZ"/>
              </w:rPr>
            </w:pPr>
            <w:r w:rsidRPr="009F32D5">
              <w:rPr>
                <w:rStyle w:val="Emphasis"/>
              </w:rPr>
              <w:t>Additional support may be required from</w:t>
            </w:r>
            <w:r w:rsidRPr="009F32D5">
              <w:t>:</w:t>
            </w:r>
          </w:p>
        </w:tc>
        <w:tc>
          <w:tcPr>
            <w:tcW w:w="5670" w:type="dxa"/>
            <w:tcBorders>
              <w:top w:val="nil"/>
              <w:left w:val="nil"/>
              <w:bottom w:val="nil"/>
              <w:right w:val="nil"/>
            </w:tcBorders>
            <w:tcMar>
              <w:top w:w="0" w:type="dxa"/>
              <w:left w:w="62" w:type="dxa"/>
              <w:bottom w:w="0" w:type="dxa"/>
              <w:right w:w="62" w:type="dxa"/>
            </w:tcMar>
          </w:tcPr>
          <w:p w:rsidR="00000000" w:rsidRPr="009F32D5" w:rsidP="009F32D5">
            <w:pPr>
              <w:pStyle w:val="ListBullet"/>
            </w:pPr>
            <w:r w:rsidRPr="009F32D5">
              <w:t>Local community elders</w:t>
            </w:r>
          </w:p>
          <w:p w:rsidR="00000000" w:rsidRPr="009F32D5" w:rsidP="009F32D5">
            <w:pPr>
              <w:pStyle w:val="ListBullet"/>
            </w:pPr>
            <w:r w:rsidRPr="009F32D5">
              <w:t>Traditional healers</w:t>
            </w:r>
          </w:p>
          <w:p w:rsidR="00000000" w:rsidP="009F32D5">
            <w:pPr>
              <w:pStyle w:val="ListBullet"/>
              <w:rPr>
                <w:lang w:val="en-NZ"/>
              </w:rPr>
            </w:pPr>
            <w:r w:rsidRPr="009F32D5">
              <w:t>Specialist counselling ser</w:t>
            </w:r>
            <w:r w:rsidRPr="009F32D5">
              <w:t>vices</w:t>
            </w:r>
          </w:p>
        </w:tc>
      </w:tr>
      <w:tr w:rsidTr="006C4D1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9F32D5" w:rsidP="009F32D5">
            <w:pPr>
              <w:pStyle w:val="BodyText"/>
            </w:pPr>
          </w:p>
        </w:tc>
      </w:tr>
    </w:tbl>
    <w:p w:rsidR="006C4D12" w:rsidP="009F32D5">
      <w:pPr>
        <w:pStyle w:val="BodyText"/>
      </w:pPr>
    </w:p>
    <w:p w:rsidR="006C4D12" w:rsidP="009F32D5">
      <w:pPr>
        <w:pStyle w:val="BodyText"/>
      </w:pPr>
    </w:p>
    <w:p w:rsidR="00000000" w:rsidRPr="009F32D5" w:rsidP="009F32D5">
      <w:pPr>
        <w:pStyle w:val="Heading1"/>
      </w:pPr>
      <w:bookmarkStart w:id="12" w:name="O_294852"/>
      <w:bookmarkEnd w:id="12"/>
      <w:r w:rsidRPr="009F32D5">
        <w:t>Unit Sector(s)</w:t>
      </w:r>
    </w:p>
    <w:p w:rsidR="00000000" w:rsidRPr="009F32D5" w:rsidP="009F32D5">
      <w:pPr>
        <w:pStyle w:val="BodyText"/>
      </w:pPr>
      <w:r w:rsidRPr="009F32D5">
        <w:t>Not Applicable</w:t>
      </w:r>
    </w:p>
    <w:p w:rsidR="00000000" w:rsidRPr="009F32D5" w:rsidP="009F32D5"/>
    <w:sectPr w:rsidSect="009F32D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32D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C4D12" w:rsidP="006C4D12">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32D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4D12" w:rsidP="009F32D5">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6C4D12" w:rsidP="009F32D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6C4D12" w:rsidP="009F32D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32D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32D5" w:rsidRPr="006C4D12" w:rsidP="006C4D1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32D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4D12" w:rsidRPr="002D2AF8" w:rsidP="009F32D5">
    <w:pPr>
      <w:pStyle w:val="Header"/>
      <w:framePr w:wrap="around"/>
    </w:pPr>
    <w:r>
      <w:fldChar w:fldCharType="begin"/>
    </w:r>
    <w:r>
      <w:instrText xml:space="preserve"> TITLE   \* MERGEFORMAT </w:instrText>
    </w:r>
    <w:r>
      <w:fldChar w:fldCharType="separate"/>
    </w:r>
    <w:r>
      <w:t>HLTAHW508B Develop a healing framework for social and emotional well being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6C4D12" w:rsidP="009F32D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25E789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7EC34F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A0AAE6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32D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F32D5"/>
    <w:pPr>
      <w:spacing w:before="360" w:after="60"/>
      <w:outlineLvl w:val="0"/>
    </w:pPr>
    <w:rPr>
      <w:sz w:val="32"/>
    </w:rPr>
  </w:style>
  <w:style w:type="paragraph" w:styleId="Heading2">
    <w:name w:val="heading 2"/>
    <w:basedOn w:val="HeadingBase"/>
    <w:next w:val="BodyText"/>
    <w:link w:val="Heading2Char"/>
    <w:qFormat/>
    <w:rsid w:val="009F32D5"/>
    <w:pPr>
      <w:keepLines/>
      <w:spacing w:before="240" w:after="120"/>
      <w:outlineLvl w:val="1"/>
    </w:pPr>
    <w:rPr>
      <w:sz w:val="28"/>
      <w:szCs w:val="40"/>
    </w:rPr>
  </w:style>
  <w:style w:type="paragraph" w:styleId="Heading3">
    <w:name w:val="heading 3"/>
    <w:basedOn w:val="HeadingBase"/>
    <w:next w:val="BodyText"/>
    <w:link w:val="Heading3Char"/>
    <w:qFormat/>
    <w:rsid w:val="009F32D5"/>
    <w:pPr>
      <w:spacing w:before="180" w:after="120"/>
      <w:outlineLvl w:val="2"/>
    </w:pPr>
    <w:rPr>
      <w:spacing w:val="-10"/>
      <w:kern w:val="32"/>
    </w:rPr>
  </w:style>
  <w:style w:type="paragraph" w:styleId="Heading4">
    <w:name w:val="heading 4"/>
    <w:basedOn w:val="HeadingBase"/>
    <w:next w:val="BodyText"/>
    <w:link w:val="Heading4Char"/>
    <w:qFormat/>
    <w:rsid w:val="009F32D5"/>
    <w:pPr>
      <w:spacing w:before="160" w:after="120"/>
      <w:outlineLvl w:val="3"/>
    </w:pPr>
    <w:rPr>
      <w:sz w:val="22"/>
    </w:rPr>
  </w:style>
  <w:style w:type="paragraph" w:styleId="Heading5">
    <w:name w:val="heading 5"/>
    <w:basedOn w:val="HeadingBase"/>
    <w:next w:val="Normal"/>
    <w:link w:val="Heading5Char"/>
    <w:qFormat/>
    <w:rsid w:val="009F32D5"/>
    <w:pPr>
      <w:spacing w:before="80"/>
      <w:outlineLvl w:val="4"/>
    </w:pPr>
    <w:rPr>
      <w:color w:val="918585"/>
      <w:sz w:val="20"/>
    </w:rPr>
  </w:style>
  <w:style w:type="paragraph" w:styleId="Heading6">
    <w:name w:val="heading 6"/>
    <w:basedOn w:val="HeadingBase"/>
    <w:next w:val="Normal"/>
    <w:link w:val="Heading6Char"/>
    <w:qFormat/>
    <w:rsid w:val="009F32D5"/>
    <w:pPr>
      <w:spacing w:before="60"/>
      <w:outlineLvl w:val="5"/>
    </w:pPr>
    <w:rPr>
      <w:color w:val="918585"/>
      <w:sz w:val="20"/>
    </w:rPr>
  </w:style>
  <w:style w:type="paragraph" w:styleId="Heading7">
    <w:name w:val="heading 7"/>
    <w:basedOn w:val="Normal"/>
    <w:next w:val="Normal"/>
    <w:link w:val="Heading7Char"/>
    <w:qFormat/>
    <w:rsid w:val="009F32D5"/>
    <w:pPr>
      <w:ind w:left="720"/>
      <w:outlineLvl w:val="6"/>
    </w:pPr>
    <w:rPr>
      <w:i/>
    </w:rPr>
  </w:style>
  <w:style w:type="paragraph" w:styleId="Heading8">
    <w:name w:val="heading 8"/>
    <w:basedOn w:val="Normal"/>
    <w:next w:val="Normal"/>
    <w:link w:val="Heading8Char"/>
    <w:qFormat/>
    <w:rsid w:val="009F32D5"/>
    <w:pPr>
      <w:ind w:left="720"/>
      <w:outlineLvl w:val="7"/>
    </w:pPr>
    <w:rPr>
      <w:i/>
    </w:rPr>
  </w:style>
  <w:style w:type="paragraph" w:styleId="Heading9">
    <w:name w:val="heading 9"/>
    <w:basedOn w:val="Normal"/>
    <w:next w:val="Normal"/>
    <w:link w:val="Heading9Char"/>
    <w:qFormat/>
    <w:rsid w:val="009F32D5"/>
    <w:pPr>
      <w:ind w:left="720"/>
      <w:outlineLvl w:val="8"/>
    </w:pPr>
    <w:rPr>
      <w:i/>
    </w:rPr>
  </w:style>
  <w:style w:type="character" w:default="1" w:styleId="DefaultParagraphFont">
    <w:name w:val="Default Paragraph Font"/>
    <w:uiPriority w:val="1"/>
    <w:unhideWhenUsed/>
    <w:rsid w:val="009F32D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F32D5"/>
  </w:style>
  <w:style w:type="character" w:customStyle="1" w:styleId="Heading1Char">
    <w:name w:val="Heading 1 Char"/>
    <w:basedOn w:val="DefaultParagraphFont"/>
    <w:link w:val="Heading1"/>
    <w:rsid w:val="009F32D5"/>
    <w:rPr>
      <w:rFonts w:ascii="Times New Roman" w:eastAsia="Times New Roman" w:hAnsi="Times New Roman" w:cs="Times New Roman"/>
      <w:b/>
      <w:sz w:val="32"/>
      <w:szCs w:val="20"/>
      <w:lang w:eastAsia="en-US"/>
    </w:rPr>
  </w:style>
  <w:style w:type="paragraph" w:styleId="BodyText">
    <w:name w:val="Body Text"/>
    <w:basedOn w:val="Normal"/>
    <w:link w:val="BodyTextChar"/>
    <w:rsid w:val="009F32D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F32D5"/>
    <w:rPr>
      <w:rFonts w:ascii="Times New Roman" w:eastAsia="Times New Roman" w:hAnsi="Times New Roman" w:cs="Times New Roman"/>
      <w:sz w:val="24"/>
      <w:lang w:eastAsia="en-US"/>
    </w:rPr>
  </w:style>
  <w:style w:type="paragraph" w:styleId="Footer">
    <w:name w:val="footer"/>
    <w:basedOn w:val="Normal"/>
    <w:link w:val="FooterChar"/>
    <w:rsid w:val="009F32D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F32D5"/>
    <w:rPr>
      <w:rFonts w:ascii="Times New Roman" w:eastAsia="Times New Roman" w:hAnsi="Times New Roman" w:cs="Times New Roman"/>
      <w:sz w:val="16"/>
      <w:lang w:eastAsia="en-US"/>
    </w:rPr>
  </w:style>
  <w:style w:type="paragraph" w:styleId="List">
    <w:name w:val="List"/>
    <w:basedOn w:val="BodyText"/>
    <w:next w:val="BodyText"/>
    <w:rsid w:val="009F32D5"/>
    <w:pPr>
      <w:tabs>
        <w:tab w:val="left" w:pos="340"/>
      </w:tabs>
      <w:spacing w:before="60" w:after="60"/>
      <w:ind w:left="340" w:hanging="340"/>
    </w:pPr>
  </w:style>
  <w:style w:type="paragraph" w:styleId="ListBullet">
    <w:name w:val="List Bullet"/>
    <w:basedOn w:val="List"/>
    <w:rsid w:val="009F32D5"/>
    <w:pPr>
      <w:numPr>
        <w:numId w:val="13"/>
      </w:numPr>
      <w:tabs>
        <w:tab w:val="clear" w:pos="340"/>
      </w:tabs>
      <w:spacing w:before="40" w:after="40"/>
    </w:pPr>
  </w:style>
  <w:style w:type="character" w:customStyle="1" w:styleId="SpecialBold">
    <w:name w:val="Special Bold"/>
    <w:basedOn w:val="DefaultParagraphFont"/>
    <w:rsid w:val="009F32D5"/>
    <w:rPr>
      <w:b/>
      <w:spacing w:val="0"/>
    </w:rPr>
  </w:style>
  <w:style w:type="paragraph" w:styleId="ListBullet2">
    <w:name w:val="List Bullet 2"/>
    <w:basedOn w:val="List2"/>
    <w:rsid w:val="009F32D5"/>
    <w:pPr>
      <w:numPr>
        <w:numId w:val="14"/>
      </w:numPr>
      <w:tabs>
        <w:tab w:val="clear" w:pos="680"/>
      </w:tabs>
    </w:pPr>
  </w:style>
  <w:style w:type="character" w:styleId="Emphasis">
    <w:name w:val="Emphasis"/>
    <w:basedOn w:val="DefaultParagraphFont"/>
    <w:qFormat/>
    <w:rsid w:val="009F32D5"/>
    <w:rPr>
      <w:i/>
    </w:rPr>
  </w:style>
  <w:style w:type="paragraph" w:customStyle="1" w:styleId="SuperHeading">
    <w:name w:val="SuperHeading"/>
    <w:basedOn w:val="Normal"/>
    <w:rsid w:val="009F32D5"/>
    <w:pPr>
      <w:spacing w:before="240" w:after="120"/>
      <w:outlineLvl w:val="0"/>
    </w:pPr>
    <w:rPr>
      <w:rFonts w:ascii="Times New Roman" w:hAnsi="Times New Roman"/>
      <w:b/>
      <w:sz w:val="28"/>
    </w:rPr>
  </w:style>
  <w:style w:type="paragraph" w:customStyle="1" w:styleId="AllowPageBreak">
    <w:name w:val="AllowPageBreak"/>
    <w:rsid w:val="009F32D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9F32D5"/>
    <w:rPr>
      <w:b/>
      <w:i/>
      <w:u w:val="none"/>
    </w:rPr>
  </w:style>
  <w:style w:type="character" w:customStyle="1" w:styleId="Heading2Char">
    <w:name w:val="Heading 2 Char"/>
    <w:basedOn w:val="DefaultParagraphFont"/>
    <w:link w:val="Heading2"/>
    <w:rsid w:val="009F32D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F32D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F32D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F32D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F32D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F32D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F32D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F32D5"/>
    <w:rPr>
      <w:rFonts w:ascii="Courier New" w:eastAsia="Times New Roman" w:hAnsi="Courier New" w:cs="Times New Roman"/>
      <w:i/>
      <w:szCs w:val="20"/>
      <w:lang w:eastAsia="en-US"/>
    </w:rPr>
  </w:style>
  <w:style w:type="paragraph" w:customStyle="1" w:styleId="HeadingBase">
    <w:name w:val="Heading Base"/>
    <w:rsid w:val="009F32D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F32D5"/>
    <w:pPr>
      <w:tabs>
        <w:tab w:val="right" w:leader="dot" w:pos="9072"/>
      </w:tabs>
      <w:ind w:left="567"/>
    </w:pPr>
    <w:rPr>
      <w:szCs w:val="22"/>
    </w:rPr>
  </w:style>
  <w:style w:type="paragraph" w:customStyle="1" w:styleId="TOCBase">
    <w:name w:val="TOC Base"/>
    <w:rsid w:val="009F32D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F32D5"/>
    <w:pPr>
      <w:tabs>
        <w:tab w:val="right" w:leader="dot" w:pos="9072"/>
      </w:tabs>
      <w:spacing w:before="40" w:after="40"/>
      <w:ind w:left="284"/>
    </w:pPr>
    <w:rPr>
      <w:rFonts w:ascii="Times New Roman" w:hAnsi="Times New Roman"/>
    </w:rPr>
  </w:style>
  <w:style w:type="paragraph" w:styleId="TOC1">
    <w:name w:val="toc 1"/>
    <w:basedOn w:val="TOCBase"/>
    <w:next w:val="Normal"/>
    <w:rsid w:val="009F32D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F32D5"/>
    <w:pPr>
      <w:spacing w:before="5040"/>
      <w:jc w:val="center"/>
    </w:pPr>
    <w:rPr>
      <w:sz w:val="48"/>
      <w:szCs w:val="72"/>
      <w:lang w:val="en-US"/>
    </w:rPr>
  </w:style>
  <w:style w:type="character" w:customStyle="1" w:styleId="TitleChar">
    <w:name w:val="Title Char"/>
    <w:basedOn w:val="DefaultParagraphFont"/>
    <w:link w:val="Title"/>
    <w:rsid w:val="009F32D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F32D5"/>
    <w:pPr>
      <w:tabs>
        <w:tab w:val="left" w:pos="3600"/>
        <w:tab w:val="left" w:pos="3958"/>
      </w:tabs>
    </w:pPr>
  </w:style>
  <w:style w:type="paragraph" w:customStyle="1" w:styleId="Note">
    <w:name w:val="Note"/>
    <w:basedOn w:val="BodyText"/>
    <w:rsid w:val="009F32D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F32D5"/>
    <w:pPr>
      <w:framePr w:wrap="auto" w:hAnchor="text" w:y="6049"/>
    </w:pPr>
    <w:rPr>
      <w:color w:val="000000"/>
      <w:sz w:val="40"/>
    </w:rPr>
  </w:style>
  <w:style w:type="paragraph" w:customStyle="1" w:styleId="TOCTitle">
    <w:name w:val="TOCTitle"/>
    <w:basedOn w:val="Heading1"/>
    <w:rsid w:val="009F32D5"/>
    <w:pPr>
      <w:spacing w:after="240"/>
      <w:jc w:val="center"/>
      <w:outlineLvl w:val="9"/>
    </w:pPr>
    <w:rPr>
      <w:caps/>
    </w:rPr>
  </w:style>
  <w:style w:type="paragraph" w:customStyle="1" w:styleId="Version">
    <w:name w:val="Version"/>
    <w:rsid w:val="009F32D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F32D5"/>
    <w:pPr>
      <w:keepNext w:val="0"/>
      <w:tabs>
        <w:tab w:val="right" w:pos="4176"/>
      </w:tabs>
      <w:ind w:left="198" w:hanging="198"/>
    </w:pPr>
    <w:rPr>
      <w:rFonts w:ascii="Garamond" w:hAnsi="Garamond"/>
    </w:rPr>
  </w:style>
  <w:style w:type="paragraph" w:styleId="IndexHeading">
    <w:name w:val="index heading"/>
    <w:basedOn w:val="Normal"/>
    <w:next w:val="Index1"/>
    <w:semiHidden/>
    <w:rsid w:val="009F32D5"/>
    <w:pPr>
      <w:spacing w:before="120" w:after="120"/>
    </w:pPr>
    <w:rPr>
      <w:rFonts w:ascii="Arial" w:hAnsi="Arial"/>
      <w:b/>
      <w:color w:val="918585"/>
      <w:sz w:val="24"/>
    </w:rPr>
  </w:style>
  <w:style w:type="paragraph" w:styleId="Header">
    <w:name w:val="header"/>
    <w:basedOn w:val="Normal"/>
    <w:link w:val="HeaderChar"/>
    <w:rsid w:val="009F32D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F32D5"/>
    <w:rPr>
      <w:rFonts w:ascii="Times New Roman" w:eastAsia="Times New Roman" w:hAnsi="Times New Roman" w:cs="Times New Roman"/>
      <w:sz w:val="16"/>
      <w:szCs w:val="20"/>
      <w:lang w:val="en-GB" w:eastAsia="en-US"/>
    </w:rPr>
  </w:style>
  <w:style w:type="paragraph" w:customStyle="1" w:styleId="Chapter">
    <w:name w:val="Chapter"/>
    <w:basedOn w:val="Normal"/>
    <w:rsid w:val="009F32D5"/>
    <w:pPr>
      <w:spacing w:before="240"/>
    </w:pPr>
    <w:rPr>
      <w:rFonts w:ascii="Times New Roman" w:hAnsi="Times New Roman"/>
      <w:smallCaps/>
      <w:spacing w:val="80"/>
      <w:sz w:val="28"/>
    </w:rPr>
  </w:style>
  <w:style w:type="paragraph" w:customStyle="1" w:styleId="InChapter">
    <w:name w:val="InChapter"/>
    <w:basedOn w:val="Heading3"/>
    <w:rsid w:val="009F32D5"/>
    <w:pPr>
      <w:spacing w:after="240"/>
      <w:outlineLvl w:val="9"/>
    </w:pPr>
    <w:rPr>
      <w:noProof/>
    </w:rPr>
  </w:style>
  <w:style w:type="paragraph" w:styleId="Index2">
    <w:name w:val="index 2"/>
    <w:basedOn w:val="Normal"/>
    <w:next w:val="Normal"/>
    <w:semiHidden/>
    <w:rsid w:val="009F32D5"/>
    <w:pPr>
      <w:tabs>
        <w:tab w:val="right" w:pos="4176"/>
      </w:tabs>
      <w:ind w:left="568" w:hanging="284"/>
    </w:pPr>
    <w:rPr>
      <w:rFonts w:ascii="Garamond" w:hAnsi="Garamond"/>
    </w:rPr>
  </w:style>
  <w:style w:type="paragraph" w:customStyle="1" w:styleId="Byline">
    <w:name w:val="Byline"/>
    <w:rsid w:val="009F32D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F32D5"/>
    <w:pPr>
      <w:tabs>
        <w:tab w:val="clear" w:pos="3600"/>
        <w:tab w:val="clear" w:pos="3958"/>
      </w:tabs>
      <w:jc w:val="right"/>
    </w:pPr>
  </w:style>
  <w:style w:type="paragraph" w:styleId="Caption">
    <w:name w:val="caption"/>
    <w:basedOn w:val="BodyText"/>
    <w:next w:val="Normal"/>
    <w:qFormat/>
    <w:rsid w:val="009F32D5"/>
    <w:pPr>
      <w:framePr w:w="2268" w:hSpace="181" w:vSpace="181" w:wrap="around" w:vAnchor="text" w:hAnchor="page" w:x="1135" w:y="285" w:anchorLock="1"/>
    </w:pPr>
    <w:rPr>
      <w:i/>
    </w:rPr>
  </w:style>
  <w:style w:type="paragraph" w:customStyle="1" w:styleId="MiniTOCTitle">
    <w:name w:val="MiniTOCTitle"/>
    <w:basedOn w:val="Heading4"/>
    <w:rsid w:val="009F32D5"/>
    <w:pPr>
      <w:spacing w:before="240"/>
      <w:outlineLvl w:val="9"/>
    </w:pPr>
    <w:rPr>
      <w:noProof/>
      <w:sz w:val="24"/>
    </w:rPr>
  </w:style>
  <w:style w:type="paragraph" w:customStyle="1" w:styleId="MiniTOCItem">
    <w:name w:val="MiniTOCItem"/>
    <w:basedOn w:val="ListBullet"/>
    <w:rsid w:val="009F32D5"/>
    <w:pPr>
      <w:numPr>
        <w:numId w:val="0"/>
      </w:numPr>
      <w:tabs>
        <w:tab w:val="right" w:leader="dot" w:pos="6521"/>
      </w:tabs>
      <w:spacing w:before="0" w:after="0"/>
    </w:pPr>
  </w:style>
  <w:style w:type="paragraph" w:customStyle="1" w:styleId="TOFTitle">
    <w:name w:val="TOFTitle"/>
    <w:basedOn w:val="TOCTitle"/>
    <w:rsid w:val="009F32D5"/>
  </w:style>
  <w:style w:type="paragraph" w:styleId="TableofFigures">
    <w:name w:val="table of figures"/>
    <w:basedOn w:val="Normal"/>
    <w:next w:val="Normal"/>
    <w:semiHidden/>
    <w:rsid w:val="009F32D5"/>
    <w:pPr>
      <w:tabs>
        <w:tab w:val="right" w:leader="dot" w:pos="9072"/>
      </w:tabs>
      <w:ind w:left="970" w:hanging="403"/>
    </w:pPr>
    <w:rPr>
      <w:rFonts w:ascii="Times New Roman" w:hAnsi="Times New Roman"/>
      <w:b/>
    </w:rPr>
  </w:style>
  <w:style w:type="paragraph" w:styleId="ListNumber">
    <w:name w:val="List Number"/>
    <w:basedOn w:val="List"/>
    <w:rsid w:val="009F32D5"/>
    <w:pPr>
      <w:numPr>
        <w:numId w:val="11"/>
      </w:numPr>
    </w:pPr>
  </w:style>
  <w:style w:type="character" w:customStyle="1" w:styleId="WingdingSymbols">
    <w:name w:val="Wingding Symbols"/>
    <w:rsid w:val="009F32D5"/>
    <w:rPr>
      <w:rFonts w:ascii="Wingdings" w:hAnsi="Wingdings"/>
    </w:rPr>
  </w:style>
  <w:style w:type="paragraph" w:customStyle="1" w:styleId="TableHeading">
    <w:name w:val="Table Heading"/>
    <w:basedOn w:val="HeadingBase"/>
    <w:rsid w:val="009F32D5"/>
    <w:pPr>
      <w:keepLines/>
      <w:pBdr>
        <w:bottom w:val="single" w:sz="6" w:space="1" w:color="918585"/>
      </w:pBdr>
      <w:spacing w:before="240"/>
    </w:pPr>
  </w:style>
  <w:style w:type="character" w:customStyle="1" w:styleId="HotSpot">
    <w:name w:val="HotSpot"/>
    <w:rsid w:val="009F32D5"/>
    <w:rPr>
      <w:color w:val="0033CC"/>
      <w:u w:val="none"/>
    </w:rPr>
  </w:style>
  <w:style w:type="paragraph" w:customStyle="1" w:styleId="BodyTextRight">
    <w:name w:val="Body Text Right"/>
    <w:basedOn w:val="BodyText"/>
    <w:rsid w:val="009F32D5"/>
    <w:pPr>
      <w:spacing w:before="0" w:after="0"/>
      <w:jc w:val="right"/>
    </w:pPr>
  </w:style>
  <w:style w:type="paragraph" w:styleId="Index3">
    <w:name w:val="index 3"/>
    <w:basedOn w:val="ListNumber2"/>
    <w:next w:val="Normal"/>
    <w:semiHidden/>
    <w:rsid w:val="009F32D5"/>
    <w:pPr>
      <w:numPr>
        <w:numId w:val="0"/>
      </w:numPr>
      <w:tabs>
        <w:tab w:val="right" w:leader="dot" w:pos="4176"/>
      </w:tabs>
    </w:pPr>
  </w:style>
  <w:style w:type="paragraph" w:styleId="ListNumber2">
    <w:name w:val="List Number 2"/>
    <w:basedOn w:val="List2"/>
    <w:rsid w:val="009F32D5"/>
    <w:pPr>
      <w:numPr>
        <w:numId w:val="10"/>
      </w:numPr>
      <w:tabs>
        <w:tab w:val="clear" w:pos="1060"/>
      </w:tabs>
    </w:pPr>
  </w:style>
  <w:style w:type="paragraph" w:customStyle="1" w:styleId="MarginNote">
    <w:name w:val="Margin Note"/>
    <w:basedOn w:val="BodyText"/>
    <w:rsid w:val="009F32D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F32D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F32D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F32D5"/>
    <w:rPr>
      <w:sz w:val="32"/>
    </w:rPr>
  </w:style>
  <w:style w:type="paragraph" w:customStyle="1" w:styleId="HeadingProcedure">
    <w:name w:val="Heading Procedure"/>
    <w:basedOn w:val="HeadingBase"/>
    <w:next w:val="Normal"/>
    <w:rsid w:val="009F32D5"/>
    <w:pPr>
      <w:tabs>
        <w:tab w:val="left" w:pos="0"/>
      </w:tabs>
      <w:spacing w:before="120" w:after="60"/>
    </w:pPr>
    <w:rPr>
      <w:i/>
      <w:color w:val="918585"/>
      <w:sz w:val="22"/>
    </w:rPr>
  </w:style>
  <w:style w:type="paragraph" w:customStyle="1" w:styleId="TableBodyText">
    <w:name w:val="Table Body Text"/>
    <w:basedOn w:val="BodyText"/>
    <w:rsid w:val="009F32D5"/>
    <w:pPr>
      <w:spacing w:before="60" w:after="60"/>
    </w:pPr>
  </w:style>
  <w:style w:type="paragraph" w:styleId="ListContinue">
    <w:name w:val="List Continue"/>
    <w:basedOn w:val="List"/>
    <w:rsid w:val="009F32D5"/>
    <w:pPr>
      <w:ind w:firstLine="0"/>
    </w:pPr>
  </w:style>
  <w:style w:type="paragraph" w:customStyle="1" w:styleId="ListNote">
    <w:name w:val="List Note"/>
    <w:basedOn w:val="List"/>
    <w:rsid w:val="009F32D5"/>
    <w:pPr>
      <w:pBdr>
        <w:top w:val="single" w:sz="6" w:space="2" w:color="918585"/>
        <w:bottom w:val="single" w:sz="6" w:space="2" w:color="918585"/>
      </w:pBdr>
      <w:tabs>
        <w:tab w:val="left" w:pos="1021"/>
      </w:tabs>
      <w:ind w:firstLine="0"/>
    </w:pPr>
  </w:style>
  <w:style w:type="paragraph" w:customStyle="1" w:styleId="Warning">
    <w:name w:val="Warning"/>
    <w:basedOn w:val="BodyText"/>
    <w:rsid w:val="009F32D5"/>
    <w:pPr>
      <w:shd w:val="clear" w:color="auto" w:fill="D9D9D9"/>
      <w:tabs>
        <w:tab w:val="left" w:pos="992"/>
      </w:tabs>
      <w:ind w:left="119" w:right="119"/>
    </w:pPr>
    <w:rPr>
      <w:sz w:val="20"/>
    </w:rPr>
  </w:style>
  <w:style w:type="paragraph" w:customStyle="1" w:styleId="MarginIcons">
    <w:name w:val="Margin Icons"/>
    <w:basedOn w:val="BodyText"/>
    <w:rsid w:val="009F32D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F32D5"/>
    <w:rPr>
      <w:rFonts w:ascii="Courier New" w:hAnsi="Courier New"/>
    </w:rPr>
  </w:style>
  <w:style w:type="paragraph" w:customStyle="1" w:styleId="NoteBullet">
    <w:name w:val="Note Bullet"/>
    <w:basedOn w:val="Note"/>
    <w:rsid w:val="009F32D5"/>
    <w:pPr>
      <w:tabs>
        <w:tab w:val="clear" w:pos="680"/>
      </w:tabs>
      <w:spacing w:before="60" w:after="60"/>
    </w:pPr>
  </w:style>
  <w:style w:type="paragraph" w:customStyle="1" w:styleId="SubHeading2">
    <w:name w:val="SubHeading2"/>
    <w:basedOn w:val="HeadingBase"/>
    <w:rsid w:val="009F32D5"/>
    <w:pPr>
      <w:spacing w:before="240" w:after="60"/>
    </w:pPr>
    <w:rPr>
      <w:sz w:val="20"/>
    </w:rPr>
  </w:style>
  <w:style w:type="paragraph" w:customStyle="1" w:styleId="SubHeading1">
    <w:name w:val="SubHeading1"/>
    <w:basedOn w:val="HeadingBase"/>
    <w:rsid w:val="009F32D5"/>
    <w:pPr>
      <w:spacing w:before="240" w:after="60"/>
    </w:pPr>
    <w:rPr>
      <w:color w:val="918585"/>
      <w:sz w:val="22"/>
    </w:rPr>
  </w:style>
  <w:style w:type="paragraph" w:customStyle="1" w:styleId="SideHeading">
    <w:name w:val="Side Heading"/>
    <w:basedOn w:val="HeadingBase"/>
    <w:rsid w:val="009F32D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F32D5"/>
    <w:pPr>
      <w:numPr>
        <w:numId w:val="12"/>
      </w:numPr>
    </w:pPr>
  </w:style>
  <w:style w:type="paragraph" w:styleId="PlainText">
    <w:name w:val="Plain Text"/>
    <w:basedOn w:val="Normal"/>
    <w:link w:val="PlainTextChar"/>
    <w:rsid w:val="009F32D5"/>
    <w:rPr>
      <w:sz w:val="20"/>
    </w:rPr>
  </w:style>
  <w:style w:type="character" w:customStyle="1" w:styleId="PlainTextChar">
    <w:name w:val="Plain Text Char"/>
    <w:basedOn w:val="DefaultParagraphFont"/>
    <w:link w:val="PlainText"/>
    <w:rsid w:val="009F32D5"/>
    <w:rPr>
      <w:rFonts w:ascii="Courier New" w:eastAsia="Times New Roman" w:hAnsi="Courier New" w:cs="Times New Roman"/>
      <w:sz w:val="20"/>
      <w:szCs w:val="20"/>
      <w:lang w:eastAsia="en-US"/>
    </w:rPr>
  </w:style>
  <w:style w:type="character" w:customStyle="1" w:styleId="MenuOption">
    <w:name w:val="Menu Option"/>
    <w:basedOn w:val="DefaultParagraphFont"/>
    <w:rsid w:val="009F32D5"/>
    <w:rPr>
      <w:b/>
      <w:smallCaps/>
    </w:rPr>
  </w:style>
  <w:style w:type="paragraph" w:customStyle="1" w:styleId="TableListNumber">
    <w:name w:val="Table List Number"/>
    <w:basedOn w:val="ListNumber"/>
    <w:rsid w:val="009F32D5"/>
    <w:pPr>
      <w:numPr>
        <w:numId w:val="0"/>
      </w:numPr>
    </w:pPr>
  </w:style>
  <w:style w:type="paragraph" w:styleId="TOC4">
    <w:name w:val="toc 4"/>
    <w:basedOn w:val="TOCBase"/>
    <w:next w:val="Normal"/>
    <w:semiHidden/>
    <w:rsid w:val="009F32D5"/>
    <w:pPr>
      <w:tabs>
        <w:tab w:val="right" w:leader="dot" w:pos="9071"/>
      </w:tabs>
      <w:ind w:left="1701"/>
    </w:pPr>
  </w:style>
  <w:style w:type="paragraph" w:customStyle="1" w:styleId="ListAlpha">
    <w:name w:val="List Alpha"/>
    <w:basedOn w:val="List"/>
    <w:rsid w:val="009F32D5"/>
    <w:pPr>
      <w:numPr>
        <w:numId w:val="9"/>
      </w:numPr>
    </w:pPr>
  </w:style>
  <w:style w:type="paragraph" w:customStyle="1" w:styleId="ListAlpha2">
    <w:name w:val="List Alpha 2"/>
    <w:basedOn w:val="List2"/>
    <w:rsid w:val="009F32D5"/>
    <w:pPr>
      <w:numPr>
        <w:numId w:val="8"/>
      </w:numPr>
    </w:pPr>
  </w:style>
  <w:style w:type="paragraph" w:styleId="List2">
    <w:name w:val="List 2"/>
    <w:basedOn w:val="BodyText"/>
    <w:rsid w:val="009F32D5"/>
    <w:pPr>
      <w:tabs>
        <w:tab w:val="left" w:pos="680"/>
      </w:tabs>
      <w:spacing w:before="60" w:after="60"/>
      <w:ind w:left="680" w:hanging="340"/>
    </w:pPr>
  </w:style>
  <w:style w:type="paragraph" w:styleId="List3">
    <w:name w:val="List 3"/>
    <w:basedOn w:val="BodyText"/>
    <w:rsid w:val="009F32D5"/>
    <w:pPr>
      <w:tabs>
        <w:tab w:val="left" w:pos="1021"/>
      </w:tabs>
      <w:spacing w:before="60" w:after="60"/>
      <w:ind w:left="1020" w:hanging="340"/>
    </w:pPr>
  </w:style>
  <w:style w:type="paragraph" w:styleId="List4">
    <w:name w:val="List 4"/>
    <w:basedOn w:val="BodyText"/>
    <w:rsid w:val="009F32D5"/>
    <w:pPr>
      <w:tabs>
        <w:tab w:val="left" w:pos="1361"/>
      </w:tabs>
      <w:spacing w:before="60" w:after="60"/>
      <w:ind w:left="1361" w:hanging="340"/>
    </w:pPr>
  </w:style>
  <w:style w:type="paragraph" w:styleId="List5">
    <w:name w:val="List 5"/>
    <w:basedOn w:val="BodyText"/>
    <w:rsid w:val="009F32D5"/>
    <w:pPr>
      <w:tabs>
        <w:tab w:val="left" w:pos="1701"/>
      </w:tabs>
      <w:spacing w:before="60" w:after="60"/>
      <w:ind w:left="1701" w:hanging="340"/>
    </w:pPr>
  </w:style>
  <w:style w:type="paragraph" w:styleId="ListBullet3">
    <w:name w:val="List Bullet 3"/>
    <w:basedOn w:val="List3"/>
    <w:rsid w:val="009F32D5"/>
    <w:pPr>
      <w:numPr>
        <w:numId w:val="15"/>
      </w:numPr>
      <w:tabs>
        <w:tab w:val="clear" w:pos="1021"/>
      </w:tabs>
      <w:ind w:left="1037" w:hanging="357"/>
    </w:pPr>
  </w:style>
  <w:style w:type="paragraph" w:styleId="ListBullet4">
    <w:name w:val="List Bullet 4"/>
    <w:basedOn w:val="List4"/>
    <w:rsid w:val="009F32D5"/>
    <w:pPr>
      <w:numPr>
        <w:numId w:val="3"/>
      </w:numPr>
    </w:pPr>
  </w:style>
  <w:style w:type="paragraph" w:styleId="ListBullet5">
    <w:name w:val="List Bullet 5"/>
    <w:basedOn w:val="List5"/>
    <w:rsid w:val="009F32D5"/>
    <w:pPr>
      <w:numPr>
        <w:numId w:val="4"/>
      </w:numPr>
    </w:pPr>
  </w:style>
  <w:style w:type="paragraph" w:styleId="ListContinue2">
    <w:name w:val="List Continue 2"/>
    <w:basedOn w:val="List2"/>
    <w:rsid w:val="009F32D5"/>
    <w:pPr>
      <w:ind w:firstLine="0"/>
    </w:pPr>
  </w:style>
  <w:style w:type="paragraph" w:styleId="ListContinue3">
    <w:name w:val="List Continue 3"/>
    <w:basedOn w:val="List3"/>
    <w:rsid w:val="009F32D5"/>
    <w:pPr>
      <w:ind w:left="1021" w:firstLine="0"/>
    </w:pPr>
  </w:style>
  <w:style w:type="paragraph" w:styleId="ListContinue4">
    <w:name w:val="List Continue 4"/>
    <w:basedOn w:val="List4"/>
    <w:rsid w:val="009F32D5"/>
    <w:pPr>
      <w:ind w:firstLine="0"/>
    </w:pPr>
  </w:style>
  <w:style w:type="paragraph" w:styleId="ListContinue5">
    <w:name w:val="List Continue 5"/>
    <w:basedOn w:val="List5"/>
    <w:rsid w:val="009F32D5"/>
    <w:pPr>
      <w:ind w:firstLine="0"/>
    </w:pPr>
  </w:style>
  <w:style w:type="paragraph" w:styleId="ListNumber3">
    <w:name w:val="List Number 3"/>
    <w:basedOn w:val="List3"/>
    <w:rsid w:val="009F32D5"/>
    <w:pPr>
      <w:numPr>
        <w:numId w:val="5"/>
      </w:numPr>
    </w:pPr>
  </w:style>
  <w:style w:type="paragraph" w:styleId="ListNumber4">
    <w:name w:val="List Number 4"/>
    <w:basedOn w:val="List4"/>
    <w:rsid w:val="009F32D5"/>
    <w:pPr>
      <w:numPr>
        <w:numId w:val="6"/>
      </w:numPr>
    </w:pPr>
  </w:style>
  <w:style w:type="paragraph" w:styleId="ListNumber5">
    <w:name w:val="List Number 5"/>
    <w:basedOn w:val="List5"/>
    <w:rsid w:val="009F32D5"/>
    <w:pPr>
      <w:numPr>
        <w:numId w:val="7"/>
      </w:numPr>
    </w:pPr>
  </w:style>
  <w:style w:type="paragraph" w:styleId="BlockText">
    <w:name w:val="Block Text"/>
    <w:basedOn w:val="Normal"/>
    <w:rsid w:val="009F32D5"/>
    <w:pPr>
      <w:spacing w:after="120"/>
      <w:ind w:left="1440" w:right="1440"/>
    </w:pPr>
  </w:style>
  <w:style w:type="character" w:customStyle="1" w:styleId="Subscript">
    <w:name w:val="Subscript"/>
    <w:basedOn w:val="DefaultParagraphFont"/>
    <w:rsid w:val="009F32D5"/>
    <w:rPr>
      <w:sz w:val="16"/>
      <w:vertAlign w:val="subscript"/>
    </w:rPr>
  </w:style>
  <w:style w:type="character" w:customStyle="1" w:styleId="Superscript">
    <w:name w:val="Superscript"/>
    <w:basedOn w:val="DefaultParagraphFont"/>
    <w:rsid w:val="009F32D5"/>
    <w:rPr>
      <w:sz w:val="16"/>
      <w:vertAlign w:val="superscript"/>
    </w:rPr>
  </w:style>
  <w:style w:type="character" w:customStyle="1" w:styleId="Symbols">
    <w:name w:val="Symbols"/>
    <w:basedOn w:val="DefaultParagraphFont"/>
    <w:rsid w:val="009F32D5"/>
    <w:rPr>
      <w:rFonts w:ascii="Symbol" w:hAnsi="Symbol"/>
    </w:rPr>
  </w:style>
  <w:style w:type="character" w:customStyle="1" w:styleId="MenuOptions">
    <w:name w:val="Menu Options"/>
    <w:basedOn w:val="DefaultParagraphFont"/>
    <w:rsid w:val="009F32D5"/>
    <w:rPr>
      <w:rFonts w:ascii="Arial Narrow" w:hAnsi="Arial Narrow"/>
      <w:smallCaps/>
    </w:rPr>
  </w:style>
  <w:style w:type="character" w:customStyle="1" w:styleId="Buttons">
    <w:name w:val="Buttons"/>
    <w:basedOn w:val="DefaultParagraphFont"/>
    <w:rsid w:val="009F32D5"/>
    <w:rPr>
      <w:b/>
    </w:rPr>
  </w:style>
  <w:style w:type="character" w:customStyle="1" w:styleId="Underlined">
    <w:name w:val="Underlined"/>
    <w:basedOn w:val="DefaultParagraphFont"/>
    <w:rsid w:val="009F32D5"/>
    <w:rPr>
      <w:u w:val="single"/>
    </w:rPr>
  </w:style>
  <w:style w:type="paragraph" w:customStyle="1" w:styleId="TableBodyTextRight">
    <w:name w:val="Table Body Text Right"/>
    <w:basedOn w:val="TableBodyText"/>
    <w:rsid w:val="009F32D5"/>
    <w:pPr>
      <w:widowControl w:val="0"/>
      <w:autoSpaceDE w:val="0"/>
      <w:autoSpaceDN w:val="0"/>
      <w:adjustRightInd w:val="0"/>
      <w:jc w:val="right"/>
    </w:pPr>
    <w:rPr>
      <w:rFonts w:cs="Arial"/>
      <w:szCs w:val="18"/>
    </w:rPr>
  </w:style>
  <w:style w:type="paragraph" w:customStyle="1" w:styleId="CopyrightText">
    <w:name w:val="Copyright Text"/>
    <w:basedOn w:val="BodyText"/>
    <w:rsid w:val="009F32D5"/>
    <w:rPr>
      <w:sz w:val="18"/>
    </w:rPr>
  </w:style>
  <w:style w:type="paragraph" w:customStyle="1" w:styleId="BodySmallRight">
    <w:name w:val="Body Small Right"/>
    <w:basedOn w:val="BodyTextRight"/>
    <w:rsid w:val="009F32D5"/>
    <w:rPr>
      <w:sz w:val="18"/>
      <w:szCs w:val="18"/>
    </w:rPr>
  </w:style>
  <w:style w:type="paragraph" w:customStyle="1" w:styleId="MarginEdition">
    <w:name w:val="Margin Edition"/>
    <w:basedOn w:val="MarginNote"/>
    <w:rsid w:val="009F32D5"/>
    <w:pPr>
      <w:spacing w:before="0" w:after="0"/>
    </w:pPr>
    <w:rPr>
      <w:rFonts w:ascii="Times New Roman" w:hAnsi="Times New Roman"/>
      <w:color w:val="999999"/>
    </w:rPr>
  </w:style>
  <w:style w:type="paragraph" w:customStyle="1" w:styleId="Spacer">
    <w:name w:val="Spacer"/>
    <w:basedOn w:val="Normal"/>
    <w:rsid w:val="009F32D5"/>
    <w:rPr>
      <w:sz w:val="2"/>
      <w:szCs w:val="2"/>
    </w:rPr>
  </w:style>
  <w:style w:type="character" w:customStyle="1" w:styleId="Small">
    <w:name w:val="Small"/>
    <w:basedOn w:val="DefaultParagraphFont"/>
    <w:rsid w:val="009F32D5"/>
    <w:rPr>
      <w:sz w:val="16"/>
    </w:rPr>
  </w:style>
  <w:style w:type="paragraph" w:customStyle="1" w:styleId="WideTable">
    <w:name w:val="Wide Table"/>
    <w:basedOn w:val="Normal"/>
    <w:rsid w:val="009F32D5"/>
    <w:pPr>
      <w:ind w:left="-1418"/>
    </w:pPr>
    <w:rPr>
      <w:sz w:val="2"/>
      <w:szCs w:val="2"/>
    </w:rPr>
  </w:style>
  <w:style w:type="character" w:styleId="PageNumber">
    <w:name w:val="page number"/>
    <w:basedOn w:val="DefaultParagraphFont"/>
    <w:rsid w:val="009F32D5"/>
  </w:style>
  <w:style w:type="paragraph" w:styleId="Quote">
    <w:name w:val="Quote"/>
    <w:basedOn w:val="Heading1"/>
    <w:link w:val="QuoteChar"/>
    <w:qFormat/>
    <w:rsid w:val="009F32D5"/>
    <w:rPr>
      <w:b w:val="0"/>
      <w:sz w:val="72"/>
      <w:szCs w:val="72"/>
      <w:lang w:val="en-NZ"/>
    </w:rPr>
  </w:style>
  <w:style w:type="character" w:customStyle="1" w:styleId="QuoteChar">
    <w:name w:val="Quote Char"/>
    <w:basedOn w:val="DefaultParagraphFont"/>
    <w:link w:val="Quote"/>
    <w:rsid w:val="009F32D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F32D5"/>
    <w:pPr>
      <w:pageBreakBefore/>
    </w:pPr>
  </w:style>
  <w:style w:type="paragraph" w:customStyle="1" w:styleId="Border">
    <w:name w:val="Border"/>
    <w:basedOn w:val="Normal"/>
    <w:qFormat/>
    <w:rsid w:val="009F32D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F32D5"/>
    <w:rPr>
      <w:b/>
      <w:bCs/>
      <w:i/>
      <w:iCs/>
      <w:color w:val="auto"/>
    </w:rPr>
  </w:style>
  <w:style w:type="paragraph" w:styleId="IntenseQuote">
    <w:name w:val="Intense Quote"/>
    <w:basedOn w:val="Normal"/>
    <w:next w:val="Normal"/>
    <w:link w:val="IntenseQuoteChar"/>
    <w:uiPriority w:val="30"/>
    <w:qFormat/>
    <w:rsid w:val="009F32D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F32D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F32D5"/>
    <w:rPr>
      <w:smallCaps/>
      <w:color w:val="auto"/>
      <w:u w:val="single"/>
    </w:rPr>
  </w:style>
  <w:style w:type="character" w:styleId="IntenseReference">
    <w:name w:val="Intense Reference"/>
    <w:basedOn w:val="DefaultParagraphFont"/>
    <w:uiPriority w:val="32"/>
    <w:qFormat/>
    <w:rsid w:val="009F32D5"/>
    <w:rPr>
      <w:b/>
      <w:bCs/>
      <w:smallCaps/>
      <w:color w:val="auto"/>
      <w:spacing w:val="5"/>
      <w:u w:val="single"/>
    </w:rPr>
  </w:style>
  <w:style w:type="paragraph" w:customStyle="1" w:styleId="2ColumnHeading">
    <w:name w:val="2Column Heading"/>
    <w:basedOn w:val="BodyText"/>
    <w:qFormat/>
    <w:rsid w:val="009F32D5"/>
    <w:pPr>
      <w:spacing w:after="60"/>
      <w:ind w:left="-2268"/>
    </w:pPr>
    <w:rPr>
      <w:b/>
    </w:rPr>
  </w:style>
  <w:style w:type="paragraph" w:customStyle="1" w:styleId="Heading1TOC">
    <w:name w:val="Heading1 TOC"/>
    <w:basedOn w:val="Normal"/>
    <w:qFormat/>
    <w:rsid w:val="009F32D5"/>
    <w:pPr>
      <w:spacing w:before="240" w:after="120"/>
    </w:pPr>
    <w:rPr>
      <w:rFonts w:ascii="Times New Roman" w:hAnsi="Times New Roman"/>
      <w:b/>
      <w:sz w:val="32"/>
    </w:rPr>
  </w:style>
  <w:style w:type="paragraph" w:customStyle="1" w:styleId="Heading2TOC">
    <w:name w:val="Heading2 TOC"/>
    <w:basedOn w:val="Normal"/>
    <w:qFormat/>
    <w:rsid w:val="009F32D5"/>
    <w:pPr>
      <w:spacing w:before="240" w:after="60"/>
    </w:pPr>
    <w:rPr>
      <w:rFonts w:ascii="Times New Roman" w:hAnsi="Times New Roman"/>
      <w:b/>
      <w:sz w:val="28"/>
    </w:rPr>
  </w:style>
  <w:style w:type="character" w:customStyle="1" w:styleId="Underline">
    <w:name w:val="Underline"/>
    <w:basedOn w:val="DefaultParagraphFont"/>
    <w:qFormat/>
    <w:rsid w:val="009F32D5"/>
    <w:rPr>
      <w:u w:val="single"/>
    </w:rPr>
  </w:style>
  <w:style w:type="paragraph" w:styleId="BalloonText">
    <w:name w:val="Balloon Text"/>
    <w:basedOn w:val="Normal"/>
    <w:link w:val="BalloonTextChar"/>
    <w:rsid w:val="009F32D5"/>
    <w:rPr>
      <w:rFonts w:ascii="Tahoma" w:hAnsi="Tahoma" w:cs="Tahoma"/>
      <w:sz w:val="16"/>
      <w:szCs w:val="16"/>
    </w:rPr>
  </w:style>
  <w:style w:type="character" w:customStyle="1" w:styleId="BalloonTextChar">
    <w:name w:val="Balloon Text Char"/>
    <w:basedOn w:val="DefaultParagraphFont"/>
    <w:link w:val="BalloonText"/>
    <w:rsid w:val="009F32D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F32D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F32D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F32D5"/>
    <w:rPr>
      <w:b/>
      <w:color w:val="660033"/>
      <w:spacing w:val="0"/>
    </w:rPr>
  </w:style>
  <w:style w:type="paragraph" w:customStyle="1" w:styleId="Nameditemlist">
    <w:name w:val="Named item list"/>
    <w:basedOn w:val="BodyText"/>
    <w:qFormat/>
    <w:rsid w:val="009F32D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1541</Words>
  <Characters>9284</Characters>
  <Application>Microsoft Office Word</Application>
  <DocSecurity>0</DocSecurity>
  <Lines>332</Lines>
  <Paragraphs>139</Paragraphs>
  <ScaleCrop>false</ScaleCrop>
  <Company>Author-it Software Corporation Ltd.</Company>
  <LinksUpToDate>false</LinksUpToDate>
  <CharactersWithSpaces>10746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HLTAHW508B Develop a healing framework for social and emotional well being work</dc:title>
  <dc:subject>Approved</dc:subject>
  <dc:creator>Community Services and Health Industry Skills Council</dc:creator>
  <cp:keywords>Release: 1</cp:keywords>
  <dc:description>Copyright © 1996-2007 Author-it Software Corporation Ltd., all rights reserved.</dc:description>
  <cp:lastModifiedBy>TPCMS</cp:lastModifiedBy>
  <cp:revision>3</cp:revision>
  <dcterms:created xsi:type="dcterms:W3CDTF">2012-10-05T15:01:00Z</dcterms:created>
  <dcterms:modified xsi:type="dcterms:W3CDTF">2012-10-05T15:01:00Z</dcterms:modified>
</cp:coreProperties>
</file>