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6E1" w:rsidP="003246E1">
      <w:pPr>
        <w:pStyle w:val="Title"/>
      </w:pPr>
      <w:r>
        <w:fldChar w:fldCharType="begin"/>
      </w:r>
      <w:r>
        <w:instrText xml:space="preserve"> TITLE   \* MERGEFORMAT </w:instrText>
      </w:r>
      <w:r>
        <w:fldChar w:fldCharType="separate"/>
      </w:r>
      <w:r>
        <w:t>HLTAHW423B Provide information and strategies in oral health</w:t>
      </w:r>
      <w:r>
        <w:fldChar w:fldCharType="end"/>
      </w:r>
    </w:p>
    <w:p w:rsidR="003246E1" w:rsidP="003246E1">
      <w:pPr>
        <w:pStyle w:val="Version"/>
        <w:sectPr w:rsidSect="00EA1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CEE" w:rsidP="00EA1CEE">
      <w:pPr>
        <w:pStyle w:val="SuperHeading"/>
      </w:pPr>
      <w:r w:rsidRPr="00EA1CEE">
        <w:t>HLTAHW423B Provide information and strategies in oral health</w:t>
      </w:r>
    </w:p>
    <w:p w:rsidR="00000000" w:rsidRPr="00EA1CEE" w:rsidP="00EA1CEE">
      <w:pPr>
        <w:pStyle w:val="Heading1"/>
      </w:pPr>
      <w:bookmarkStart w:id="1" w:name="O_270933"/>
      <w:bookmarkEnd w:id="1"/>
      <w:r w:rsidRPr="00EA1CEE">
        <w:t>Modification History</w:t>
      </w:r>
    </w:p>
    <w:p w:rsidR="00000000" w:rsidRPr="00EA1CEE" w:rsidP="00EA1CEE">
      <w:pPr>
        <w:pStyle w:val="BodyText"/>
      </w:pPr>
      <w:r w:rsidRPr="00EA1CEE">
        <w:t>Not Applicable</w:t>
      </w:r>
    </w:p>
    <w:p w:rsidR="00000000" w:rsidRPr="00EA1CEE" w:rsidP="00EA1CEE">
      <w:pPr>
        <w:pStyle w:val="AllowPageBreak"/>
      </w:pPr>
    </w:p>
    <w:p w:rsidR="00000000" w:rsidRPr="00EA1CEE" w:rsidP="00EA1CEE">
      <w:pPr>
        <w:pStyle w:val="Heading1"/>
      </w:pPr>
      <w:bookmarkStart w:id="2" w:name="O_205060"/>
      <w:bookmarkEnd w:id="2"/>
      <w:r w:rsidRPr="00EA1CEE">
        <w:t>Unit Descriptor</w:t>
      </w:r>
    </w:p>
    <w:tbl>
      <w:tblPr>
        <w:tblW w:w="0" w:type="auto"/>
        <w:tblLayout w:type="fixed"/>
        <w:tblCellMar>
          <w:left w:w="62" w:type="dxa"/>
          <w:right w:w="62" w:type="dxa"/>
        </w:tblCellMar>
        <w:tblLook w:val="0000"/>
      </w:tblPr>
      <w:tblGrid>
        <w:gridCol w:w="3252"/>
        <w:gridCol w:w="5304"/>
      </w:tblGrid>
      <w:tr w:rsidTr="003246E1">
        <w:tblPrEx>
          <w:tblW w:w="0" w:type="auto"/>
          <w:tblLayout w:type="fixed"/>
          <w:tblCellMar>
            <w:left w:w="62" w:type="dxa"/>
            <w:right w:w="62" w:type="dxa"/>
          </w:tblCellMar>
          <w:tblLook w:val="0000"/>
        </w:tblPrEx>
        <w:tc>
          <w:tcPr>
            <w:tcW w:w="325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Unit Descriptor</w:t>
            </w:r>
          </w:p>
        </w:tc>
        <w:tc>
          <w:tcPr>
            <w:tcW w:w="5304"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This unit describes the competencies required to conduct health promotion rela</w:t>
            </w:r>
            <w:r w:rsidRPr="00EA1CEE">
              <w:t>ted to oral health as part of primary health care services for Aboriginal and/or Torres Strait Islander communities</w:t>
            </w:r>
          </w:p>
          <w:p w:rsidR="00000000" w:rsidRPr="00EA1CEE" w:rsidP="00EA1CEE">
            <w:pPr>
              <w:pStyle w:val="BodyText"/>
            </w:pPr>
            <w:r w:rsidRPr="00EA1CEE">
              <w:t>Specific advice provided may be limited by close supervision or established guidelines in line with community needs and health provider guid</w:t>
            </w:r>
            <w:r w:rsidRPr="00EA1CEE">
              <w:t>elines</w:t>
            </w:r>
          </w:p>
        </w:tc>
      </w:tr>
    </w:tbl>
    <w:p w:rsidR="003246E1" w:rsidP="00EA1CEE">
      <w:pPr>
        <w:pStyle w:val="BodyText"/>
      </w:pPr>
    </w:p>
    <w:p w:rsidR="003246E1" w:rsidP="00EA1CEE">
      <w:pPr>
        <w:pStyle w:val="BodyText"/>
      </w:pPr>
    </w:p>
    <w:p w:rsidR="00000000" w:rsidRPr="00EA1CEE" w:rsidP="00EA1CEE">
      <w:pPr>
        <w:pStyle w:val="Heading1"/>
      </w:pPr>
      <w:bookmarkStart w:id="3" w:name="O_205062"/>
      <w:bookmarkEnd w:id="3"/>
      <w:r w:rsidRPr="00EA1CEE">
        <w:t>Application of the Unit</w:t>
      </w:r>
    </w:p>
    <w:tbl>
      <w:tblPr>
        <w:tblW w:w="0" w:type="auto"/>
        <w:tblLayout w:type="fixed"/>
        <w:tblCellMar>
          <w:left w:w="62" w:type="dxa"/>
          <w:right w:w="62" w:type="dxa"/>
        </w:tblCellMar>
        <w:tblLook w:val="0000"/>
      </w:tblPr>
      <w:tblGrid>
        <w:gridCol w:w="3349"/>
        <w:gridCol w:w="5207"/>
      </w:tblGrid>
      <w:tr w:rsidTr="003246E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 xml:space="preserve">This unit is intended to address skills and knowledge required by those working with Aboriginal or Torres Strait Islander communities to deliver </w:t>
            </w:r>
            <w:r w:rsidRPr="00EA1CEE">
              <w:t>primary health care services at Certificate IV level</w:t>
            </w:r>
          </w:p>
        </w:tc>
      </w:tr>
    </w:tbl>
    <w:p w:rsidR="003246E1" w:rsidP="00EA1CEE">
      <w:pPr>
        <w:pStyle w:val="BodyText"/>
      </w:pPr>
    </w:p>
    <w:p w:rsidR="003246E1" w:rsidP="00EA1CEE">
      <w:pPr>
        <w:pStyle w:val="BodyText"/>
      </w:pPr>
    </w:p>
    <w:p w:rsidR="00000000" w:rsidRPr="00EA1CEE" w:rsidP="00EA1CEE">
      <w:pPr>
        <w:pStyle w:val="Heading1"/>
      </w:pPr>
      <w:bookmarkStart w:id="4" w:name="O_279193"/>
      <w:bookmarkEnd w:id="4"/>
      <w:r w:rsidRPr="00EA1CEE">
        <w:t>Licensing/Regulatory Information</w:t>
      </w:r>
    </w:p>
    <w:p w:rsidR="00000000" w:rsidRPr="00EA1CEE" w:rsidP="00EA1CEE">
      <w:pPr>
        <w:pStyle w:val="BodyText"/>
      </w:pPr>
      <w:r w:rsidRPr="00EA1CEE">
        <w:t>Not Applicable</w:t>
      </w:r>
    </w:p>
    <w:p w:rsidR="00000000" w:rsidRPr="00EA1CEE" w:rsidP="00EA1CEE">
      <w:pPr>
        <w:pStyle w:val="AllowPageBreak"/>
      </w:pPr>
    </w:p>
    <w:p w:rsidR="00000000" w:rsidRPr="00EA1CEE" w:rsidP="00EA1CEE">
      <w:pPr>
        <w:pStyle w:val="Heading1"/>
      </w:pPr>
      <w:bookmarkStart w:id="5" w:name="O_283978"/>
      <w:bookmarkEnd w:id="5"/>
      <w:r w:rsidRPr="00EA1CEE">
        <w:t>Pre-Requisites</w:t>
      </w:r>
    </w:p>
    <w:p w:rsidR="00000000" w:rsidRPr="00EA1CEE" w:rsidP="00EA1CEE">
      <w:pPr>
        <w:pStyle w:val="BodyText"/>
      </w:pPr>
      <w:r w:rsidRPr="00EA1CEE">
        <w:t>Not Applicable</w:t>
      </w:r>
    </w:p>
    <w:p w:rsidR="00000000" w:rsidRPr="00EA1CEE" w:rsidP="00EA1CEE">
      <w:pPr>
        <w:pStyle w:val="AllowPageBreak"/>
      </w:pPr>
    </w:p>
    <w:p w:rsidR="00000000" w:rsidRPr="00EA1CEE" w:rsidP="00EA1CEE">
      <w:pPr>
        <w:pStyle w:val="Heading1"/>
      </w:pPr>
      <w:bookmarkStart w:id="6" w:name="O_205061"/>
      <w:bookmarkEnd w:id="6"/>
      <w:r w:rsidRPr="00EA1CEE">
        <w:t>Employability Skills Information</w:t>
      </w:r>
    </w:p>
    <w:tbl>
      <w:tblPr>
        <w:tblW w:w="0" w:type="auto"/>
        <w:tblLayout w:type="fixed"/>
        <w:tblCellMar>
          <w:left w:w="62" w:type="dxa"/>
          <w:right w:w="62" w:type="dxa"/>
        </w:tblCellMar>
        <w:tblLook w:val="0000"/>
      </w:tblPr>
      <w:tblGrid>
        <w:gridCol w:w="3320"/>
        <w:gridCol w:w="5236"/>
      </w:tblGrid>
      <w:tr w:rsidTr="003246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This unit contains Employability Skills</w:t>
            </w:r>
          </w:p>
        </w:tc>
      </w:tr>
    </w:tbl>
    <w:p w:rsidR="003246E1" w:rsidP="00EA1CEE">
      <w:pPr>
        <w:pStyle w:val="BodyText"/>
      </w:pPr>
    </w:p>
    <w:p w:rsidR="003246E1" w:rsidP="00EA1CEE">
      <w:pPr>
        <w:pStyle w:val="BodyText"/>
      </w:pPr>
    </w:p>
    <w:p w:rsidR="00000000" w:rsidRPr="00EA1CEE" w:rsidP="00EA1CEE">
      <w:pPr>
        <w:pStyle w:val="Heading1"/>
      </w:pPr>
      <w:bookmarkStart w:id="7" w:name="O_288979"/>
      <w:bookmarkEnd w:id="7"/>
      <w:r w:rsidRPr="00EA1CEE">
        <w:t>Elements and Performance Criteria Pre-Content</w:t>
      </w:r>
    </w:p>
    <w:tbl>
      <w:tblPr>
        <w:tblW w:w="0" w:type="auto"/>
        <w:tblLayout w:type="fixed"/>
        <w:tblCellMar>
          <w:left w:w="62" w:type="dxa"/>
          <w:right w:w="62" w:type="dxa"/>
        </w:tblCellMar>
        <w:tblLook w:val="0000"/>
      </w:tblPr>
      <w:tblGrid>
        <w:gridCol w:w="3369"/>
        <w:gridCol w:w="5702"/>
      </w:tblGrid>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The Performance Criteria specify the level of performance required to demonstrate achi</w:t>
            </w:r>
            <w:r w:rsidRPr="00EA1CEE">
              <w:t xml:space="preserve">evement of the Element. Terms in italics are elaborated in the Range Statement. </w:t>
            </w:r>
          </w:p>
        </w:tc>
      </w:tr>
    </w:tbl>
    <w:p w:rsidR="00000000" w:rsidRPr="00EA1CEE" w:rsidP="00EA1CEE">
      <w:pPr>
        <w:pStyle w:val="BodyText"/>
      </w:pPr>
    </w:p>
    <w:p w:rsidR="00000000" w:rsidRPr="00EA1CEE" w:rsidP="00EA1CEE">
      <w:pPr>
        <w:pStyle w:val="AllowPageBreak"/>
      </w:pPr>
    </w:p>
    <w:p w:rsidR="00000000" w:rsidRPr="00EA1CEE" w:rsidP="00EA1CEE">
      <w:pPr>
        <w:pStyle w:val="Heading1"/>
      </w:pPr>
      <w:bookmarkStart w:id="8" w:name="O_235646"/>
      <w:bookmarkEnd w:id="8"/>
      <w:r w:rsidRPr="00EA1CEE">
        <w:t>Elements and Performance Criteria</w:t>
      </w:r>
    </w:p>
    <w:tbl>
      <w:tblPr>
        <w:tblW w:w="0" w:type="auto"/>
        <w:tblLayout w:type="fixed"/>
        <w:tblCellMar>
          <w:left w:w="62" w:type="dxa"/>
          <w:right w:w="62" w:type="dxa"/>
        </w:tblCellMar>
        <w:tblLook w:val="0000"/>
      </w:tblPr>
      <w:tblGrid>
        <w:gridCol w:w="3369"/>
        <w:gridCol w:w="5702"/>
      </w:tblGrid>
      <w:tr w:rsidTr="003246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PERFORMANCE CRITERIA</w:t>
            </w:r>
          </w:p>
        </w:tc>
      </w:tr>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CEE">
            <w:pPr>
              <w:pStyle w:val="List"/>
              <w:rPr>
                <w:lang w:val="en-NZ"/>
              </w:rPr>
            </w:pPr>
            <w:r w:rsidRPr="00EA1CEE">
              <w:t>1.</w:t>
            </w:r>
            <w:r w:rsidRPr="00EA1CEE">
              <w:tab/>
              <w:t xml:space="preserve">Provide information and guidance related to oral health </w:t>
            </w:r>
          </w:p>
        </w:tc>
        <w:tc>
          <w:tcPr>
            <w:tcW w:w="5702"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1.1</w:t>
            </w:r>
            <w:r w:rsidRPr="00EA1CEE">
              <w:tab/>
            </w:r>
            <w:r w:rsidRPr="00EA1CEE">
              <w:t xml:space="preserve">Provide accurate information to the community about </w:t>
            </w:r>
            <w:r w:rsidRPr="00EA1CEE">
              <w:rPr>
                <w:rStyle w:val="Emphasis"/>
              </w:rPr>
              <w:t>oral health</w:t>
            </w:r>
            <w:r w:rsidRPr="00EA1CEE">
              <w:t xml:space="preserve"> and risk factors related to oral health</w:t>
            </w:r>
          </w:p>
          <w:p w:rsidR="00000000" w:rsidRPr="00EA1CEE" w:rsidP="00EA1CEE">
            <w:pPr>
              <w:pStyle w:val="BodyText"/>
            </w:pPr>
            <w:r w:rsidRPr="00EA1CEE">
              <w:t>1.2</w:t>
            </w:r>
            <w:r w:rsidRPr="00EA1CEE">
              <w:tab/>
              <w:t xml:space="preserve">Provide information about the importance of regular oral checks, dental hygiene, causes and prevention </w:t>
            </w:r>
            <w:r w:rsidRPr="00EA1CEE">
              <w:rPr>
                <w:rStyle w:val="Emphasis"/>
              </w:rPr>
              <w:t>of oral diseases</w:t>
            </w:r>
            <w:r w:rsidRPr="00EA1CEE">
              <w:t xml:space="preserve"> and the need to follow up or</w:t>
            </w:r>
            <w:r w:rsidRPr="00EA1CEE">
              <w:t>al problems</w:t>
            </w:r>
          </w:p>
          <w:p w:rsidR="00000000" w:rsidRPr="00EA1CEE" w:rsidP="00EA1CEE">
            <w:pPr>
              <w:pStyle w:val="BodyText"/>
            </w:pPr>
            <w:r w:rsidRPr="00EA1CEE">
              <w:t>1.3</w:t>
            </w:r>
            <w:r w:rsidRPr="00EA1CEE">
              <w:tab/>
              <w:t xml:space="preserve">Discuss </w:t>
            </w:r>
            <w:r w:rsidRPr="00EA1CEE">
              <w:rPr>
                <w:rStyle w:val="Emphasis"/>
              </w:rPr>
              <w:t>issues relating to the impact of</w:t>
            </w:r>
            <w:r w:rsidRPr="00EA1CEE">
              <w:t xml:space="preserve"> </w:t>
            </w:r>
            <w:r w:rsidRPr="00EA1CEE">
              <w:rPr>
                <w:rStyle w:val="Emphasis"/>
              </w:rPr>
              <w:t>diet</w:t>
            </w:r>
            <w:r w:rsidRPr="00EA1CEE">
              <w:t xml:space="preserve"> on oral health </w:t>
            </w:r>
          </w:p>
          <w:p w:rsidR="00000000" w:rsidRPr="00EA1CEE" w:rsidP="00EA1CEE">
            <w:pPr>
              <w:pStyle w:val="BodyText"/>
            </w:pPr>
            <w:r w:rsidRPr="00EA1CEE">
              <w:t>1.4</w:t>
            </w:r>
            <w:r w:rsidRPr="00EA1CEE">
              <w:tab/>
              <w:t>Discuss importance of oral health in relation to specific client groups, such as young mothers, children, adolescents, those with chronic diseases, including diabetes</w:t>
            </w:r>
          </w:p>
          <w:p w:rsidR="00000000" w:rsidP="00EA1CEE">
            <w:pPr>
              <w:pStyle w:val="BodyText"/>
              <w:rPr>
                <w:lang w:val="en-NZ"/>
              </w:rPr>
            </w:pPr>
            <w:r w:rsidRPr="00EA1CEE">
              <w:t>1.5</w:t>
            </w:r>
            <w:r w:rsidRPr="00EA1CEE">
              <w:tab/>
              <w:t>Pro</w:t>
            </w:r>
            <w:r w:rsidRPr="00EA1CEE">
              <w:t>vide information on available oral health care resources and services, including specialist resources</w:t>
            </w:r>
          </w:p>
        </w:tc>
      </w:tr>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CEE">
            <w:pPr>
              <w:pStyle w:val="List"/>
              <w:rPr>
                <w:lang w:val="en-NZ"/>
              </w:rPr>
            </w:pPr>
            <w:r w:rsidRPr="00EA1CEE">
              <w:t>2.</w:t>
            </w:r>
            <w:r w:rsidRPr="00EA1CEE">
              <w:tab/>
              <w:t xml:space="preserve">Demonstrate </w:t>
            </w:r>
            <w:r w:rsidRPr="00EA1CEE">
              <w:rPr>
                <w:rStyle w:val="Emphasis"/>
              </w:rPr>
              <w:t>oral hygiene techniques and aids</w:t>
            </w:r>
          </w:p>
        </w:tc>
        <w:tc>
          <w:tcPr>
            <w:tcW w:w="5702"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2.1</w:t>
            </w:r>
            <w:r w:rsidRPr="00EA1CEE">
              <w:tab/>
              <w:t xml:space="preserve">Demonstrate presence of plaque </w:t>
            </w:r>
          </w:p>
          <w:p w:rsidR="00000000" w:rsidRPr="00EA1CEE" w:rsidP="00EA1CEE">
            <w:pPr>
              <w:pStyle w:val="BodyText"/>
            </w:pPr>
            <w:r w:rsidRPr="00EA1CEE">
              <w:t>2.2</w:t>
            </w:r>
            <w:r w:rsidRPr="00EA1CEE">
              <w:tab/>
            </w:r>
            <w:r w:rsidRPr="00EA1CEE">
              <w:t>Demonstrate a variety of relevant oral hygiene techniques and the use of appropriate aids and explain their advantages in terms of achieving and maintaining effective oral hygiene</w:t>
            </w:r>
          </w:p>
          <w:p w:rsidR="00000000" w:rsidRPr="00EA1CEE" w:rsidP="00EA1CEE">
            <w:pPr>
              <w:pStyle w:val="BodyText"/>
            </w:pPr>
            <w:r w:rsidRPr="00EA1CEE">
              <w:t>2.3</w:t>
            </w:r>
            <w:r w:rsidRPr="00EA1CEE">
              <w:tab/>
              <w:t>Assist clients to use relevant techniques as appropriate</w:t>
            </w:r>
          </w:p>
          <w:p w:rsidR="00000000" w:rsidRPr="00EA1CEE" w:rsidP="00EA1CEE">
            <w:pPr>
              <w:pStyle w:val="BodyText"/>
            </w:pPr>
            <w:r w:rsidRPr="00EA1CEE">
              <w:t>2.4</w:t>
            </w:r>
            <w:r w:rsidRPr="00EA1CEE">
              <w:tab/>
              <w:t>Give client</w:t>
            </w:r>
            <w:r w:rsidRPr="00EA1CEE">
              <w:t>s the opportunity to ask questions and provide feedback about information provided and techniques demonstrated</w:t>
            </w:r>
          </w:p>
          <w:p w:rsidR="00000000" w:rsidP="00EA1CEE">
            <w:pPr>
              <w:pStyle w:val="BodyText"/>
              <w:rPr>
                <w:lang w:val="en-NZ"/>
              </w:rPr>
            </w:pPr>
            <w:r w:rsidRPr="00EA1CEE">
              <w:t>2.5</w:t>
            </w:r>
            <w:r w:rsidRPr="00EA1CEE">
              <w:tab/>
              <w:t>Encourage clients to follow effective oral hygiene programs</w:t>
            </w:r>
          </w:p>
        </w:tc>
      </w:tr>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A1CEE">
            <w:pPr>
              <w:pStyle w:val="List"/>
              <w:rPr>
                <w:lang w:val="en-NZ"/>
              </w:rPr>
            </w:pPr>
            <w:r w:rsidRPr="00EA1CEE">
              <w:t>3.</w:t>
            </w:r>
            <w:r w:rsidRPr="00EA1CEE">
              <w:tab/>
              <w:t>Follow up oral health promotion</w:t>
            </w:r>
          </w:p>
        </w:tc>
        <w:tc>
          <w:tcPr>
            <w:tcW w:w="5702"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3.1</w:t>
            </w:r>
            <w:r w:rsidRPr="00EA1CEE">
              <w:tab/>
              <w:t>Evaluate oral health promotion in line</w:t>
            </w:r>
            <w:r w:rsidRPr="00EA1CEE">
              <w:t xml:space="preserve"> with organisation guidelines and community requirements</w:t>
            </w:r>
          </w:p>
          <w:p w:rsidR="00000000" w:rsidRPr="00EA1CEE" w:rsidP="00EA1CEE">
            <w:pPr>
              <w:pStyle w:val="BodyText"/>
            </w:pPr>
            <w:r w:rsidRPr="00EA1CEE">
              <w:t>3.2</w:t>
            </w:r>
            <w:r w:rsidRPr="00EA1CEE">
              <w:tab/>
              <w:t>Maintain client confidentiality in line with organisation guidelines</w:t>
            </w:r>
          </w:p>
          <w:p w:rsidR="00000000" w:rsidRPr="00EA1CEE" w:rsidP="00EA1CEE">
            <w:pPr>
              <w:pStyle w:val="BodyText"/>
            </w:pPr>
            <w:r w:rsidRPr="00EA1CEE">
              <w:t>3.3</w:t>
            </w:r>
            <w:r w:rsidRPr="00EA1CEE">
              <w:tab/>
              <w:t>Regularly update and maintain records of oral health care programs according to organisational policies and procedures</w:t>
            </w:r>
          </w:p>
          <w:p w:rsidR="00000000" w:rsidP="00EA1CEE">
            <w:pPr>
              <w:pStyle w:val="BodyText"/>
              <w:rPr>
                <w:lang w:val="en-NZ"/>
              </w:rPr>
            </w:pPr>
            <w:r w:rsidRPr="00EA1CEE">
              <w:t>3.4</w:t>
            </w:r>
            <w:r w:rsidRPr="00EA1CEE">
              <w:tab/>
              <w:t>Implement strategies to improve oral health in line with community requirements and organisation guidelines</w:t>
            </w:r>
          </w:p>
        </w:tc>
      </w:tr>
      <w:tr w:rsidTr="003246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A1CEE" w:rsidP="00EA1CEE">
            <w:pPr>
              <w:pStyle w:val="BodyText"/>
            </w:pPr>
          </w:p>
        </w:tc>
      </w:tr>
    </w:tbl>
    <w:p w:rsidR="003246E1" w:rsidP="00EA1CEE">
      <w:pPr>
        <w:pStyle w:val="BodyText"/>
      </w:pPr>
    </w:p>
    <w:p w:rsidR="003246E1" w:rsidP="00EA1CEE">
      <w:pPr>
        <w:pStyle w:val="BodyText"/>
      </w:pPr>
    </w:p>
    <w:p w:rsidR="00000000" w:rsidRPr="00EA1CEE" w:rsidP="00EA1CEE">
      <w:pPr>
        <w:pStyle w:val="Heading1"/>
      </w:pPr>
      <w:bookmarkStart w:id="9" w:name="O_259596"/>
      <w:bookmarkEnd w:id="9"/>
      <w:r w:rsidRPr="00EA1CEE">
        <w:t>Required Skills and Knowledge</w:t>
      </w:r>
    </w:p>
    <w:tbl>
      <w:tblPr>
        <w:tblW w:w="0" w:type="auto"/>
        <w:tblLayout w:type="fixed"/>
        <w:tblCellMar>
          <w:left w:w="62" w:type="dxa"/>
          <w:right w:w="62" w:type="dxa"/>
        </w:tblCellMar>
        <w:tblLook w:val="0000"/>
      </w:tblPr>
      <w:tblGrid>
        <w:gridCol w:w="9072"/>
      </w:tblGrid>
      <w:tr w:rsidTr="003246E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REQUIRED SKILLS AND KNOWLEDGE</w:t>
            </w:r>
          </w:p>
        </w:tc>
      </w:tr>
      <w:tr w:rsidTr="003246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t>This describes the essential skills and knowledge and their level required for this unit.</w:t>
            </w:r>
          </w:p>
        </w:tc>
      </w:tr>
      <w:tr w:rsidTr="003246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rPr>
                <w:rStyle w:val="Emphasis"/>
              </w:rPr>
              <w:t>Essential knowledge</w:t>
            </w:r>
            <w:r w:rsidRPr="00EA1CEE">
              <w:t>:</w:t>
            </w:r>
          </w:p>
          <w:p w:rsidR="00000000" w:rsidRPr="00EA1CEE" w:rsidP="00EA1CEE">
            <w:pPr>
              <w:pStyle w:val="BodyText"/>
            </w:pPr>
            <w:r w:rsidRPr="00EA1CEE">
              <w:t>The candidate must be able to demonstrate essential knowledge required to effectively do the task outlined in elements and performance criteri</w:t>
            </w:r>
            <w:r w:rsidRPr="00EA1CEE">
              <w:t>a of this unit, manage the task and manage contingencies in the context of the identified work role</w:t>
            </w:r>
          </w:p>
          <w:p w:rsidR="00000000" w:rsidRPr="00EA1CEE" w:rsidP="00EA1CEE">
            <w:pPr>
              <w:pStyle w:val="BodyText"/>
            </w:pPr>
            <w:r w:rsidRPr="00EA1CEE">
              <w:t>This includes knowledge of:</w:t>
            </w:r>
          </w:p>
          <w:p w:rsidR="00000000" w:rsidRPr="00EA1CEE" w:rsidP="00EA1CEE">
            <w:pPr>
              <w:pStyle w:val="ListBullet"/>
            </w:pPr>
            <w:r w:rsidRPr="00EA1CEE">
              <w:t>Anatomy and physiology underpinning oral health</w:t>
            </w:r>
          </w:p>
          <w:p w:rsidR="00000000" w:rsidRPr="00EA1CEE" w:rsidP="00EA1CEE">
            <w:pPr>
              <w:pStyle w:val="ListBullet"/>
            </w:pPr>
            <w:r w:rsidRPr="00EA1CEE">
              <w:t>Broad knowledge of oral disease and treatment options and relevant Aboriginal a</w:t>
            </w:r>
            <w:r w:rsidRPr="00EA1CEE">
              <w:t>nd/or Torres Strait Islander culture and tradition related to oral health issues</w:t>
            </w:r>
          </w:p>
          <w:p w:rsidR="00000000" w:rsidRPr="00EA1CEE" w:rsidP="00EA1CEE">
            <w:pPr>
              <w:pStyle w:val="ListBullet"/>
            </w:pPr>
            <w:r w:rsidRPr="00EA1CEE">
              <w:t>Knowledge of symptoms and signs that suggest a need for further assessment and/or treatment</w:t>
            </w:r>
          </w:p>
          <w:p w:rsidR="00000000" w:rsidRPr="00EA1CEE" w:rsidP="00EA1CEE">
            <w:pPr>
              <w:pStyle w:val="ListBullet"/>
            </w:pPr>
            <w:r w:rsidRPr="00EA1CEE">
              <w:t>National Aboriginal Health Strategy</w:t>
            </w:r>
          </w:p>
          <w:p w:rsidR="00000000" w:rsidRPr="00EA1CEE" w:rsidP="00EA1CEE">
            <w:pPr>
              <w:pStyle w:val="ListBullet"/>
            </w:pPr>
            <w:r w:rsidRPr="00EA1CEE">
              <w:t>Organisation policies and procedures relating t</w:t>
            </w:r>
            <w:r w:rsidRPr="00EA1CEE">
              <w:t>o client confidentiality</w:t>
            </w:r>
          </w:p>
          <w:p w:rsidR="00000000" w:rsidRPr="00EA1CEE" w:rsidP="00EA1CEE">
            <w:pPr>
              <w:pStyle w:val="ListBullet"/>
            </w:pPr>
            <w:r w:rsidRPr="00EA1CEE">
              <w:t>Role of the Aboriginal Health Worker in counselling and health education</w:t>
            </w:r>
          </w:p>
          <w:p w:rsidR="00000000" w:rsidRPr="00EA1CEE" w:rsidP="00EA1CEE">
            <w:pPr>
              <w:pStyle w:val="ListBullet"/>
            </w:pPr>
            <w:r w:rsidRPr="00EA1CEE">
              <w:t>Strategies to:</w:t>
            </w:r>
          </w:p>
          <w:p w:rsidR="00000000" w:rsidRPr="00EA1CEE" w:rsidP="00EA1CEE">
            <w:pPr>
              <w:pStyle w:val="ListBullet2"/>
            </w:pPr>
            <w:r w:rsidRPr="00EA1CEE">
              <w:t>improve oral health in the community</w:t>
            </w:r>
          </w:p>
          <w:p w:rsidR="00000000" w:rsidRPr="00EA1CEE" w:rsidP="00EA1CEE">
            <w:pPr>
              <w:pStyle w:val="ListBullet2"/>
            </w:pPr>
            <w:r w:rsidRPr="00EA1CEE">
              <w:t>address clients presenting with oral health problems</w:t>
            </w:r>
          </w:p>
          <w:p w:rsidR="00000000" w:rsidRPr="00EA1CEE" w:rsidP="00EA1CEE">
            <w:pPr>
              <w:pStyle w:val="ListBullet2"/>
            </w:pPr>
            <w:r w:rsidRPr="00EA1CEE">
              <w:t>coordinate provision of optimum level of oral he</w:t>
            </w:r>
            <w:r w:rsidRPr="00EA1CEE">
              <w:t>alth service delivery</w:t>
            </w:r>
          </w:p>
          <w:p w:rsidR="00000000" w:rsidRPr="00EA1CEE" w:rsidP="00EA1CEE">
            <w:pPr>
              <w:pStyle w:val="ListBullet"/>
            </w:pPr>
            <w:r w:rsidRPr="00EA1CEE">
              <w:t>Oral health problems requiring referral</w:t>
            </w:r>
          </w:p>
          <w:p w:rsidR="00000000" w:rsidRPr="00EA1CEE" w:rsidP="00EA1CEE">
            <w:pPr>
              <w:pStyle w:val="ListBullet"/>
            </w:pPr>
            <w:r w:rsidRPr="00EA1CEE">
              <w:t>Effective self-care practices for oral health, including effective tooth-brushing technique</w:t>
            </w:r>
          </w:p>
          <w:p w:rsidR="00000000" w:rsidP="00EA1CEE">
            <w:pPr>
              <w:pStyle w:val="ListBullet"/>
              <w:rPr>
                <w:lang w:val="en-NZ"/>
              </w:rPr>
            </w:pPr>
            <w:r w:rsidRPr="00EA1CEE">
              <w:t>Relevant evaluation criteria for monitoring effectiveness of oral health care program</w:t>
            </w:r>
          </w:p>
        </w:tc>
      </w:tr>
      <w:tr w:rsidTr="003246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rPr>
                <w:rStyle w:val="Emphasis"/>
              </w:rPr>
              <w:t>Essential skills</w:t>
            </w:r>
            <w:r w:rsidRPr="00EA1CEE">
              <w:t>:</w:t>
            </w:r>
          </w:p>
          <w:p w:rsidR="00000000" w:rsidRPr="00EA1CEE" w:rsidP="00EA1CEE">
            <w:pPr>
              <w:pStyle w:val="BodyText"/>
            </w:pPr>
            <w:r w:rsidRPr="00EA1CEE">
              <w:t>It is critical that the candidate demonstrate the ability to:</w:t>
            </w:r>
          </w:p>
          <w:p w:rsidR="00000000" w:rsidRPr="00EA1CEE" w:rsidP="00EA1CEE">
            <w:pPr>
              <w:pStyle w:val="ListBullet"/>
            </w:pPr>
            <w:r w:rsidRPr="00EA1CEE">
              <w:t>Communicate effectively in a group and one-on-one environment to promote healthy practices and discuss health issues</w:t>
            </w:r>
          </w:p>
          <w:p w:rsidR="00000000" w:rsidRPr="00EA1CEE" w:rsidP="00EA1CEE">
            <w:pPr>
              <w:pStyle w:val="ListBullet"/>
            </w:pPr>
            <w:r w:rsidRPr="00EA1CEE">
              <w:t>Provide accurate and relevant information and guidance abo</w:t>
            </w:r>
            <w:r w:rsidRPr="00EA1CEE">
              <w:t>ut oral health care in line with identified individual and community needs.</w:t>
            </w:r>
          </w:p>
          <w:p w:rsidR="00000000" w:rsidRPr="00EA1CEE" w:rsidP="00EA1CEE">
            <w:pPr>
              <w:pStyle w:val="ListBullet"/>
            </w:pPr>
            <w:r w:rsidRPr="00EA1CEE">
              <w:t>Comply with current NHMRC infection control guidelines, Australian Standards and legislative requirements</w:t>
            </w:r>
          </w:p>
          <w:p w:rsidR="00000000" w:rsidRPr="00EA1CEE" w:rsidP="00EA1CEE">
            <w:pPr>
              <w:pStyle w:val="BodyText"/>
            </w:pPr>
          </w:p>
          <w:p w:rsidR="00000000" w:rsidRPr="00EA1CEE" w:rsidP="00EA1CEE">
            <w:pPr>
              <w:pStyle w:val="BodyText"/>
            </w:pPr>
            <w:r w:rsidRPr="00EA1CEE">
              <w:t>In addition, the candidate must be able to effectively do the task outlin</w:t>
            </w:r>
            <w:r w:rsidRPr="00EA1CEE">
              <w:t>ed in elements and performance criteria of this unit, manage the task and manage contingencies in the context of the identified work role</w:t>
            </w:r>
          </w:p>
          <w:p w:rsidR="00000000" w:rsidRPr="00EA1CEE" w:rsidP="00EA1CEE">
            <w:pPr>
              <w:pStyle w:val="BodyText"/>
            </w:pPr>
            <w:r w:rsidRPr="00EA1CEE">
              <w:t>This includes the ability to:</w:t>
            </w:r>
          </w:p>
          <w:p w:rsidR="00000000" w:rsidRPr="00EA1CEE" w:rsidP="00EA1CEE">
            <w:pPr>
              <w:pStyle w:val="ListBullet"/>
            </w:pPr>
            <w:r w:rsidRPr="00EA1CEE">
              <w:t xml:space="preserve">Communicate effectively to provide information and ensure understanding of information </w:t>
            </w:r>
            <w:r w:rsidRPr="00EA1CEE">
              <w:t>provided</w:t>
            </w:r>
          </w:p>
          <w:p w:rsidR="00000000" w:rsidRPr="00EA1CEE" w:rsidP="00EA1CEE">
            <w:pPr>
              <w:pStyle w:val="ListBullet"/>
            </w:pPr>
            <w:r w:rsidRPr="00EA1CEE">
              <w:t>Liaise between service providers and community groups</w:t>
            </w:r>
          </w:p>
          <w:p w:rsidR="00000000" w:rsidRPr="00EA1CEE" w:rsidP="00EA1CEE">
            <w:pPr>
              <w:pStyle w:val="ListBullet"/>
            </w:pPr>
            <w:r w:rsidRPr="00EA1CEE">
              <w:t>Provide community education on oral health</w:t>
            </w:r>
          </w:p>
          <w:p w:rsidR="00000000" w:rsidRPr="00EA1CEE" w:rsidP="00EA1CEE">
            <w:pPr>
              <w:pStyle w:val="ListBullet"/>
            </w:pPr>
            <w:r w:rsidRPr="00EA1CEE">
              <w:t>Reflect on and improve own level and application of skills and knowledge to achieve desirable outcomes and maintain own capabilities</w:t>
            </w:r>
          </w:p>
          <w:p w:rsidR="00000000" w:rsidRPr="00EA1CEE" w:rsidP="00EA1CEE">
            <w:pPr>
              <w:pStyle w:val="ListBullet"/>
            </w:pPr>
            <w:r w:rsidRPr="00EA1CEE">
              <w:t xml:space="preserve">Work with a team </w:t>
            </w:r>
            <w:r w:rsidRPr="00EA1CEE">
              <w:t>to deliver effective health promotion and education for Aboriginal and/or Torres Strait Islander communities and clients using appropriate facilitation, problem solving and instructional practices</w:t>
            </w:r>
          </w:p>
        </w:tc>
      </w:tr>
    </w:tbl>
    <w:p w:rsidR="003246E1" w:rsidP="00EA1CEE">
      <w:pPr>
        <w:pStyle w:val="BodyText"/>
      </w:pPr>
    </w:p>
    <w:p w:rsidR="003246E1" w:rsidP="00EA1CEE">
      <w:pPr>
        <w:pStyle w:val="BodyText"/>
      </w:pPr>
    </w:p>
    <w:p w:rsidR="00000000" w:rsidRPr="00EA1CEE" w:rsidP="00EA1CEE">
      <w:pPr>
        <w:pStyle w:val="Heading1"/>
      </w:pPr>
      <w:bookmarkStart w:id="10" w:name="O_243630"/>
      <w:bookmarkEnd w:id="10"/>
      <w:r w:rsidRPr="00EA1CEE">
        <w:t>Evidence Guide</w:t>
      </w:r>
    </w:p>
    <w:tbl>
      <w:tblPr>
        <w:tblW w:w="0" w:type="auto"/>
        <w:tblLayout w:type="fixed"/>
        <w:tblCellMar>
          <w:left w:w="62" w:type="dxa"/>
          <w:right w:w="62" w:type="dxa"/>
        </w:tblCellMar>
        <w:tblLook w:val="0000"/>
      </w:tblPr>
      <w:tblGrid>
        <w:gridCol w:w="3402"/>
        <w:gridCol w:w="5670"/>
      </w:tblGrid>
      <w:tr w:rsidTr="003246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EVIDENCE GUIDE</w:t>
            </w:r>
          </w:p>
        </w:tc>
      </w:tr>
      <w:tr w:rsidTr="003246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t>The evidence guide provides advice on assessment and must be read in conjunction with the Performance Criteria, Required Skills and Knowledge, the Range Statement and the Assessment Guidelines for this Training Package.</w:t>
            </w:r>
          </w:p>
        </w:tc>
      </w:tr>
      <w:tr w:rsidTr="003246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Critical aspects of assessment</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The individual being assessed must provide evidence of specified essential knowledge as well as skills</w:t>
            </w:r>
          </w:p>
          <w:p w:rsidR="00000000" w:rsidRPr="00EA1CEE" w:rsidP="00EA1CEE">
            <w:pPr>
              <w:pStyle w:val="ListBullet"/>
            </w:pPr>
            <w:r w:rsidRPr="00EA1CEE">
              <w:t>Consistency of performance should be demonstrated over the required range of situations relevant to the workplace</w:t>
            </w:r>
          </w:p>
          <w:p w:rsidR="00000000" w:rsidP="00EA1CEE">
            <w:pPr>
              <w:pStyle w:val="ListBullet"/>
              <w:rPr>
                <w:lang w:val="en-NZ"/>
              </w:rPr>
            </w:pPr>
            <w:r w:rsidRPr="00EA1CEE">
              <w:t xml:space="preserve">Where, for reasons of safety, space, </w:t>
            </w:r>
            <w:r w:rsidRPr="00EA1CEE">
              <w:t>or access to equipment and resources, assessment takes place away from the workplace, the assessment environment should represent workplace conditions as closely as possible</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Conditions of assessment</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This unit includes skills and knowledge specific to Aboriginal and/or Torres Strait Islander culture</w:t>
            </w:r>
          </w:p>
          <w:p w:rsidR="00000000" w:rsidRPr="00EA1CEE" w:rsidP="00EA1CEE">
            <w:pPr>
              <w:pStyle w:val="BodyText"/>
            </w:pPr>
            <w:r w:rsidRPr="00EA1CEE">
              <w:t>Assessment must therefore be undertaken by a workplace assessor who has expertise in the unit of competency or who has the current qualification being asse</w:t>
            </w:r>
            <w:r w:rsidRPr="00EA1CEE">
              <w:t>ssed and who is:</w:t>
            </w:r>
          </w:p>
          <w:p w:rsidR="00000000" w:rsidRPr="00EA1CEE" w:rsidP="00EA1CEE">
            <w:pPr>
              <w:pStyle w:val="ListBullet2"/>
            </w:pPr>
            <w:r w:rsidRPr="00EA1CEE">
              <w:t>Aboriginal or Torres Strait Islander him/herself</w:t>
            </w:r>
          </w:p>
          <w:p w:rsidR="00000000" w:rsidRPr="00EA1CEE" w:rsidP="00EA1CEE">
            <w:pPr>
              <w:pStyle w:val="BodyText"/>
            </w:pPr>
            <w:r w:rsidRPr="00EA1CEE">
              <w:t>or:</w:t>
            </w:r>
          </w:p>
          <w:p w:rsidR="00000000" w:rsidP="00EA1CEE">
            <w:pPr>
              <w:pStyle w:val="ListBullet2"/>
              <w:rPr>
                <w:lang w:val="en-NZ"/>
              </w:rPr>
            </w:pPr>
            <w:r w:rsidRPr="00EA1CEE">
              <w:t>accompanied and advised by an Aboriginal or Torres Strait Islander person who is a recognised member of the community with experience in primary health care</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Context of assessment</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Competence should be demonstrated working individually, under supervision or as part of a primary health care team working with Aboriginal and/or Torres Strait Islander clients</w:t>
            </w:r>
          </w:p>
          <w:p w:rsidR="00000000" w:rsidP="00EA1CEE">
            <w:pPr>
              <w:pStyle w:val="BodyText"/>
              <w:rPr>
                <w:lang w:val="en-NZ"/>
              </w:rPr>
            </w:pPr>
            <w:r w:rsidRPr="00EA1CEE">
              <w:t>Assessment should replicate workplace conditions as far as possible</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Related</w:t>
            </w:r>
            <w:r w:rsidRPr="00EA1CEE">
              <w:rPr>
                <w:rStyle w:val="Emphasis"/>
              </w:rPr>
              <w:t xml:space="preserve"> units</w:t>
            </w:r>
            <w:r w:rsidRPr="00EA1CEE">
              <w:t>:</w:t>
            </w: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t>This unit may be assessed independently or in conjunction with other units with associated workplace application</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p>
        </w:tc>
      </w:tr>
    </w:tbl>
    <w:p w:rsidR="003246E1" w:rsidP="00EA1CEE">
      <w:pPr>
        <w:pStyle w:val="BodyText"/>
      </w:pPr>
    </w:p>
    <w:p w:rsidR="003246E1" w:rsidP="00EA1CEE">
      <w:pPr>
        <w:pStyle w:val="BodyText"/>
      </w:pPr>
    </w:p>
    <w:p w:rsidR="00000000" w:rsidRPr="00EA1CEE" w:rsidP="00EA1CEE">
      <w:pPr>
        <w:pStyle w:val="Heading1"/>
      </w:pPr>
      <w:bookmarkStart w:id="11" w:name="O_251613"/>
      <w:bookmarkEnd w:id="11"/>
      <w:r w:rsidRPr="00EA1CEE">
        <w:t>Range Statement</w:t>
      </w:r>
    </w:p>
    <w:tbl>
      <w:tblPr>
        <w:tblW w:w="0" w:type="auto"/>
        <w:tblLayout w:type="fixed"/>
        <w:tblCellMar>
          <w:left w:w="62" w:type="dxa"/>
          <w:right w:w="62" w:type="dxa"/>
        </w:tblCellMar>
        <w:tblLook w:val="0000"/>
      </w:tblPr>
      <w:tblGrid>
        <w:gridCol w:w="3402"/>
        <w:gridCol w:w="5670"/>
      </w:tblGrid>
      <w:tr w:rsidTr="003246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SpecialBold"/>
              </w:rPr>
              <w:t>RANGE STATEMENT</w:t>
            </w:r>
          </w:p>
        </w:tc>
      </w:tr>
      <w:tr w:rsidTr="003246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t>The Range Statement relates to the unit of competency as a whole. It allows for different work environments and situations that may affect performance. Add any essential operating conditions that may be present with training and assessment depending on the</w:t>
            </w:r>
            <w:r w:rsidRPr="00EA1CEE">
              <w:t xml:space="preserve"> work situation, needs of the candidate, accessibility of the item, and local industry and regional contexts.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This competency standard supports the recognition, protection and continued advancement of the inherent rights, cultures and traditions of Aboriginal and Torres Strait Islander peoples</w:t>
            </w:r>
          </w:p>
          <w:p w:rsidR="00000000" w:rsidRPr="00EA1CEE" w:rsidP="00EA1CEE">
            <w:pPr>
              <w:pStyle w:val="BodyText"/>
            </w:pPr>
            <w:r w:rsidRPr="00EA1CEE">
              <w:t>It recognises that the improvement of the health status of Aboriginal a</w:t>
            </w:r>
            <w:r w:rsidRPr="00EA1CEE">
              <w:t>nd Torres Strait Islander people must include attention to physical, spiritual, cultural, emotional and social well-being, community capacity and governance</w:t>
            </w:r>
          </w:p>
          <w:p w:rsidR="00000000" w:rsidP="00EA1CEE">
            <w:pPr>
              <w:pStyle w:val="BodyText"/>
              <w:rPr>
                <w:lang w:val="en-NZ"/>
              </w:rPr>
            </w:pPr>
            <w:r w:rsidRPr="00EA1CEE">
              <w:t>Its application must be culturally sensitive and supportive of traditional healing and health, know</w:t>
            </w:r>
            <w:r w:rsidRPr="00EA1CEE">
              <w:t>ledge and practices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t>Community participation and control in decision-making is essential to all aspects of health work, and the role of the health worker is to support the community in this process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Supervision must be c</w:t>
            </w:r>
            <w:r w:rsidRPr="00EA1CEE">
              <w:t>onducted in accordance with prevailing state/territory and organisation legislative and regulatory requirements</w:t>
            </w:r>
          </w:p>
          <w:p w:rsidR="00000000" w:rsidRPr="00EA1CEE" w:rsidP="00EA1CEE">
            <w:pPr>
              <w:pStyle w:val="BodyText"/>
            </w:pPr>
            <w:r w:rsidRPr="00EA1CEE">
              <w:t xml:space="preserve">References to supervision may include either direct or indirect supervision of work by more experienced workers, supervisors, managers or other </w:t>
            </w:r>
            <w:r w:rsidRPr="00EA1CEE">
              <w:t>health professionals</w:t>
            </w:r>
          </w:p>
          <w:p w:rsidR="00000000" w:rsidP="00EA1CEE">
            <w:pPr>
              <w:pStyle w:val="BodyText"/>
              <w:rPr>
                <w:lang w:val="en-NZ"/>
              </w:rPr>
            </w:pPr>
            <w:r w:rsidRPr="00EA1CEE">
              <w:t xml:space="preserve">A person at this level should </w:t>
            </w:r>
            <w:r w:rsidRPr="00EA1CEE">
              <w:rPr>
                <w:rStyle w:val="BoldandItalics"/>
              </w:rPr>
              <w:t>only</w:t>
            </w:r>
            <w:r w:rsidRPr="00EA1CEE">
              <w:t xml:space="preserve"> be required to make decisions about clients within the organisation's standard treatment protocols and associated guidelines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r w:rsidRPr="00EA1CEE">
              <w:t>Federal, state or territory legislation may impact on workers' practices and responsibilities. Implementation of the competency standards should reflect the legislative framework in which a health worker operates. It is recognised that this may sometimes r</w:t>
            </w:r>
            <w:r w:rsidRPr="00EA1CEE">
              <w:t>educe the application of the Range of Variables in practice. However, assessment in the workplace or through simulation should address all essential skills and knowledge across the Range of Variables</w:t>
            </w:r>
          </w:p>
          <w:p w:rsidR="00000000" w:rsidRPr="00EA1CEE" w:rsidP="00EA1CEE">
            <w:pPr>
              <w:pStyle w:val="BodyText"/>
            </w:pPr>
            <w:r w:rsidRPr="00EA1CEE">
              <w:t xml:space="preserve">Aboriginal and/or Torres Strait Islander health workers </w:t>
            </w:r>
            <w:r w:rsidRPr="00EA1CEE">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EA1CEE">
            <w:pPr>
              <w:pStyle w:val="BodyText"/>
              <w:rPr>
                <w:lang w:val="en-NZ"/>
              </w:rPr>
            </w:pPr>
            <w:r w:rsidRPr="00EA1CEE">
              <w:t xml:space="preserve">Under </w:t>
            </w:r>
            <w:r w:rsidRPr="00EA1CEE">
              <w:t>all circumstances, the employer must enable the worker to function within the prevailing legislative framework</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Oral health education programs may include</w:t>
            </w:r>
            <w:r w:rsidRPr="00EA1CEE">
              <w:t xml:space="preserve">, </w:t>
            </w:r>
            <w:r w:rsidRPr="00EA1CEE">
              <w:rPr>
                <w:rStyle w:val="Emphasis"/>
              </w:rPr>
              <w:t>but are not limited to</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Prescribed home fluoride treatments</w:t>
            </w:r>
          </w:p>
          <w:p w:rsidR="00000000" w:rsidRPr="00EA1CEE" w:rsidP="00EA1CEE">
            <w:pPr>
              <w:pStyle w:val="ListBullet"/>
            </w:pPr>
            <w:r w:rsidRPr="00EA1CEE">
              <w:t>Recommended toothpaste, toothbrush a</w:t>
            </w:r>
            <w:r w:rsidRPr="00EA1CEE">
              <w:t>nd oral hygiene aids for home use</w:t>
            </w:r>
          </w:p>
          <w:p w:rsidR="00000000" w:rsidRPr="00EA1CEE" w:rsidP="00EA1CEE">
            <w:pPr>
              <w:pStyle w:val="ListBullet"/>
            </w:pPr>
            <w:r w:rsidRPr="00EA1CEE">
              <w:t>Modifications due to disability and aged care requirements</w:t>
            </w:r>
          </w:p>
          <w:p w:rsidR="00000000" w:rsidP="00EA1CEE">
            <w:pPr>
              <w:pStyle w:val="ListBullet"/>
              <w:rPr>
                <w:lang w:val="en-NZ"/>
              </w:rPr>
            </w:pPr>
            <w:r w:rsidRPr="00EA1CEE">
              <w:t>Age dependent modifications for children</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Causes and prevention of oral diseases may include</w:t>
            </w:r>
            <w:r w:rsidRPr="00EA1CEE">
              <w:t xml:space="preserve">, </w:t>
            </w:r>
            <w:r w:rsidRPr="00EA1CEE">
              <w:rPr>
                <w:rStyle w:val="Emphasis"/>
              </w:rPr>
              <w:t>but are not limited to</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Role of plaque in development of dental caries and periodontal disease</w:t>
            </w:r>
          </w:p>
          <w:p w:rsidR="00000000" w:rsidRPr="00EA1CEE" w:rsidP="00EA1CEE">
            <w:pPr>
              <w:pStyle w:val="ListBullet"/>
            </w:pPr>
            <w:r w:rsidRPr="00EA1CEE">
              <w:t>Risk factors in development of dental caries, periodontal disease and non-carious tooth wear</w:t>
            </w:r>
          </w:p>
          <w:p w:rsidR="00000000" w:rsidRPr="00EA1CEE" w:rsidP="00EA1CEE">
            <w:pPr>
              <w:pStyle w:val="ListBullet"/>
            </w:pPr>
            <w:r w:rsidRPr="00EA1CEE">
              <w:t>Role of mouthguards in the prevention of trauma to dentition</w:t>
            </w:r>
          </w:p>
          <w:p w:rsidR="00000000" w:rsidRPr="00EA1CEE" w:rsidP="00EA1CEE">
            <w:pPr>
              <w:pStyle w:val="ListBullet"/>
            </w:pPr>
            <w:r w:rsidRPr="00EA1CEE">
              <w:t>Risk factors of cigarette smoki</w:t>
            </w:r>
            <w:r w:rsidRPr="00EA1CEE">
              <w:t>ng on oral soft tissues</w:t>
            </w:r>
          </w:p>
          <w:p w:rsidR="00000000" w:rsidRPr="00EA1CEE" w:rsidP="00EA1CEE">
            <w:pPr>
              <w:pStyle w:val="ListBullet"/>
            </w:pPr>
            <w:r w:rsidRPr="00EA1CEE">
              <w:t>Risk factors in diet related to the development of dental caries</w:t>
            </w:r>
          </w:p>
          <w:p w:rsidR="00000000" w:rsidP="00EA1CEE">
            <w:pPr>
              <w:pStyle w:val="ListBullet"/>
              <w:rPr>
                <w:lang w:val="en-NZ"/>
              </w:rPr>
            </w:pPr>
            <w:r w:rsidRPr="00EA1CEE">
              <w:t>Role of saliva in the prevention of dental caries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Oral hygiene techniques may include</w:t>
            </w:r>
            <w:r w:rsidRPr="00EA1CEE">
              <w:t xml:space="preserve">, </w:t>
            </w:r>
            <w:r w:rsidRPr="00EA1CEE">
              <w:rPr>
                <w:rStyle w:val="Emphasis"/>
              </w:rPr>
              <w:t>but are not limited to</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Manual and electric tooth brushing technique</w:t>
            </w:r>
          </w:p>
          <w:p w:rsidR="00000000" w:rsidRPr="00EA1CEE" w:rsidP="00EA1CEE">
            <w:pPr>
              <w:pStyle w:val="ListBullet"/>
            </w:pPr>
            <w:r w:rsidRPr="00EA1CEE">
              <w:t>Use of</w:t>
            </w:r>
            <w:r w:rsidRPr="00EA1CEE">
              <w:t xml:space="preserve"> dental floss</w:t>
            </w:r>
          </w:p>
          <w:p w:rsidR="00000000" w:rsidRPr="00EA1CEE" w:rsidP="00EA1CEE">
            <w:pPr>
              <w:pStyle w:val="ListBullet"/>
            </w:pPr>
            <w:r w:rsidRPr="00EA1CEE">
              <w:t xml:space="preserve">Use of fluoride toothpaste and mouth rinses when appropriate </w:t>
            </w:r>
          </w:p>
          <w:p w:rsidR="00000000" w:rsidRPr="00EA1CEE" w:rsidP="00EA1CEE">
            <w:pPr>
              <w:pStyle w:val="ListBullet"/>
            </w:pPr>
            <w:r w:rsidRPr="00EA1CEE">
              <w:t xml:space="preserve">Use of other specific oral hygiene aids when appropriate </w:t>
            </w:r>
          </w:p>
          <w:p w:rsidR="00000000" w:rsidRPr="00EA1CEE" w:rsidP="00EA1CEE">
            <w:pPr>
              <w:pStyle w:val="ListBullet"/>
            </w:pPr>
            <w:r w:rsidRPr="00EA1CEE">
              <w:t xml:space="preserve">Modifications to toothbrush handles for specific needs of client/carer </w:t>
            </w:r>
          </w:p>
          <w:p w:rsidR="00000000" w:rsidRPr="00EA1CEE" w:rsidP="00EA1CEE">
            <w:pPr>
              <w:pStyle w:val="ListBullet"/>
            </w:pPr>
            <w:r w:rsidRPr="00EA1CEE">
              <w:t xml:space="preserve">Modifications to application of program for carers of special needs and aged care clients </w:t>
            </w:r>
          </w:p>
          <w:p w:rsidR="00000000" w:rsidRPr="00EA1CEE" w:rsidP="00EA1CEE">
            <w:pPr>
              <w:pStyle w:val="ListBullet"/>
            </w:pPr>
            <w:r w:rsidRPr="00EA1CEE">
              <w:t xml:space="preserve">Modifications for young children </w:t>
            </w:r>
          </w:p>
          <w:p w:rsidR="00000000" w:rsidP="00EA1CEE">
            <w:pPr>
              <w:pStyle w:val="ListBullet"/>
              <w:rPr>
                <w:lang w:val="en-NZ"/>
              </w:rPr>
            </w:pPr>
            <w:r w:rsidRPr="00EA1CEE">
              <w:t>Modifications to techniques required for clients wearing oral appliances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Issues relating to diet and oral health may include</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Impact of cariogenic and low pH food, including:</w:t>
            </w:r>
          </w:p>
          <w:p w:rsidR="00000000" w:rsidRPr="00EA1CEE" w:rsidP="00EA1CEE">
            <w:pPr>
              <w:pStyle w:val="ListBullet2"/>
            </w:pPr>
            <w:r w:rsidRPr="00EA1CEE">
              <w:t xml:space="preserve">level of intake </w:t>
            </w:r>
          </w:p>
          <w:p w:rsidR="00000000" w:rsidRPr="00EA1CEE" w:rsidP="00EA1CEE">
            <w:pPr>
              <w:pStyle w:val="ListBullet2"/>
            </w:pPr>
            <w:r w:rsidRPr="00EA1CEE">
              <w:t xml:space="preserve">frequency of intake </w:t>
            </w:r>
          </w:p>
          <w:p w:rsidR="00000000" w:rsidRPr="00EA1CEE" w:rsidP="00EA1CEE">
            <w:pPr>
              <w:pStyle w:val="ListBullet2"/>
            </w:pPr>
            <w:r w:rsidRPr="00EA1CEE">
              <w:t xml:space="preserve">consistency </w:t>
            </w:r>
          </w:p>
          <w:p w:rsidR="00000000" w:rsidRPr="00EA1CEE" w:rsidP="00EA1CEE">
            <w:pPr>
              <w:pStyle w:val="ListBullet2"/>
            </w:pPr>
            <w:r w:rsidRPr="00EA1CEE">
              <w:t>content</w:t>
            </w:r>
          </w:p>
          <w:p w:rsidR="00000000" w:rsidP="00EA1CEE">
            <w:pPr>
              <w:pStyle w:val="ListBullet"/>
              <w:rPr>
                <w:lang w:val="en-NZ"/>
              </w:rPr>
            </w:pPr>
            <w:r w:rsidRPr="00EA1CEE">
              <w:t>Importance of reviewing current dietary habits</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Oral diseases targeted in an oral health program may include those for</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 xml:space="preserve">Dental caries (decay of dentition) </w:t>
            </w:r>
          </w:p>
          <w:p w:rsidR="00000000" w:rsidRPr="00EA1CEE" w:rsidP="00EA1CEE">
            <w:pPr>
              <w:pStyle w:val="ListBullet"/>
            </w:pPr>
            <w:r w:rsidRPr="00EA1CEE">
              <w:t xml:space="preserve">Periodontal disease ( supporting structures of dentition) </w:t>
            </w:r>
          </w:p>
          <w:p w:rsidR="00000000" w:rsidRPr="00EA1CEE" w:rsidP="00EA1CEE">
            <w:pPr>
              <w:pStyle w:val="ListBullet"/>
            </w:pPr>
            <w:r w:rsidRPr="00EA1CEE">
              <w:t xml:space="preserve">Non carious tooth wear </w:t>
            </w:r>
          </w:p>
          <w:p w:rsidR="00000000" w:rsidRPr="00EA1CEE" w:rsidP="00EA1CEE">
            <w:pPr>
              <w:pStyle w:val="ListBullet"/>
            </w:pPr>
            <w:r w:rsidRPr="00EA1CEE">
              <w:t xml:space="preserve">Damage to dentition due to trauma </w:t>
            </w:r>
          </w:p>
          <w:p w:rsidR="00000000" w:rsidRPr="00EA1CEE" w:rsidP="00EA1CEE">
            <w:pPr>
              <w:pStyle w:val="ListBullet"/>
            </w:pPr>
            <w:r w:rsidRPr="00EA1CEE">
              <w:t xml:space="preserve">Damage to oral tissues due to cigarette smoking </w:t>
            </w:r>
          </w:p>
          <w:p w:rsidR="00000000" w:rsidP="00EA1CEE">
            <w:pPr>
              <w:pStyle w:val="ListBullet"/>
              <w:rPr>
                <w:lang w:val="en-NZ"/>
              </w:rPr>
            </w:pPr>
            <w:r w:rsidRPr="00EA1CEE">
              <w:t>Effects of low salivary flow</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Appropriate aids may</w:t>
            </w:r>
            <w:r w:rsidRPr="00EA1CEE">
              <w:rPr>
                <w:rStyle w:val="Emphasis"/>
              </w:rPr>
              <w:t xml:space="preserve"> include</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 xml:space="preserve">Range of manual and electric toothbrushes </w:t>
            </w:r>
          </w:p>
          <w:p w:rsidR="00000000" w:rsidRPr="00EA1CEE" w:rsidP="00EA1CEE">
            <w:pPr>
              <w:pStyle w:val="ListBullet"/>
            </w:pPr>
            <w:r w:rsidRPr="00EA1CEE">
              <w:t xml:space="preserve">Range of oral hygiene aids, including a range of dental floss </w:t>
            </w:r>
          </w:p>
          <w:p w:rsidR="00000000" w:rsidRPr="00EA1CEE" w:rsidP="00EA1CEE">
            <w:pPr>
              <w:pStyle w:val="ListBullet"/>
            </w:pPr>
            <w:r w:rsidRPr="00EA1CEE">
              <w:t xml:space="preserve">A range of toothpastes </w:t>
            </w:r>
          </w:p>
          <w:p w:rsidR="00000000" w:rsidRPr="00EA1CEE" w:rsidP="00EA1CEE">
            <w:pPr>
              <w:pStyle w:val="ListBullet"/>
            </w:pPr>
            <w:r w:rsidRPr="00EA1CEE">
              <w:t xml:space="preserve">Range of mouth rinses </w:t>
            </w:r>
          </w:p>
          <w:p w:rsidR="00000000" w:rsidP="00EA1CEE">
            <w:pPr>
              <w:pStyle w:val="ListBullet"/>
              <w:rPr>
                <w:lang w:val="en-NZ"/>
              </w:rPr>
            </w:pPr>
            <w:r w:rsidRPr="00EA1CEE">
              <w:t>Face mirror for client</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A1CEE">
            <w:pPr>
              <w:pStyle w:val="BodyText"/>
              <w:rPr>
                <w:lang w:val="en-NZ"/>
              </w:rPr>
            </w:pPr>
            <w:r w:rsidRPr="00EA1CEE">
              <w:rPr>
                <w:rStyle w:val="Emphasis"/>
              </w:rPr>
              <w:t>Strategies to improve oral health may include</w:t>
            </w:r>
            <w:r w:rsidRPr="00EA1CEE">
              <w:t>:</w:t>
            </w: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ListBullet"/>
            </w:pPr>
            <w:r w:rsidRPr="00EA1CEE">
              <w:t>Collection of data as a basis for preventing, containing or eliminating diseases or conditions causing oral health problems</w:t>
            </w:r>
          </w:p>
          <w:p w:rsidR="00000000" w:rsidRPr="00EA1CEE" w:rsidP="00EA1CEE">
            <w:pPr>
              <w:pStyle w:val="ListBullet"/>
            </w:pPr>
            <w:r w:rsidRPr="00EA1CEE">
              <w:t>Identification of relationships between oral health and nutrition, demography, culture, socio-economic status and general health</w:t>
            </w:r>
          </w:p>
          <w:p w:rsidR="00000000" w:rsidP="00EA1CEE">
            <w:pPr>
              <w:pStyle w:val="ListBullet"/>
              <w:rPr>
                <w:lang w:val="en-NZ"/>
              </w:rPr>
            </w:pPr>
            <w:r w:rsidRPr="00EA1CEE">
              <w:t>Use</w:t>
            </w:r>
            <w:r w:rsidRPr="00EA1CEE">
              <w:t xml:space="preserve"> of a community development approach to devise strategies to improve oral health</w:t>
            </w:r>
          </w:p>
        </w:tc>
      </w:tr>
      <w:tr w:rsidTr="003246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A1CEE" w:rsidP="00EA1CEE">
            <w:pPr>
              <w:pStyle w:val="BodyText"/>
            </w:pPr>
          </w:p>
        </w:tc>
      </w:tr>
    </w:tbl>
    <w:p w:rsidR="003246E1" w:rsidP="00EA1CEE">
      <w:pPr>
        <w:pStyle w:val="BodyText"/>
      </w:pPr>
    </w:p>
    <w:p w:rsidR="003246E1" w:rsidP="00EA1CEE">
      <w:pPr>
        <w:pStyle w:val="BodyText"/>
      </w:pPr>
    </w:p>
    <w:p w:rsidR="00000000" w:rsidRPr="00EA1CEE" w:rsidP="00EA1CEE">
      <w:pPr>
        <w:pStyle w:val="Heading1"/>
      </w:pPr>
      <w:bookmarkStart w:id="12" w:name="O_294839"/>
      <w:bookmarkEnd w:id="12"/>
      <w:r w:rsidRPr="00EA1CEE">
        <w:t>Unit Sector(s)</w:t>
      </w:r>
    </w:p>
    <w:p w:rsidR="00000000" w:rsidRPr="00EA1CEE" w:rsidP="00EA1CEE">
      <w:pPr>
        <w:pStyle w:val="BodyText"/>
      </w:pPr>
      <w:r w:rsidRPr="00EA1CEE">
        <w:t>Not Applicable</w:t>
      </w:r>
    </w:p>
    <w:p w:rsidR="00000000" w:rsidRPr="00EA1CEE" w:rsidP="00EA1CEE"/>
    <w:sectPr w:rsidSect="00EA1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6E1" w:rsidP="003246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E1" w:rsidP="00EA1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246E1" w:rsidP="00EA1C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46E1" w:rsidP="00EA1C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6E1" w:rsidP="003246E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6E1" w:rsidP="00EA1CEE">
    <w:pPr>
      <w:pStyle w:val="Header"/>
      <w:framePr w:wrap="around"/>
    </w:pPr>
    <w:r>
      <w:fldChar w:fldCharType="begin"/>
    </w:r>
    <w:r>
      <w:instrText xml:space="preserve"> TITLE   \* MERGEFORMAT </w:instrText>
    </w:r>
    <w:r>
      <w:fldChar w:fldCharType="separate"/>
    </w:r>
    <w:r>
      <w:t>HLTAHW423B Provide information and strategies in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46E1" w:rsidP="00EA1C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4A18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2A1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965D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1CEE"/>
    <w:pPr>
      <w:spacing w:before="360" w:after="60"/>
      <w:outlineLvl w:val="0"/>
    </w:pPr>
    <w:rPr>
      <w:sz w:val="32"/>
    </w:rPr>
  </w:style>
  <w:style w:type="paragraph" w:styleId="Heading2">
    <w:name w:val="heading 2"/>
    <w:basedOn w:val="HeadingBase"/>
    <w:next w:val="BodyText"/>
    <w:link w:val="Heading2Char"/>
    <w:qFormat/>
    <w:rsid w:val="00EA1CEE"/>
    <w:pPr>
      <w:keepLines/>
      <w:spacing w:before="240" w:after="120"/>
      <w:outlineLvl w:val="1"/>
    </w:pPr>
    <w:rPr>
      <w:sz w:val="28"/>
      <w:szCs w:val="40"/>
    </w:rPr>
  </w:style>
  <w:style w:type="paragraph" w:styleId="Heading3">
    <w:name w:val="heading 3"/>
    <w:basedOn w:val="HeadingBase"/>
    <w:next w:val="BodyText"/>
    <w:link w:val="Heading3Char"/>
    <w:qFormat/>
    <w:rsid w:val="00EA1CEE"/>
    <w:pPr>
      <w:spacing w:before="180" w:after="120"/>
      <w:outlineLvl w:val="2"/>
    </w:pPr>
    <w:rPr>
      <w:spacing w:val="-10"/>
      <w:kern w:val="32"/>
    </w:rPr>
  </w:style>
  <w:style w:type="paragraph" w:styleId="Heading4">
    <w:name w:val="heading 4"/>
    <w:basedOn w:val="HeadingBase"/>
    <w:next w:val="BodyText"/>
    <w:link w:val="Heading4Char"/>
    <w:qFormat/>
    <w:rsid w:val="00EA1CEE"/>
    <w:pPr>
      <w:spacing w:before="160" w:after="120"/>
      <w:outlineLvl w:val="3"/>
    </w:pPr>
    <w:rPr>
      <w:sz w:val="22"/>
    </w:rPr>
  </w:style>
  <w:style w:type="paragraph" w:styleId="Heading5">
    <w:name w:val="heading 5"/>
    <w:basedOn w:val="HeadingBase"/>
    <w:next w:val="Normal"/>
    <w:link w:val="Heading5Char"/>
    <w:qFormat/>
    <w:rsid w:val="00EA1CEE"/>
    <w:pPr>
      <w:spacing w:before="80"/>
      <w:outlineLvl w:val="4"/>
    </w:pPr>
    <w:rPr>
      <w:color w:val="918585"/>
      <w:sz w:val="20"/>
    </w:rPr>
  </w:style>
  <w:style w:type="paragraph" w:styleId="Heading6">
    <w:name w:val="heading 6"/>
    <w:basedOn w:val="HeadingBase"/>
    <w:next w:val="Normal"/>
    <w:link w:val="Heading6Char"/>
    <w:qFormat/>
    <w:rsid w:val="00EA1CEE"/>
    <w:pPr>
      <w:spacing w:before="60"/>
      <w:outlineLvl w:val="5"/>
    </w:pPr>
    <w:rPr>
      <w:color w:val="918585"/>
      <w:sz w:val="20"/>
    </w:rPr>
  </w:style>
  <w:style w:type="paragraph" w:styleId="Heading7">
    <w:name w:val="heading 7"/>
    <w:basedOn w:val="Normal"/>
    <w:next w:val="Normal"/>
    <w:link w:val="Heading7Char"/>
    <w:qFormat/>
    <w:rsid w:val="00EA1CEE"/>
    <w:pPr>
      <w:ind w:left="720"/>
      <w:outlineLvl w:val="6"/>
    </w:pPr>
    <w:rPr>
      <w:i/>
    </w:rPr>
  </w:style>
  <w:style w:type="paragraph" w:styleId="Heading8">
    <w:name w:val="heading 8"/>
    <w:basedOn w:val="Normal"/>
    <w:next w:val="Normal"/>
    <w:link w:val="Heading8Char"/>
    <w:qFormat/>
    <w:rsid w:val="00EA1CEE"/>
    <w:pPr>
      <w:ind w:left="720"/>
      <w:outlineLvl w:val="7"/>
    </w:pPr>
    <w:rPr>
      <w:i/>
    </w:rPr>
  </w:style>
  <w:style w:type="paragraph" w:styleId="Heading9">
    <w:name w:val="heading 9"/>
    <w:basedOn w:val="Normal"/>
    <w:next w:val="Normal"/>
    <w:link w:val="Heading9Char"/>
    <w:qFormat/>
    <w:rsid w:val="00EA1CEE"/>
    <w:pPr>
      <w:ind w:left="720"/>
      <w:outlineLvl w:val="8"/>
    </w:pPr>
    <w:rPr>
      <w:i/>
    </w:rPr>
  </w:style>
  <w:style w:type="character" w:default="1" w:styleId="DefaultParagraphFont">
    <w:name w:val="Default Paragraph Font"/>
    <w:uiPriority w:val="1"/>
    <w:unhideWhenUsed/>
    <w:rsid w:val="00EA1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CEE"/>
  </w:style>
  <w:style w:type="character" w:customStyle="1" w:styleId="Heading1Char">
    <w:name w:val="Heading 1 Char"/>
    <w:link w:val="Heading1"/>
    <w:rsid w:val="00EA1CEE"/>
    <w:rPr>
      <w:rFonts w:ascii="Times New Roman" w:eastAsia="Times New Roman" w:hAnsi="Times New Roman" w:cs="Times New Roman"/>
      <w:b/>
      <w:sz w:val="32"/>
      <w:szCs w:val="20"/>
      <w:lang w:eastAsia="en-US"/>
    </w:rPr>
  </w:style>
  <w:style w:type="paragraph" w:styleId="BodyText">
    <w:name w:val="Body Text"/>
    <w:basedOn w:val="Normal"/>
    <w:link w:val="BodyTextChar"/>
    <w:rsid w:val="00EA1CEE"/>
    <w:pPr>
      <w:spacing w:before="120" w:after="120"/>
      <w:contextualSpacing/>
    </w:pPr>
    <w:rPr>
      <w:rFonts w:ascii="Times New Roman" w:hAnsi="Times New Roman"/>
      <w:sz w:val="24"/>
      <w:szCs w:val="22"/>
    </w:rPr>
  </w:style>
  <w:style w:type="character" w:customStyle="1" w:styleId="BodyTextChar">
    <w:name w:val="Body Text Char"/>
    <w:link w:val="BodyText"/>
    <w:rsid w:val="00EA1CEE"/>
    <w:rPr>
      <w:rFonts w:ascii="Times New Roman" w:eastAsia="Times New Roman" w:hAnsi="Times New Roman" w:cs="Times New Roman"/>
      <w:sz w:val="24"/>
      <w:lang w:val="en-US" w:eastAsia="en-US"/>
    </w:rPr>
  </w:style>
  <w:style w:type="paragraph" w:styleId="Footer">
    <w:name w:val="footer"/>
    <w:basedOn w:val="Normal"/>
    <w:link w:val="FooterChar"/>
    <w:rsid w:val="00EA1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A1CEE"/>
    <w:rPr>
      <w:rFonts w:ascii="Times New Roman" w:eastAsia="Times New Roman" w:hAnsi="Times New Roman" w:cs="Times New Roman"/>
      <w:sz w:val="16"/>
      <w:lang w:val="en-US" w:eastAsia="en-US"/>
    </w:rPr>
  </w:style>
  <w:style w:type="paragraph" w:styleId="List">
    <w:name w:val="List"/>
    <w:basedOn w:val="BodyText"/>
    <w:next w:val="BodyText"/>
    <w:rsid w:val="00EA1CEE"/>
    <w:pPr>
      <w:tabs>
        <w:tab w:val="left" w:pos="340"/>
      </w:tabs>
      <w:spacing w:before="60" w:after="60"/>
      <w:ind w:left="340" w:hanging="340"/>
    </w:pPr>
  </w:style>
  <w:style w:type="paragraph" w:styleId="ListBullet">
    <w:name w:val="List Bullet"/>
    <w:basedOn w:val="List"/>
    <w:rsid w:val="00EA1CEE"/>
    <w:pPr>
      <w:numPr>
        <w:numId w:val="13"/>
      </w:numPr>
      <w:tabs>
        <w:tab w:val="clear" w:pos="340"/>
      </w:tabs>
      <w:spacing w:before="40" w:after="40"/>
    </w:pPr>
  </w:style>
  <w:style w:type="character" w:customStyle="1" w:styleId="SpecialBold">
    <w:name w:val="Special Bold"/>
    <w:rsid w:val="00EA1CEE"/>
    <w:rPr>
      <w:b/>
      <w:spacing w:val="0"/>
    </w:rPr>
  </w:style>
  <w:style w:type="paragraph" w:styleId="ListBullet2">
    <w:name w:val="List Bullet 2"/>
    <w:basedOn w:val="List2"/>
    <w:rsid w:val="00EA1CEE"/>
    <w:pPr>
      <w:numPr>
        <w:numId w:val="14"/>
      </w:numPr>
      <w:tabs>
        <w:tab w:val="clear" w:pos="680"/>
      </w:tabs>
    </w:pPr>
  </w:style>
  <w:style w:type="paragraph" w:styleId="Header">
    <w:name w:val="header"/>
    <w:basedOn w:val="Normal"/>
    <w:link w:val="HeaderChar"/>
    <w:rsid w:val="00EA1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A1CEE"/>
    <w:rPr>
      <w:rFonts w:ascii="Times New Roman" w:eastAsia="Times New Roman" w:hAnsi="Times New Roman" w:cs="Times New Roman"/>
      <w:sz w:val="16"/>
      <w:szCs w:val="20"/>
      <w:lang w:val="en-GB" w:eastAsia="en-US"/>
    </w:rPr>
  </w:style>
  <w:style w:type="character" w:styleId="Emphasis">
    <w:name w:val="Emphasis"/>
    <w:qFormat/>
    <w:rsid w:val="00EA1CEE"/>
    <w:rPr>
      <w:i/>
    </w:rPr>
  </w:style>
  <w:style w:type="paragraph" w:customStyle="1" w:styleId="SuperHeading">
    <w:name w:val="SuperHeading"/>
    <w:basedOn w:val="Normal"/>
    <w:rsid w:val="00EA1CEE"/>
    <w:pPr>
      <w:spacing w:before="240" w:after="120"/>
      <w:outlineLvl w:val="0"/>
    </w:pPr>
    <w:rPr>
      <w:rFonts w:ascii="Times New Roman" w:hAnsi="Times New Roman"/>
      <w:b/>
      <w:sz w:val="28"/>
    </w:rPr>
  </w:style>
  <w:style w:type="paragraph" w:customStyle="1" w:styleId="AllowPageBreak">
    <w:name w:val="AllowPageBreak"/>
    <w:rsid w:val="00EA1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1CEE"/>
    <w:rPr>
      <w:b/>
      <w:i/>
      <w:u w:val="none"/>
    </w:rPr>
  </w:style>
  <w:style w:type="character" w:customStyle="1" w:styleId="Heading2Char">
    <w:name w:val="Heading 2 Char"/>
    <w:link w:val="Heading2"/>
    <w:rsid w:val="00EA1CEE"/>
    <w:rPr>
      <w:rFonts w:ascii="Times New Roman" w:eastAsia="Times New Roman" w:hAnsi="Times New Roman" w:cs="Times New Roman"/>
      <w:b/>
      <w:sz w:val="28"/>
      <w:szCs w:val="40"/>
      <w:lang w:eastAsia="en-US"/>
    </w:rPr>
  </w:style>
  <w:style w:type="character" w:customStyle="1" w:styleId="Heading3Char">
    <w:name w:val="Heading 3 Char"/>
    <w:link w:val="Heading3"/>
    <w:rsid w:val="00EA1C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A1CEE"/>
    <w:rPr>
      <w:rFonts w:ascii="Times New Roman" w:eastAsia="Times New Roman" w:hAnsi="Times New Roman" w:cs="Times New Roman"/>
      <w:b/>
      <w:szCs w:val="20"/>
      <w:lang w:eastAsia="en-US"/>
    </w:rPr>
  </w:style>
  <w:style w:type="character" w:customStyle="1" w:styleId="Heading5Char">
    <w:name w:val="Heading 5 Char"/>
    <w:link w:val="Heading5"/>
    <w:rsid w:val="00EA1C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A1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C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1C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1CEE"/>
    <w:rPr>
      <w:rFonts w:ascii="Courier New" w:eastAsia="Times New Roman" w:hAnsi="Courier New" w:cs="Times New Roman"/>
      <w:i/>
      <w:szCs w:val="20"/>
      <w:lang w:val="en-US" w:eastAsia="en-US"/>
    </w:rPr>
  </w:style>
  <w:style w:type="paragraph" w:customStyle="1" w:styleId="HeadingBase">
    <w:name w:val="Heading Base"/>
    <w:rsid w:val="00EA1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CEE"/>
    <w:pPr>
      <w:tabs>
        <w:tab w:val="right" w:leader="dot" w:pos="9072"/>
      </w:tabs>
      <w:ind w:left="567"/>
    </w:pPr>
    <w:rPr>
      <w:szCs w:val="22"/>
    </w:rPr>
  </w:style>
  <w:style w:type="paragraph" w:customStyle="1" w:styleId="TOCBase">
    <w:name w:val="TOC Base"/>
    <w:rsid w:val="00EA1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CEE"/>
    <w:pPr>
      <w:tabs>
        <w:tab w:val="right" w:leader="dot" w:pos="9072"/>
      </w:tabs>
      <w:spacing w:before="40" w:after="40"/>
      <w:ind w:left="284"/>
    </w:pPr>
    <w:rPr>
      <w:rFonts w:ascii="Times New Roman" w:hAnsi="Times New Roman"/>
    </w:rPr>
  </w:style>
  <w:style w:type="paragraph" w:styleId="TOC1">
    <w:name w:val="toc 1"/>
    <w:basedOn w:val="TOCBase"/>
    <w:next w:val="Normal"/>
    <w:rsid w:val="00EA1C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1CEE"/>
    <w:pPr>
      <w:spacing w:before="5040"/>
      <w:jc w:val="center"/>
    </w:pPr>
    <w:rPr>
      <w:sz w:val="48"/>
      <w:szCs w:val="72"/>
      <w:lang w:val="en-US"/>
    </w:rPr>
  </w:style>
  <w:style w:type="character" w:customStyle="1" w:styleId="TitleChar">
    <w:name w:val="Title Char"/>
    <w:link w:val="Title"/>
    <w:rsid w:val="00EA1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CEE"/>
    <w:pPr>
      <w:tabs>
        <w:tab w:val="left" w:pos="3600"/>
        <w:tab w:val="left" w:pos="3958"/>
      </w:tabs>
    </w:pPr>
  </w:style>
  <w:style w:type="paragraph" w:customStyle="1" w:styleId="Note">
    <w:name w:val="Note"/>
    <w:basedOn w:val="BodyText"/>
    <w:rsid w:val="00EA1C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CEE"/>
    <w:pPr>
      <w:framePr w:wrap="auto" w:hAnchor="text" w:y="6049"/>
    </w:pPr>
    <w:rPr>
      <w:color w:val="000000"/>
      <w:sz w:val="40"/>
    </w:rPr>
  </w:style>
  <w:style w:type="paragraph" w:customStyle="1" w:styleId="TOCTitle">
    <w:name w:val="TOCTitle"/>
    <w:basedOn w:val="Heading1"/>
    <w:rsid w:val="00EA1CEE"/>
    <w:pPr>
      <w:spacing w:after="240"/>
      <w:jc w:val="center"/>
      <w:outlineLvl w:val="9"/>
    </w:pPr>
    <w:rPr>
      <w:caps/>
    </w:rPr>
  </w:style>
  <w:style w:type="paragraph" w:customStyle="1" w:styleId="Version">
    <w:name w:val="Version"/>
    <w:rsid w:val="00EA1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CEE"/>
    <w:pPr>
      <w:keepNext w:val="0"/>
      <w:tabs>
        <w:tab w:val="right" w:pos="4176"/>
      </w:tabs>
      <w:ind w:left="198" w:hanging="198"/>
    </w:pPr>
    <w:rPr>
      <w:rFonts w:ascii="Garamond" w:hAnsi="Garamond"/>
    </w:rPr>
  </w:style>
  <w:style w:type="paragraph" w:styleId="IndexHeading">
    <w:name w:val="index heading"/>
    <w:basedOn w:val="Normal"/>
    <w:next w:val="Index1"/>
    <w:semiHidden/>
    <w:rsid w:val="00EA1CEE"/>
    <w:pPr>
      <w:spacing w:before="120" w:after="120"/>
    </w:pPr>
    <w:rPr>
      <w:rFonts w:ascii="Arial" w:hAnsi="Arial"/>
      <w:b/>
      <w:color w:val="918585"/>
      <w:sz w:val="24"/>
    </w:rPr>
  </w:style>
  <w:style w:type="paragraph" w:customStyle="1" w:styleId="Chapter">
    <w:name w:val="Chapter"/>
    <w:basedOn w:val="Normal"/>
    <w:rsid w:val="00EA1CEE"/>
    <w:pPr>
      <w:spacing w:before="240"/>
    </w:pPr>
    <w:rPr>
      <w:rFonts w:ascii="Times New Roman" w:hAnsi="Times New Roman"/>
      <w:smallCaps/>
      <w:spacing w:val="80"/>
      <w:sz w:val="28"/>
    </w:rPr>
  </w:style>
  <w:style w:type="paragraph" w:customStyle="1" w:styleId="InChapter">
    <w:name w:val="InChapter"/>
    <w:basedOn w:val="Heading3"/>
    <w:rsid w:val="00EA1CEE"/>
    <w:pPr>
      <w:spacing w:after="240"/>
      <w:outlineLvl w:val="9"/>
    </w:pPr>
    <w:rPr>
      <w:noProof/>
    </w:rPr>
  </w:style>
  <w:style w:type="paragraph" w:styleId="Index2">
    <w:name w:val="index 2"/>
    <w:basedOn w:val="Normal"/>
    <w:next w:val="Normal"/>
    <w:semiHidden/>
    <w:rsid w:val="00EA1CEE"/>
    <w:pPr>
      <w:tabs>
        <w:tab w:val="right" w:pos="4176"/>
      </w:tabs>
      <w:ind w:left="568" w:hanging="284"/>
    </w:pPr>
    <w:rPr>
      <w:rFonts w:ascii="Garamond" w:hAnsi="Garamond"/>
    </w:rPr>
  </w:style>
  <w:style w:type="paragraph" w:customStyle="1" w:styleId="Byline">
    <w:name w:val="Byline"/>
    <w:rsid w:val="00EA1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CEE"/>
    <w:pPr>
      <w:tabs>
        <w:tab w:val="clear" w:pos="3600"/>
        <w:tab w:val="clear" w:pos="3958"/>
      </w:tabs>
      <w:jc w:val="right"/>
    </w:pPr>
  </w:style>
  <w:style w:type="paragraph" w:styleId="Caption">
    <w:name w:val="caption"/>
    <w:basedOn w:val="BodyText"/>
    <w:next w:val="Normal"/>
    <w:qFormat/>
    <w:rsid w:val="00EA1CEE"/>
    <w:pPr>
      <w:framePr w:w="2268" w:hSpace="181" w:vSpace="181" w:wrap="around" w:vAnchor="text" w:hAnchor="page" w:x="1135" w:y="285" w:anchorLock="1"/>
    </w:pPr>
    <w:rPr>
      <w:i/>
    </w:rPr>
  </w:style>
  <w:style w:type="paragraph" w:customStyle="1" w:styleId="MiniTOCTitle">
    <w:name w:val="MiniTOCTitle"/>
    <w:basedOn w:val="Heading4"/>
    <w:rsid w:val="00EA1CEE"/>
    <w:pPr>
      <w:spacing w:before="240"/>
      <w:outlineLvl w:val="9"/>
    </w:pPr>
    <w:rPr>
      <w:noProof/>
      <w:sz w:val="24"/>
    </w:rPr>
  </w:style>
  <w:style w:type="paragraph" w:customStyle="1" w:styleId="MiniTOCItem">
    <w:name w:val="MiniTOCItem"/>
    <w:basedOn w:val="ListBullet"/>
    <w:rsid w:val="00EA1CEE"/>
    <w:pPr>
      <w:numPr>
        <w:numId w:val="0"/>
      </w:numPr>
      <w:tabs>
        <w:tab w:val="right" w:leader="dot" w:pos="6521"/>
      </w:tabs>
      <w:spacing w:before="0" w:after="0"/>
    </w:pPr>
  </w:style>
  <w:style w:type="paragraph" w:customStyle="1" w:styleId="TOFTitle">
    <w:name w:val="TOFTitle"/>
    <w:basedOn w:val="TOCTitle"/>
    <w:rsid w:val="00EA1CEE"/>
  </w:style>
  <w:style w:type="paragraph" w:styleId="TableofFigures">
    <w:name w:val="table of figures"/>
    <w:basedOn w:val="Normal"/>
    <w:next w:val="Normal"/>
    <w:semiHidden/>
    <w:rsid w:val="00EA1CEE"/>
    <w:pPr>
      <w:tabs>
        <w:tab w:val="right" w:leader="dot" w:pos="9072"/>
      </w:tabs>
      <w:ind w:left="970" w:hanging="403"/>
    </w:pPr>
    <w:rPr>
      <w:rFonts w:ascii="Times New Roman" w:hAnsi="Times New Roman"/>
      <w:b/>
    </w:rPr>
  </w:style>
  <w:style w:type="paragraph" w:styleId="ListNumber">
    <w:name w:val="List Number"/>
    <w:basedOn w:val="List"/>
    <w:rsid w:val="00EA1CEE"/>
    <w:pPr>
      <w:numPr>
        <w:numId w:val="11"/>
      </w:numPr>
    </w:pPr>
  </w:style>
  <w:style w:type="character" w:customStyle="1" w:styleId="WingdingSymbols">
    <w:name w:val="Wingding Symbols"/>
    <w:rsid w:val="00EA1CEE"/>
    <w:rPr>
      <w:rFonts w:ascii="Wingdings" w:hAnsi="Wingdings"/>
    </w:rPr>
  </w:style>
  <w:style w:type="paragraph" w:customStyle="1" w:styleId="TableHeading">
    <w:name w:val="Table Heading"/>
    <w:basedOn w:val="HeadingBase"/>
    <w:rsid w:val="00EA1CEE"/>
    <w:pPr>
      <w:keepLines/>
      <w:pBdr>
        <w:bottom w:val="single" w:sz="6" w:space="1" w:color="918585"/>
      </w:pBdr>
      <w:spacing w:before="240"/>
    </w:pPr>
  </w:style>
  <w:style w:type="character" w:customStyle="1" w:styleId="HotSpot">
    <w:name w:val="HotSpot"/>
    <w:rsid w:val="00EA1CEE"/>
    <w:rPr>
      <w:color w:val="0033CC"/>
      <w:u w:val="none"/>
    </w:rPr>
  </w:style>
  <w:style w:type="paragraph" w:customStyle="1" w:styleId="BodyTextRight">
    <w:name w:val="Body Text Right"/>
    <w:basedOn w:val="BodyText"/>
    <w:rsid w:val="00EA1CEE"/>
    <w:pPr>
      <w:spacing w:before="0" w:after="0"/>
      <w:jc w:val="right"/>
    </w:pPr>
  </w:style>
  <w:style w:type="paragraph" w:styleId="Index3">
    <w:name w:val="index 3"/>
    <w:basedOn w:val="ListNumber2"/>
    <w:next w:val="Normal"/>
    <w:semiHidden/>
    <w:rsid w:val="00EA1CEE"/>
    <w:pPr>
      <w:numPr>
        <w:numId w:val="0"/>
      </w:numPr>
      <w:tabs>
        <w:tab w:val="right" w:leader="dot" w:pos="4176"/>
      </w:tabs>
    </w:pPr>
  </w:style>
  <w:style w:type="paragraph" w:styleId="ListNumber2">
    <w:name w:val="List Number 2"/>
    <w:basedOn w:val="List2"/>
    <w:rsid w:val="00EA1CEE"/>
    <w:pPr>
      <w:numPr>
        <w:numId w:val="10"/>
      </w:numPr>
      <w:tabs>
        <w:tab w:val="clear" w:pos="1060"/>
      </w:tabs>
    </w:pPr>
  </w:style>
  <w:style w:type="paragraph" w:customStyle="1" w:styleId="MarginNote">
    <w:name w:val="Margin Note"/>
    <w:basedOn w:val="BodyText"/>
    <w:rsid w:val="00EA1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A1C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1CEE"/>
    <w:rPr>
      <w:sz w:val="32"/>
    </w:rPr>
  </w:style>
  <w:style w:type="paragraph" w:customStyle="1" w:styleId="HeadingProcedure">
    <w:name w:val="Heading Procedure"/>
    <w:basedOn w:val="HeadingBase"/>
    <w:next w:val="Normal"/>
    <w:rsid w:val="00EA1CEE"/>
    <w:pPr>
      <w:tabs>
        <w:tab w:val="left" w:pos="0"/>
      </w:tabs>
      <w:spacing w:before="120" w:after="60"/>
    </w:pPr>
    <w:rPr>
      <w:i/>
      <w:color w:val="918585"/>
      <w:sz w:val="22"/>
    </w:rPr>
  </w:style>
  <w:style w:type="paragraph" w:customStyle="1" w:styleId="TableBodyText">
    <w:name w:val="Table Body Text"/>
    <w:basedOn w:val="BodyText"/>
    <w:rsid w:val="00EA1CEE"/>
    <w:pPr>
      <w:spacing w:before="60" w:after="60"/>
    </w:pPr>
  </w:style>
  <w:style w:type="paragraph" w:styleId="ListContinue">
    <w:name w:val="List Continue"/>
    <w:basedOn w:val="List"/>
    <w:rsid w:val="00EA1CEE"/>
    <w:pPr>
      <w:ind w:firstLine="0"/>
    </w:pPr>
  </w:style>
  <w:style w:type="paragraph" w:customStyle="1" w:styleId="ListNote">
    <w:name w:val="List Note"/>
    <w:basedOn w:val="List"/>
    <w:rsid w:val="00EA1CEE"/>
    <w:pPr>
      <w:pBdr>
        <w:top w:val="single" w:sz="6" w:space="2" w:color="918585"/>
        <w:bottom w:val="single" w:sz="6" w:space="2" w:color="918585"/>
      </w:pBdr>
      <w:tabs>
        <w:tab w:val="left" w:pos="1021"/>
      </w:tabs>
      <w:ind w:firstLine="0"/>
    </w:pPr>
  </w:style>
  <w:style w:type="paragraph" w:customStyle="1" w:styleId="Warning">
    <w:name w:val="Warning"/>
    <w:basedOn w:val="BodyText"/>
    <w:rsid w:val="00EA1CEE"/>
    <w:pPr>
      <w:shd w:val="clear" w:color="auto" w:fill="D9D9D9"/>
      <w:tabs>
        <w:tab w:val="left" w:pos="992"/>
      </w:tabs>
      <w:ind w:left="119" w:right="119"/>
    </w:pPr>
    <w:rPr>
      <w:sz w:val="20"/>
    </w:rPr>
  </w:style>
  <w:style w:type="paragraph" w:customStyle="1" w:styleId="MarginIcons">
    <w:name w:val="Margin Icons"/>
    <w:basedOn w:val="BodyText"/>
    <w:rsid w:val="00EA1C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A1CEE"/>
    <w:rPr>
      <w:rFonts w:ascii="Courier New" w:hAnsi="Courier New"/>
    </w:rPr>
  </w:style>
  <w:style w:type="paragraph" w:customStyle="1" w:styleId="NoteBullet">
    <w:name w:val="Note Bullet"/>
    <w:basedOn w:val="Note"/>
    <w:rsid w:val="00EA1CEE"/>
    <w:pPr>
      <w:tabs>
        <w:tab w:val="clear" w:pos="680"/>
      </w:tabs>
      <w:spacing w:before="60" w:after="60"/>
    </w:pPr>
  </w:style>
  <w:style w:type="paragraph" w:customStyle="1" w:styleId="SubHeading2">
    <w:name w:val="SubHeading2"/>
    <w:basedOn w:val="HeadingBase"/>
    <w:rsid w:val="00EA1CEE"/>
    <w:pPr>
      <w:spacing w:before="240" w:after="60"/>
    </w:pPr>
    <w:rPr>
      <w:sz w:val="20"/>
    </w:rPr>
  </w:style>
  <w:style w:type="paragraph" w:customStyle="1" w:styleId="SubHeading1">
    <w:name w:val="SubHeading1"/>
    <w:basedOn w:val="HeadingBase"/>
    <w:rsid w:val="00EA1CEE"/>
    <w:pPr>
      <w:spacing w:before="240" w:after="60"/>
    </w:pPr>
    <w:rPr>
      <w:color w:val="918585"/>
      <w:sz w:val="22"/>
    </w:rPr>
  </w:style>
  <w:style w:type="paragraph" w:customStyle="1" w:styleId="SideHeading">
    <w:name w:val="Side Heading"/>
    <w:basedOn w:val="HeadingBase"/>
    <w:rsid w:val="00EA1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CEE"/>
    <w:pPr>
      <w:numPr>
        <w:numId w:val="12"/>
      </w:numPr>
    </w:pPr>
  </w:style>
  <w:style w:type="paragraph" w:styleId="PlainText">
    <w:name w:val="Plain Text"/>
    <w:basedOn w:val="Normal"/>
    <w:link w:val="PlainTextChar"/>
    <w:rsid w:val="00EA1CEE"/>
    <w:rPr>
      <w:sz w:val="20"/>
    </w:rPr>
  </w:style>
  <w:style w:type="character" w:customStyle="1" w:styleId="PlainTextChar">
    <w:name w:val="Plain Text Char"/>
    <w:basedOn w:val="DefaultParagraphFont"/>
    <w:link w:val="PlainText"/>
    <w:rsid w:val="00EA1CEE"/>
    <w:rPr>
      <w:rFonts w:ascii="Courier New" w:eastAsia="Times New Roman" w:hAnsi="Courier New" w:cs="Times New Roman"/>
      <w:sz w:val="20"/>
      <w:szCs w:val="20"/>
      <w:lang w:val="en-US" w:eastAsia="en-US"/>
    </w:rPr>
  </w:style>
  <w:style w:type="character" w:customStyle="1" w:styleId="MenuOption">
    <w:name w:val="Menu Option"/>
    <w:rsid w:val="00EA1CEE"/>
    <w:rPr>
      <w:b/>
      <w:smallCaps/>
    </w:rPr>
  </w:style>
  <w:style w:type="paragraph" w:customStyle="1" w:styleId="TableListNumber">
    <w:name w:val="Table List Number"/>
    <w:basedOn w:val="ListNumber"/>
    <w:rsid w:val="00EA1CEE"/>
    <w:pPr>
      <w:numPr>
        <w:numId w:val="0"/>
      </w:numPr>
    </w:pPr>
  </w:style>
  <w:style w:type="paragraph" w:styleId="TOC4">
    <w:name w:val="toc 4"/>
    <w:basedOn w:val="TOCBase"/>
    <w:next w:val="Normal"/>
    <w:semiHidden/>
    <w:rsid w:val="00EA1CEE"/>
    <w:pPr>
      <w:tabs>
        <w:tab w:val="right" w:leader="dot" w:pos="9071"/>
      </w:tabs>
      <w:ind w:left="1701"/>
    </w:pPr>
  </w:style>
  <w:style w:type="paragraph" w:customStyle="1" w:styleId="ListAlpha">
    <w:name w:val="List Alpha"/>
    <w:basedOn w:val="List"/>
    <w:rsid w:val="00EA1CEE"/>
    <w:pPr>
      <w:numPr>
        <w:numId w:val="9"/>
      </w:numPr>
    </w:pPr>
  </w:style>
  <w:style w:type="paragraph" w:customStyle="1" w:styleId="ListAlpha2">
    <w:name w:val="List Alpha 2"/>
    <w:basedOn w:val="List2"/>
    <w:rsid w:val="00EA1CEE"/>
    <w:pPr>
      <w:numPr>
        <w:numId w:val="8"/>
      </w:numPr>
    </w:pPr>
  </w:style>
  <w:style w:type="paragraph" w:styleId="List2">
    <w:name w:val="List 2"/>
    <w:basedOn w:val="BodyText"/>
    <w:rsid w:val="00EA1CEE"/>
    <w:pPr>
      <w:tabs>
        <w:tab w:val="left" w:pos="680"/>
      </w:tabs>
      <w:spacing w:before="60" w:after="60"/>
      <w:ind w:left="680" w:hanging="340"/>
    </w:pPr>
  </w:style>
  <w:style w:type="paragraph" w:styleId="List3">
    <w:name w:val="List 3"/>
    <w:basedOn w:val="BodyText"/>
    <w:rsid w:val="00EA1CEE"/>
    <w:pPr>
      <w:tabs>
        <w:tab w:val="left" w:pos="1021"/>
      </w:tabs>
      <w:spacing w:before="60" w:after="60"/>
      <w:ind w:left="1020" w:hanging="340"/>
    </w:pPr>
  </w:style>
  <w:style w:type="paragraph" w:styleId="List4">
    <w:name w:val="List 4"/>
    <w:basedOn w:val="BodyText"/>
    <w:rsid w:val="00EA1CEE"/>
    <w:pPr>
      <w:tabs>
        <w:tab w:val="left" w:pos="1361"/>
      </w:tabs>
      <w:spacing w:before="60" w:after="60"/>
      <w:ind w:left="1361" w:hanging="340"/>
    </w:pPr>
  </w:style>
  <w:style w:type="paragraph" w:styleId="List5">
    <w:name w:val="List 5"/>
    <w:basedOn w:val="BodyText"/>
    <w:rsid w:val="00EA1CEE"/>
    <w:pPr>
      <w:tabs>
        <w:tab w:val="left" w:pos="1701"/>
      </w:tabs>
      <w:spacing w:before="60" w:after="60"/>
      <w:ind w:left="1701" w:hanging="340"/>
    </w:pPr>
  </w:style>
  <w:style w:type="paragraph" w:styleId="ListBullet3">
    <w:name w:val="List Bullet 3"/>
    <w:basedOn w:val="List3"/>
    <w:rsid w:val="00EA1CEE"/>
    <w:pPr>
      <w:numPr>
        <w:numId w:val="15"/>
      </w:numPr>
      <w:tabs>
        <w:tab w:val="clear" w:pos="1021"/>
      </w:tabs>
      <w:ind w:left="1037" w:hanging="357"/>
    </w:pPr>
  </w:style>
  <w:style w:type="paragraph" w:styleId="ListBullet4">
    <w:name w:val="List Bullet 4"/>
    <w:basedOn w:val="List4"/>
    <w:rsid w:val="00EA1CEE"/>
    <w:pPr>
      <w:numPr>
        <w:numId w:val="3"/>
      </w:numPr>
    </w:pPr>
  </w:style>
  <w:style w:type="paragraph" w:styleId="ListBullet5">
    <w:name w:val="List Bullet 5"/>
    <w:basedOn w:val="List5"/>
    <w:rsid w:val="00EA1CEE"/>
    <w:pPr>
      <w:numPr>
        <w:numId w:val="4"/>
      </w:numPr>
    </w:pPr>
  </w:style>
  <w:style w:type="paragraph" w:styleId="ListContinue2">
    <w:name w:val="List Continue 2"/>
    <w:basedOn w:val="List2"/>
    <w:rsid w:val="00EA1CEE"/>
    <w:pPr>
      <w:ind w:firstLine="0"/>
    </w:pPr>
  </w:style>
  <w:style w:type="paragraph" w:styleId="ListContinue3">
    <w:name w:val="List Continue 3"/>
    <w:basedOn w:val="List3"/>
    <w:rsid w:val="00EA1CEE"/>
    <w:pPr>
      <w:ind w:left="1021" w:firstLine="0"/>
    </w:pPr>
  </w:style>
  <w:style w:type="paragraph" w:styleId="ListContinue4">
    <w:name w:val="List Continue 4"/>
    <w:basedOn w:val="List4"/>
    <w:rsid w:val="00EA1CEE"/>
    <w:pPr>
      <w:ind w:firstLine="0"/>
    </w:pPr>
  </w:style>
  <w:style w:type="paragraph" w:styleId="ListContinue5">
    <w:name w:val="List Continue 5"/>
    <w:basedOn w:val="List5"/>
    <w:rsid w:val="00EA1CEE"/>
    <w:pPr>
      <w:ind w:firstLine="0"/>
    </w:pPr>
  </w:style>
  <w:style w:type="paragraph" w:styleId="ListNumber3">
    <w:name w:val="List Number 3"/>
    <w:basedOn w:val="List3"/>
    <w:rsid w:val="00EA1CEE"/>
    <w:pPr>
      <w:numPr>
        <w:numId w:val="5"/>
      </w:numPr>
    </w:pPr>
  </w:style>
  <w:style w:type="paragraph" w:styleId="ListNumber4">
    <w:name w:val="List Number 4"/>
    <w:basedOn w:val="List4"/>
    <w:rsid w:val="00EA1CEE"/>
    <w:pPr>
      <w:numPr>
        <w:numId w:val="6"/>
      </w:numPr>
    </w:pPr>
  </w:style>
  <w:style w:type="paragraph" w:styleId="ListNumber5">
    <w:name w:val="List Number 5"/>
    <w:basedOn w:val="List5"/>
    <w:rsid w:val="00EA1CEE"/>
    <w:pPr>
      <w:numPr>
        <w:numId w:val="7"/>
      </w:numPr>
    </w:pPr>
  </w:style>
  <w:style w:type="paragraph" w:styleId="BlockText">
    <w:name w:val="Block Text"/>
    <w:basedOn w:val="Normal"/>
    <w:rsid w:val="00EA1CEE"/>
    <w:pPr>
      <w:spacing w:after="120"/>
      <w:ind w:left="1440" w:right="1440"/>
    </w:pPr>
  </w:style>
  <w:style w:type="character" w:customStyle="1" w:styleId="Subscript">
    <w:name w:val="Subscript"/>
    <w:rsid w:val="00EA1CEE"/>
    <w:rPr>
      <w:sz w:val="16"/>
      <w:vertAlign w:val="subscript"/>
    </w:rPr>
  </w:style>
  <w:style w:type="character" w:customStyle="1" w:styleId="Superscript">
    <w:name w:val="Superscript"/>
    <w:rsid w:val="00EA1CEE"/>
    <w:rPr>
      <w:sz w:val="16"/>
      <w:vertAlign w:val="superscript"/>
    </w:rPr>
  </w:style>
  <w:style w:type="character" w:customStyle="1" w:styleId="Symbols">
    <w:name w:val="Symbols"/>
    <w:rsid w:val="00EA1CEE"/>
    <w:rPr>
      <w:rFonts w:ascii="Symbol" w:hAnsi="Symbol"/>
    </w:rPr>
  </w:style>
  <w:style w:type="character" w:customStyle="1" w:styleId="MenuOptions">
    <w:name w:val="Menu Options"/>
    <w:rsid w:val="00EA1CEE"/>
    <w:rPr>
      <w:rFonts w:ascii="Arial Narrow" w:hAnsi="Arial Narrow"/>
      <w:smallCaps/>
    </w:rPr>
  </w:style>
  <w:style w:type="character" w:customStyle="1" w:styleId="Buttons">
    <w:name w:val="Buttons"/>
    <w:rsid w:val="00EA1CEE"/>
    <w:rPr>
      <w:b/>
    </w:rPr>
  </w:style>
  <w:style w:type="character" w:customStyle="1" w:styleId="Underlined">
    <w:name w:val="Underlined"/>
    <w:rsid w:val="00EA1CEE"/>
    <w:rPr>
      <w:u w:val="single"/>
    </w:rPr>
  </w:style>
  <w:style w:type="paragraph" w:customStyle="1" w:styleId="TableBodyTextRight">
    <w:name w:val="Table Body Text Right"/>
    <w:basedOn w:val="TableBodyText"/>
    <w:rsid w:val="00EA1CEE"/>
    <w:pPr>
      <w:widowControl w:val="0"/>
      <w:autoSpaceDE w:val="0"/>
      <w:autoSpaceDN w:val="0"/>
      <w:adjustRightInd w:val="0"/>
      <w:jc w:val="right"/>
    </w:pPr>
    <w:rPr>
      <w:rFonts w:cs="Arial"/>
      <w:szCs w:val="18"/>
    </w:rPr>
  </w:style>
  <w:style w:type="paragraph" w:customStyle="1" w:styleId="CopyrightText">
    <w:name w:val="Copyright Text"/>
    <w:basedOn w:val="BodyText"/>
    <w:rsid w:val="00EA1CEE"/>
    <w:rPr>
      <w:sz w:val="18"/>
    </w:rPr>
  </w:style>
  <w:style w:type="paragraph" w:customStyle="1" w:styleId="BodySmallRight">
    <w:name w:val="Body Small Right"/>
    <w:basedOn w:val="BodyTextRight"/>
    <w:rsid w:val="00EA1CEE"/>
    <w:rPr>
      <w:sz w:val="18"/>
      <w:szCs w:val="18"/>
    </w:rPr>
  </w:style>
  <w:style w:type="paragraph" w:customStyle="1" w:styleId="MarginEdition">
    <w:name w:val="Margin Edition"/>
    <w:basedOn w:val="MarginNote"/>
    <w:rsid w:val="00EA1CEE"/>
    <w:pPr>
      <w:spacing w:before="0" w:after="0"/>
    </w:pPr>
    <w:rPr>
      <w:rFonts w:ascii="Times New Roman" w:hAnsi="Times New Roman"/>
      <w:color w:val="999999"/>
    </w:rPr>
  </w:style>
  <w:style w:type="paragraph" w:customStyle="1" w:styleId="Spacer">
    <w:name w:val="Spacer"/>
    <w:basedOn w:val="Normal"/>
    <w:rsid w:val="00EA1CEE"/>
    <w:rPr>
      <w:sz w:val="2"/>
      <w:szCs w:val="2"/>
    </w:rPr>
  </w:style>
  <w:style w:type="character" w:customStyle="1" w:styleId="Small">
    <w:name w:val="Small"/>
    <w:rsid w:val="00EA1CEE"/>
    <w:rPr>
      <w:sz w:val="16"/>
    </w:rPr>
  </w:style>
  <w:style w:type="paragraph" w:customStyle="1" w:styleId="WideTable">
    <w:name w:val="Wide Table"/>
    <w:basedOn w:val="Normal"/>
    <w:rsid w:val="00EA1CEE"/>
    <w:pPr>
      <w:ind w:left="-1418"/>
    </w:pPr>
    <w:rPr>
      <w:sz w:val="2"/>
      <w:szCs w:val="2"/>
    </w:rPr>
  </w:style>
  <w:style w:type="character" w:styleId="PageNumber">
    <w:name w:val="page number"/>
    <w:rsid w:val="00EA1CEE"/>
  </w:style>
  <w:style w:type="paragraph" w:styleId="Quote">
    <w:name w:val="Quote"/>
    <w:basedOn w:val="Heading1"/>
    <w:link w:val="QuoteChar"/>
    <w:qFormat/>
    <w:rsid w:val="00EA1CEE"/>
    <w:rPr>
      <w:b w:val="0"/>
      <w:sz w:val="72"/>
      <w:szCs w:val="72"/>
      <w:lang w:val="en-NZ"/>
    </w:rPr>
  </w:style>
  <w:style w:type="character" w:customStyle="1" w:styleId="QuoteChar">
    <w:name w:val="Quote Char"/>
    <w:link w:val="Quote"/>
    <w:rsid w:val="00EA1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CEE"/>
    <w:pPr>
      <w:pageBreakBefore/>
    </w:pPr>
  </w:style>
  <w:style w:type="paragraph" w:customStyle="1" w:styleId="Border">
    <w:name w:val="Border"/>
    <w:basedOn w:val="Normal"/>
    <w:qFormat/>
    <w:rsid w:val="00EA1CEE"/>
    <w:pPr>
      <w:pBdr>
        <w:top w:val="single" w:sz="18" w:space="1" w:color="auto"/>
      </w:pBdr>
    </w:pPr>
    <w:rPr>
      <w:rFonts w:ascii="Times New Roman" w:hAnsi="Times New Roman"/>
      <w:color w:val="FFFFFF"/>
      <w:sz w:val="2"/>
    </w:rPr>
  </w:style>
  <w:style w:type="character" w:styleId="IntenseEmphasis">
    <w:name w:val="Intense Emphasis"/>
    <w:uiPriority w:val="21"/>
    <w:qFormat/>
    <w:rsid w:val="00EA1CEE"/>
    <w:rPr>
      <w:b/>
      <w:bCs/>
      <w:i/>
      <w:iCs/>
      <w:color w:val="auto"/>
    </w:rPr>
  </w:style>
  <w:style w:type="paragraph" w:styleId="IntenseQuote">
    <w:name w:val="Intense Quote"/>
    <w:basedOn w:val="Normal"/>
    <w:next w:val="Normal"/>
    <w:link w:val="IntenseQuoteChar"/>
    <w:uiPriority w:val="30"/>
    <w:qFormat/>
    <w:rsid w:val="00EA1C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A1CEE"/>
    <w:rPr>
      <w:rFonts w:ascii="Courier New" w:eastAsia="Times New Roman" w:hAnsi="Courier New" w:cs="Times New Roman"/>
      <w:b/>
      <w:bCs/>
      <w:i/>
      <w:iCs/>
      <w:szCs w:val="20"/>
      <w:lang w:val="en-US" w:eastAsia="en-US"/>
    </w:rPr>
  </w:style>
  <w:style w:type="character" w:styleId="SubtleReference">
    <w:name w:val="Subtle Reference"/>
    <w:uiPriority w:val="31"/>
    <w:qFormat/>
    <w:rsid w:val="00EA1CEE"/>
    <w:rPr>
      <w:smallCaps/>
      <w:color w:val="auto"/>
      <w:u w:val="single"/>
    </w:rPr>
  </w:style>
  <w:style w:type="character" w:styleId="IntenseReference">
    <w:name w:val="Intense Reference"/>
    <w:uiPriority w:val="32"/>
    <w:qFormat/>
    <w:rsid w:val="00EA1CEE"/>
    <w:rPr>
      <w:b/>
      <w:bCs/>
      <w:smallCaps/>
      <w:color w:val="auto"/>
      <w:spacing w:val="5"/>
      <w:u w:val="single"/>
    </w:rPr>
  </w:style>
  <w:style w:type="paragraph" w:customStyle="1" w:styleId="2ColumnHeading">
    <w:name w:val="2Column Heading"/>
    <w:basedOn w:val="BodyText"/>
    <w:qFormat/>
    <w:rsid w:val="00EA1CEE"/>
    <w:pPr>
      <w:spacing w:after="60"/>
      <w:ind w:left="-2268"/>
    </w:pPr>
    <w:rPr>
      <w:b/>
    </w:rPr>
  </w:style>
  <w:style w:type="paragraph" w:customStyle="1" w:styleId="Heading1TOC">
    <w:name w:val="Heading1 TOC"/>
    <w:basedOn w:val="Normal"/>
    <w:qFormat/>
    <w:rsid w:val="00EA1CEE"/>
    <w:pPr>
      <w:spacing w:before="240" w:after="120"/>
    </w:pPr>
    <w:rPr>
      <w:rFonts w:ascii="Times New Roman" w:hAnsi="Times New Roman"/>
      <w:b/>
      <w:sz w:val="32"/>
    </w:rPr>
  </w:style>
  <w:style w:type="paragraph" w:customStyle="1" w:styleId="Heading2TOC">
    <w:name w:val="Heading2 TOC"/>
    <w:basedOn w:val="Normal"/>
    <w:qFormat/>
    <w:rsid w:val="00EA1CEE"/>
    <w:pPr>
      <w:spacing w:before="240" w:after="60"/>
    </w:pPr>
    <w:rPr>
      <w:rFonts w:ascii="Times New Roman" w:hAnsi="Times New Roman"/>
      <w:b/>
      <w:sz w:val="28"/>
    </w:rPr>
  </w:style>
  <w:style w:type="character" w:customStyle="1" w:styleId="Underline">
    <w:name w:val="Underline"/>
    <w:qFormat/>
    <w:rsid w:val="00EA1CEE"/>
    <w:rPr>
      <w:u w:val="single"/>
    </w:rPr>
  </w:style>
  <w:style w:type="paragraph" w:styleId="BalloonText">
    <w:name w:val="Balloon Text"/>
    <w:basedOn w:val="Normal"/>
    <w:link w:val="BalloonTextChar"/>
    <w:rsid w:val="00EA1CEE"/>
    <w:rPr>
      <w:rFonts w:ascii="Tahoma" w:hAnsi="Tahoma" w:cs="Tahoma"/>
      <w:sz w:val="16"/>
      <w:szCs w:val="16"/>
    </w:rPr>
  </w:style>
  <w:style w:type="character" w:customStyle="1" w:styleId="BalloonTextChar">
    <w:name w:val="Balloon Text Char"/>
    <w:link w:val="BalloonText"/>
    <w:rsid w:val="00EA1C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1C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A1C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1707</Words>
  <Characters>10320</Characters>
  <Application>Microsoft Office Word</Application>
  <DocSecurity>0</DocSecurity>
  <Lines>359</Lines>
  <Paragraphs>155</Paragraphs>
  <ScaleCrop>false</ScaleCrop>
  <Company>Author-it Software Corporation Ltd.</Company>
  <LinksUpToDate>false</LinksUpToDate>
  <CharactersWithSpaces>11956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HLTAHW423B Provide information and strategies in oral health</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2012-05-26T16:44:00Z</dcterms:created>
  <dcterms:modified xsi:type="dcterms:W3CDTF">2012-05-26T16:44:00Z</dcterms:modified>
</cp:coreProperties>
</file>