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525E" w:rsidP="00B5525E">
      <w:pPr>
        <w:pStyle w:val="Title"/>
      </w:pPr>
      <w:bookmarkStart w:id="0" w:name="_GoBack"/>
      <w:bookmarkEnd w:id="0"/>
      <w:r>
        <w:fldChar w:fldCharType="begin"/>
      </w:r>
      <w:r>
        <w:instrText xml:space="preserve"> TITLE   \* MERGEFORMAT </w:instrText>
      </w:r>
      <w:r>
        <w:fldChar w:fldCharType="separate"/>
      </w:r>
      <w:r>
        <w:t>HLTAHW412B Provide information and strategies to promote nutrition for good health</w:t>
      </w:r>
      <w:r>
        <w:fldChar w:fldCharType="end"/>
      </w:r>
    </w:p>
    <w:p w:rsidR="00B5525E" w:rsidP="00B5525E">
      <w:pPr>
        <w:pStyle w:val="Version"/>
        <w:sectPr w:rsidSect="00CB37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377D" w:rsidP="00CB377D">
      <w:pPr>
        <w:pStyle w:val="SuperHeading"/>
      </w:pPr>
      <w:r w:rsidRPr="00CB377D">
        <w:t>HLTAHW412B Provide information and strategies to promote nutrition for good health</w:t>
      </w:r>
    </w:p>
    <w:p w:rsidR="00000000" w:rsidRPr="00CB377D" w:rsidP="00CB377D">
      <w:pPr>
        <w:pStyle w:val="Heading1"/>
      </w:pPr>
      <w:bookmarkStart w:id="1" w:name="O_270922"/>
      <w:bookmarkEnd w:id="1"/>
      <w:r w:rsidRPr="00CB377D">
        <w:t>Modification History</w:t>
      </w:r>
    </w:p>
    <w:p w:rsidR="00000000" w:rsidRPr="00CB377D" w:rsidP="00CB377D">
      <w:pPr>
        <w:pStyle w:val="BodyText"/>
      </w:pPr>
      <w:r w:rsidRPr="00CB377D">
        <w:t>Not Applicable</w:t>
      </w:r>
    </w:p>
    <w:p w:rsidR="00000000" w:rsidRPr="00CB377D" w:rsidP="00CB377D">
      <w:pPr>
        <w:pStyle w:val="AllowPageBreak"/>
      </w:pPr>
    </w:p>
    <w:p w:rsidR="00000000" w:rsidRPr="00CB377D" w:rsidP="00CB377D">
      <w:pPr>
        <w:pStyle w:val="Heading1"/>
      </w:pPr>
      <w:bookmarkStart w:id="2" w:name="O_205027"/>
      <w:bookmarkEnd w:id="2"/>
      <w:r w:rsidRPr="00CB377D">
        <w:t>Unit Descripto</w:t>
      </w:r>
      <w:r w:rsidRPr="00CB377D">
        <w:t>r</w:t>
      </w:r>
    </w:p>
    <w:tbl>
      <w:tblPr>
        <w:tblW w:w="0" w:type="auto"/>
        <w:tblLayout w:type="fixed"/>
        <w:tblCellMar>
          <w:left w:w="62" w:type="dxa"/>
          <w:right w:w="62" w:type="dxa"/>
        </w:tblCellMar>
        <w:tblLook w:val="0000"/>
      </w:tblPr>
      <w:tblGrid>
        <w:gridCol w:w="3252"/>
        <w:gridCol w:w="5304"/>
      </w:tblGrid>
      <w:tr w:rsidTr="00B5525E">
        <w:tblPrEx>
          <w:tblW w:w="0" w:type="auto"/>
          <w:tblLayout w:type="fixed"/>
          <w:tblCellMar>
            <w:left w:w="62" w:type="dxa"/>
            <w:right w:w="62" w:type="dxa"/>
          </w:tblCellMar>
          <w:tblLook w:val="0000"/>
        </w:tblPrEx>
        <w:tc>
          <w:tcPr>
            <w:tcW w:w="3252" w:type="dxa"/>
            <w:tcBorders>
              <w:top w:val="nil"/>
              <w:left w:val="nil"/>
              <w:bottom w:val="nil"/>
              <w:right w:val="nil"/>
            </w:tcBorders>
            <w:tcMar>
              <w:top w:w="0" w:type="dxa"/>
              <w:left w:w="62" w:type="dxa"/>
              <w:bottom w:w="0" w:type="dxa"/>
              <w:right w:w="62" w:type="dxa"/>
            </w:tcMar>
          </w:tcPr>
          <w:p w:rsidR="00000000" w:rsidP="00CB377D">
            <w:pPr>
              <w:pStyle w:val="BodyText"/>
              <w:rPr>
                <w:lang w:val="en-NZ"/>
              </w:rPr>
            </w:pPr>
            <w:r w:rsidRPr="00CB377D">
              <w:rPr>
                <w:rStyle w:val="SpecialBold"/>
              </w:rPr>
              <w:t>Unit Descriptor</w:t>
            </w:r>
          </w:p>
        </w:tc>
        <w:tc>
          <w:tcPr>
            <w:tcW w:w="5304" w:type="dxa"/>
            <w:tcBorders>
              <w:top w:val="nil"/>
              <w:left w:val="nil"/>
              <w:bottom w:val="nil"/>
              <w:right w:val="nil"/>
            </w:tcBorders>
            <w:tcMar>
              <w:top w:w="0" w:type="dxa"/>
              <w:left w:w="62" w:type="dxa"/>
              <w:bottom w:w="0" w:type="dxa"/>
              <w:right w:w="62" w:type="dxa"/>
            </w:tcMar>
          </w:tcPr>
          <w:p w:rsidR="00000000" w:rsidRPr="00CB377D" w:rsidP="00CB377D">
            <w:pPr>
              <w:pStyle w:val="BodyText"/>
            </w:pPr>
            <w:r w:rsidRPr="00CB377D">
              <w:t>This unit describes the competencies required to conduct health promotion related to nutrition as part of general health care for Aboriginal and/or Torres Strait Islander communities</w:t>
            </w:r>
          </w:p>
          <w:p w:rsidR="00000000" w:rsidRPr="00CB377D" w:rsidP="00CB377D">
            <w:pPr>
              <w:pStyle w:val="BodyText"/>
            </w:pPr>
            <w:r w:rsidRPr="00CB377D">
              <w:t>This unit describes the competencies required for givin</w:t>
            </w:r>
            <w:r w:rsidRPr="00CB377D">
              <w:t>g nutrition advice for growth and development, maintenance of health throughout life, and in managing ill health</w:t>
            </w:r>
          </w:p>
          <w:p w:rsidR="00000000" w:rsidRPr="00CB377D" w:rsidP="00CB377D">
            <w:pPr>
              <w:pStyle w:val="BodyText"/>
            </w:pPr>
            <w:r w:rsidRPr="00CB377D">
              <w:t>Specific advice provided may be limited by close supervision or established guidelines in line with community needs and health provider guideli</w:t>
            </w:r>
            <w:r w:rsidRPr="00CB377D">
              <w:t>nes</w:t>
            </w:r>
          </w:p>
        </w:tc>
      </w:tr>
    </w:tbl>
    <w:p w:rsidR="00B5525E" w:rsidP="00CB377D">
      <w:pPr>
        <w:pStyle w:val="BodyText"/>
      </w:pPr>
    </w:p>
    <w:p w:rsidR="00B5525E" w:rsidP="00CB377D">
      <w:pPr>
        <w:pStyle w:val="BodyText"/>
      </w:pPr>
    </w:p>
    <w:p w:rsidR="00000000" w:rsidRPr="00CB377D" w:rsidP="00CB377D">
      <w:pPr>
        <w:pStyle w:val="Heading1"/>
      </w:pPr>
      <w:bookmarkStart w:id="3" w:name="O_205029"/>
      <w:bookmarkEnd w:id="3"/>
      <w:r w:rsidRPr="00CB377D">
        <w:t>Application of the Unit</w:t>
      </w:r>
    </w:p>
    <w:tbl>
      <w:tblPr>
        <w:tblW w:w="0" w:type="auto"/>
        <w:tblLayout w:type="fixed"/>
        <w:tblCellMar>
          <w:left w:w="62" w:type="dxa"/>
          <w:right w:w="62" w:type="dxa"/>
        </w:tblCellMar>
        <w:tblLook w:val="0000"/>
      </w:tblPr>
      <w:tblGrid>
        <w:gridCol w:w="3349"/>
        <w:gridCol w:w="5207"/>
      </w:tblGrid>
      <w:tr w:rsidTr="00B5525E">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CB377D">
            <w:pPr>
              <w:pStyle w:val="BodyText"/>
              <w:rPr>
                <w:lang w:val="en-NZ"/>
              </w:rPr>
            </w:pPr>
            <w:r w:rsidRPr="00CB377D">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CB377D" w:rsidP="00CB377D">
            <w:pPr>
              <w:pStyle w:val="BodyText"/>
            </w:pPr>
            <w:r w:rsidRPr="00CB377D">
              <w:t xml:space="preserve">This unit is intended to address skills and knowledge required by those working with Aboriginal or Torres Strait Islander communities to deliver </w:t>
            </w:r>
            <w:r w:rsidRPr="00CB377D">
              <w:t>primary health care services at Certificate IV level</w:t>
            </w:r>
          </w:p>
        </w:tc>
      </w:tr>
    </w:tbl>
    <w:p w:rsidR="00B5525E" w:rsidP="00CB377D">
      <w:pPr>
        <w:pStyle w:val="BodyText"/>
      </w:pPr>
    </w:p>
    <w:p w:rsidR="00B5525E" w:rsidP="00CB377D">
      <w:pPr>
        <w:pStyle w:val="BodyText"/>
      </w:pPr>
    </w:p>
    <w:p w:rsidR="00000000" w:rsidRPr="00CB377D" w:rsidP="00CB377D">
      <w:pPr>
        <w:pStyle w:val="Heading1"/>
      </w:pPr>
      <w:bookmarkStart w:id="4" w:name="O_279182"/>
      <w:bookmarkEnd w:id="4"/>
      <w:r w:rsidRPr="00CB377D">
        <w:t>Licensing/Regulatory Information</w:t>
      </w:r>
    </w:p>
    <w:p w:rsidR="00000000" w:rsidRPr="00CB377D" w:rsidP="00CB377D">
      <w:pPr>
        <w:pStyle w:val="BodyText"/>
      </w:pPr>
      <w:r w:rsidRPr="00CB377D">
        <w:t>Not Applicable</w:t>
      </w:r>
    </w:p>
    <w:p w:rsidR="00000000" w:rsidRPr="00CB377D" w:rsidP="00CB377D">
      <w:pPr>
        <w:pStyle w:val="AllowPageBreak"/>
      </w:pPr>
    </w:p>
    <w:p w:rsidR="00000000" w:rsidRPr="00CB377D" w:rsidP="00CB377D">
      <w:pPr>
        <w:pStyle w:val="Heading1"/>
      </w:pPr>
      <w:bookmarkStart w:id="5" w:name="O_283967"/>
      <w:bookmarkEnd w:id="5"/>
      <w:r w:rsidRPr="00CB377D">
        <w:t>Pre-Requisites</w:t>
      </w:r>
    </w:p>
    <w:p w:rsidR="00000000" w:rsidRPr="00CB377D" w:rsidP="00CB377D">
      <w:pPr>
        <w:pStyle w:val="BodyText"/>
      </w:pPr>
      <w:r w:rsidRPr="00CB377D">
        <w:t>Not Applicable</w:t>
      </w:r>
    </w:p>
    <w:p w:rsidR="00000000" w:rsidRPr="00CB377D" w:rsidP="00CB377D">
      <w:pPr>
        <w:pStyle w:val="AllowPageBreak"/>
      </w:pPr>
    </w:p>
    <w:p w:rsidR="00000000" w:rsidRPr="00CB377D" w:rsidP="00CB377D">
      <w:pPr>
        <w:pStyle w:val="Heading1"/>
      </w:pPr>
      <w:bookmarkStart w:id="6" w:name="O_205028"/>
      <w:bookmarkEnd w:id="6"/>
      <w:r w:rsidRPr="00CB377D">
        <w:t>Employability Skills Information</w:t>
      </w:r>
    </w:p>
    <w:tbl>
      <w:tblPr>
        <w:tblW w:w="0" w:type="auto"/>
        <w:tblLayout w:type="fixed"/>
        <w:tblCellMar>
          <w:left w:w="62" w:type="dxa"/>
          <w:right w:w="62" w:type="dxa"/>
        </w:tblCellMar>
        <w:tblLook w:val="0000"/>
      </w:tblPr>
      <w:tblGrid>
        <w:gridCol w:w="3320"/>
        <w:gridCol w:w="5236"/>
      </w:tblGrid>
      <w:tr w:rsidTr="00B5525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B377D">
            <w:pPr>
              <w:pStyle w:val="BodyText"/>
              <w:rPr>
                <w:lang w:val="en-NZ"/>
              </w:rPr>
            </w:pPr>
            <w:r w:rsidRPr="00CB377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B377D" w:rsidP="00CB377D">
            <w:pPr>
              <w:pStyle w:val="BodyText"/>
            </w:pPr>
            <w:r w:rsidRPr="00CB377D">
              <w:t>This unit contains Employability Skills</w:t>
            </w:r>
          </w:p>
        </w:tc>
      </w:tr>
    </w:tbl>
    <w:p w:rsidR="00B5525E" w:rsidP="00CB377D">
      <w:pPr>
        <w:pStyle w:val="BodyText"/>
      </w:pPr>
    </w:p>
    <w:p w:rsidR="00B5525E" w:rsidP="00CB377D">
      <w:pPr>
        <w:pStyle w:val="BodyText"/>
      </w:pPr>
    </w:p>
    <w:p w:rsidR="00000000" w:rsidRPr="00CB377D" w:rsidP="00CB377D">
      <w:pPr>
        <w:pStyle w:val="Heading1"/>
      </w:pPr>
      <w:bookmarkStart w:id="7" w:name="O_288968"/>
      <w:bookmarkEnd w:id="7"/>
      <w:r w:rsidRPr="00CB377D">
        <w:t>Elements and Performance Criteria Pre-Content</w:t>
      </w:r>
    </w:p>
    <w:tbl>
      <w:tblPr>
        <w:tblW w:w="0" w:type="auto"/>
        <w:tblLayout w:type="fixed"/>
        <w:tblCellMar>
          <w:left w:w="62" w:type="dxa"/>
          <w:right w:w="62" w:type="dxa"/>
        </w:tblCellMar>
        <w:tblLook w:val="0000"/>
      </w:tblPr>
      <w:tblGrid>
        <w:gridCol w:w="3369"/>
        <w:gridCol w:w="5702"/>
      </w:tblGrid>
      <w:tr w:rsidTr="00B552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B377D">
            <w:pPr>
              <w:pStyle w:val="BodyText"/>
              <w:rPr>
                <w:lang w:val="en-NZ"/>
              </w:rPr>
            </w:pPr>
            <w:r w:rsidRPr="00CB377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B377D" w:rsidP="00CB377D">
            <w:pPr>
              <w:pStyle w:val="BodyText"/>
            </w:pPr>
            <w:r w:rsidRPr="00CB377D">
              <w:t>The Performance Criteria specify the level of performance required to demonstrate achi</w:t>
            </w:r>
            <w:r w:rsidRPr="00CB377D">
              <w:t xml:space="preserve">evement of the Element. Terms in italics are elaborated in the Range Statement. </w:t>
            </w:r>
          </w:p>
        </w:tc>
      </w:tr>
    </w:tbl>
    <w:p w:rsidR="00000000" w:rsidRPr="00CB377D" w:rsidP="00CB377D">
      <w:pPr>
        <w:pStyle w:val="BodyText"/>
      </w:pPr>
    </w:p>
    <w:p w:rsidR="00000000" w:rsidRPr="00CB377D" w:rsidP="00CB377D">
      <w:pPr>
        <w:pStyle w:val="AllowPageBreak"/>
      </w:pPr>
    </w:p>
    <w:p w:rsidR="00000000" w:rsidRPr="00CB377D" w:rsidP="00CB377D">
      <w:pPr>
        <w:pStyle w:val="Heading1"/>
      </w:pPr>
      <w:bookmarkStart w:id="8" w:name="O_235635"/>
      <w:bookmarkEnd w:id="8"/>
      <w:r w:rsidRPr="00CB377D">
        <w:t>Elements and Performance Criteria</w:t>
      </w:r>
    </w:p>
    <w:tbl>
      <w:tblPr>
        <w:tblW w:w="0" w:type="auto"/>
        <w:tblLayout w:type="fixed"/>
        <w:tblCellMar>
          <w:left w:w="62" w:type="dxa"/>
          <w:right w:w="62" w:type="dxa"/>
        </w:tblCellMar>
        <w:tblLook w:val="0000"/>
      </w:tblPr>
      <w:tblGrid>
        <w:gridCol w:w="3369"/>
        <w:gridCol w:w="5702"/>
      </w:tblGrid>
      <w:tr w:rsidTr="00B5525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B377D" w:rsidP="00CB377D">
            <w:pPr>
              <w:pStyle w:val="BodyText"/>
            </w:pPr>
            <w:r w:rsidRPr="00CB377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B377D">
            <w:pPr>
              <w:pStyle w:val="BodyText"/>
              <w:rPr>
                <w:lang w:val="en-NZ"/>
              </w:rPr>
            </w:pPr>
            <w:r w:rsidRPr="00CB377D">
              <w:rPr>
                <w:rStyle w:val="SpecialBold"/>
              </w:rPr>
              <w:t>PERFORMANCE CRITERIA</w:t>
            </w:r>
          </w:p>
        </w:tc>
      </w:tr>
      <w:tr w:rsidTr="00B552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B377D">
            <w:pPr>
              <w:pStyle w:val="List"/>
              <w:rPr>
                <w:lang w:val="en-NZ"/>
              </w:rPr>
            </w:pPr>
            <w:r w:rsidRPr="00CB377D">
              <w:t>1.</w:t>
            </w:r>
            <w:r w:rsidRPr="00CB377D">
              <w:tab/>
              <w:t>Provide information on nutrition for good health</w:t>
            </w:r>
          </w:p>
        </w:tc>
        <w:tc>
          <w:tcPr>
            <w:tcW w:w="5702" w:type="dxa"/>
            <w:tcBorders>
              <w:top w:val="nil"/>
              <w:left w:val="nil"/>
              <w:bottom w:val="nil"/>
              <w:right w:val="nil"/>
            </w:tcBorders>
            <w:tcMar>
              <w:top w:w="0" w:type="dxa"/>
              <w:left w:w="62" w:type="dxa"/>
              <w:bottom w:w="0" w:type="dxa"/>
              <w:right w:w="62" w:type="dxa"/>
            </w:tcMar>
          </w:tcPr>
          <w:p w:rsidR="00000000" w:rsidRPr="00CB377D" w:rsidP="00CB377D">
            <w:pPr>
              <w:pStyle w:val="BodyText"/>
            </w:pPr>
            <w:r w:rsidRPr="00CB377D">
              <w:t>1.1</w:t>
            </w:r>
            <w:r w:rsidRPr="00CB377D">
              <w:tab/>
            </w:r>
            <w:r w:rsidRPr="00CB377D">
              <w:t>Identify food sources and food availability and discuss with individuals and communities</w:t>
            </w:r>
          </w:p>
          <w:p w:rsidR="00000000" w:rsidRPr="00CB377D" w:rsidP="00CB377D">
            <w:pPr>
              <w:pStyle w:val="BodyText"/>
            </w:pPr>
            <w:r w:rsidRPr="00CB377D">
              <w:t>1.2</w:t>
            </w:r>
            <w:r w:rsidRPr="00CB377D">
              <w:tab/>
              <w:t xml:space="preserve">Identify </w:t>
            </w:r>
            <w:r w:rsidRPr="00CB377D">
              <w:rPr>
                <w:rStyle w:val="Emphasis"/>
              </w:rPr>
              <w:t>issues relating to access to different types of food</w:t>
            </w:r>
            <w:r w:rsidRPr="00CB377D">
              <w:t xml:space="preserve"> throughout the year and discuss with the community</w:t>
            </w:r>
          </w:p>
          <w:p w:rsidR="00000000" w:rsidRPr="00CB377D" w:rsidP="00CB377D">
            <w:pPr>
              <w:pStyle w:val="BodyText"/>
            </w:pPr>
            <w:r w:rsidRPr="00CB377D">
              <w:t>1.3</w:t>
            </w:r>
            <w:r w:rsidRPr="00CB377D">
              <w:tab/>
              <w:t>Describe nutritional needs for specific groups</w:t>
            </w:r>
            <w:r w:rsidRPr="00CB377D">
              <w:t xml:space="preserve"> in line with Australian Dietary Guidelines</w:t>
            </w:r>
          </w:p>
          <w:p w:rsidR="00000000" w:rsidRPr="00CB377D" w:rsidP="00CB377D">
            <w:pPr>
              <w:pStyle w:val="BodyText"/>
            </w:pPr>
            <w:r w:rsidRPr="00CB377D">
              <w:t>1.4</w:t>
            </w:r>
            <w:r w:rsidRPr="00CB377D">
              <w:tab/>
              <w:t>Identify basic core food groups and their main nutrients in relation to major food sources, including traditional foods</w:t>
            </w:r>
          </w:p>
          <w:p w:rsidR="00000000" w:rsidRPr="00CB377D" w:rsidP="00CB377D">
            <w:pPr>
              <w:pStyle w:val="BodyText"/>
            </w:pPr>
            <w:r w:rsidRPr="00CB377D">
              <w:t>1.5</w:t>
            </w:r>
            <w:r w:rsidRPr="00CB377D">
              <w:tab/>
              <w:t xml:space="preserve">Assist individuals and communities to select an appropriate and varied diet in line </w:t>
            </w:r>
            <w:r w:rsidRPr="00CB377D">
              <w:t>with dietary guidelines</w:t>
            </w:r>
          </w:p>
          <w:p w:rsidR="00000000" w:rsidP="00CB377D">
            <w:pPr>
              <w:pStyle w:val="BodyText"/>
              <w:rPr>
                <w:lang w:val="en-NZ"/>
              </w:rPr>
            </w:pPr>
            <w:r w:rsidRPr="00CB377D">
              <w:t>1.6</w:t>
            </w:r>
            <w:r w:rsidRPr="00CB377D">
              <w:tab/>
              <w:t>Identify main diet related diseases and their risk factors and discuss links with nutrition factors with the community</w:t>
            </w:r>
          </w:p>
        </w:tc>
      </w:tr>
      <w:tr w:rsidTr="00B552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B377D">
            <w:pPr>
              <w:pStyle w:val="BodyText"/>
              <w:rPr>
                <w:lang w:val="en-NZ"/>
              </w:rPr>
            </w:pPr>
          </w:p>
        </w:tc>
      </w:tr>
      <w:tr w:rsidTr="00B552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B377D">
            <w:pPr>
              <w:pStyle w:val="List"/>
              <w:rPr>
                <w:lang w:val="en-NZ"/>
              </w:rPr>
            </w:pPr>
            <w:r w:rsidRPr="00CB377D">
              <w:t>2.</w:t>
            </w:r>
            <w:r w:rsidRPr="00CB377D">
              <w:tab/>
              <w:t>Promote a healthy approach to eating and physical activity</w:t>
            </w:r>
          </w:p>
        </w:tc>
        <w:tc>
          <w:tcPr>
            <w:tcW w:w="5702" w:type="dxa"/>
            <w:tcBorders>
              <w:top w:val="nil"/>
              <w:left w:val="nil"/>
              <w:bottom w:val="nil"/>
              <w:right w:val="nil"/>
            </w:tcBorders>
            <w:tcMar>
              <w:top w:w="0" w:type="dxa"/>
              <w:left w:w="62" w:type="dxa"/>
              <w:bottom w:w="0" w:type="dxa"/>
              <w:right w:w="62" w:type="dxa"/>
            </w:tcMar>
          </w:tcPr>
          <w:p w:rsidR="00000000" w:rsidRPr="00CB377D" w:rsidP="00CB377D">
            <w:pPr>
              <w:pStyle w:val="BodyText"/>
            </w:pPr>
            <w:r w:rsidRPr="00CB377D">
              <w:t>2.1</w:t>
            </w:r>
            <w:r w:rsidRPr="00CB377D">
              <w:tab/>
            </w:r>
            <w:r w:rsidRPr="00CB377D">
              <w:t>Identify personal, social, commercial and environmental factors that may influence food consumption patterns for adults</w:t>
            </w:r>
          </w:p>
          <w:p w:rsidR="00000000" w:rsidRPr="00CB377D" w:rsidP="00CB377D">
            <w:pPr>
              <w:pStyle w:val="BodyText"/>
            </w:pPr>
            <w:r w:rsidRPr="00CB377D">
              <w:t>2.2</w:t>
            </w:r>
            <w:r w:rsidRPr="00CB377D">
              <w:tab/>
              <w:t xml:space="preserve">Formulate strategies in consultation with client(s) to address differing food requirements of individuals within a family </w:t>
            </w:r>
          </w:p>
          <w:p w:rsidR="00000000" w:rsidRPr="00CB377D" w:rsidP="00CB377D">
            <w:pPr>
              <w:pStyle w:val="BodyText"/>
            </w:pPr>
            <w:r w:rsidRPr="00CB377D">
              <w:t>2.3</w:t>
            </w:r>
            <w:r w:rsidRPr="00CB377D">
              <w:tab/>
              <w:t>Suppo</w:t>
            </w:r>
            <w:r w:rsidRPr="00CB377D">
              <w:t>rt clients to provide healthy food to the whole family within the resources available</w:t>
            </w:r>
          </w:p>
          <w:p w:rsidR="00000000" w:rsidRPr="00CB377D" w:rsidP="00CB377D">
            <w:pPr>
              <w:pStyle w:val="BodyText"/>
            </w:pPr>
            <w:r w:rsidRPr="00CB377D">
              <w:t>2.4</w:t>
            </w:r>
            <w:r w:rsidRPr="00CB377D">
              <w:tab/>
              <w:t xml:space="preserve">Explain and discuss appropriate use of alcohol by adult men and women </w:t>
            </w:r>
          </w:p>
          <w:p w:rsidR="00000000" w:rsidRPr="00CB377D" w:rsidP="00CB377D">
            <w:pPr>
              <w:pStyle w:val="BodyText"/>
            </w:pPr>
            <w:r w:rsidRPr="00CB377D">
              <w:t>2.5</w:t>
            </w:r>
            <w:r w:rsidRPr="00CB377D">
              <w:tab/>
              <w:t xml:space="preserve">Discuss changes in physical activity patterns between traditional and contemporary times </w:t>
            </w:r>
          </w:p>
          <w:p w:rsidR="00000000" w:rsidRPr="00CB377D" w:rsidP="00CB377D">
            <w:pPr>
              <w:pStyle w:val="BodyText"/>
            </w:pPr>
            <w:r w:rsidRPr="00CB377D">
              <w:t>2</w:t>
            </w:r>
            <w:r w:rsidRPr="00CB377D">
              <w:t>.6</w:t>
            </w:r>
            <w:r w:rsidRPr="00CB377D">
              <w:tab/>
              <w:t>Discuss changing levels of metabolism and physical activity in relation to the impact on the nutritional needs of an adult</w:t>
            </w:r>
          </w:p>
          <w:p w:rsidR="00000000" w:rsidP="00CB377D">
            <w:pPr>
              <w:pStyle w:val="BodyText"/>
              <w:rPr>
                <w:lang w:val="en-NZ"/>
              </w:rPr>
            </w:pPr>
            <w:r w:rsidRPr="00CB377D">
              <w:t>2.7</w:t>
            </w:r>
            <w:r w:rsidRPr="00CB377D">
              <w:tab/>
              <w:t xml:space="preserve">Develop strategies to assist adults who have not exercised for some time to become more active </w:t>
            </w:r>
          </w:p>
        </w:tc>
      </w:tr>
      <w:tr w:rsidTr="00B552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B377D">
            <w:pPr>
              <w:pStyle w:val="BodyText"/>
              <w:rPr>
                <w:lang w:val="en-NZ"/>
              </w:rPr>
            </w:pPr>
          </w:p>
        </w:tc>
      </w:tr>
      <w:tr w:rsidTr="00B552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B377D">
            <w:pPr>
              <w:pStyle w:val="List"/>
              <w:rPr>
                <w:lang w:val="en-NZ"/>
              </w:rPr>
            </w:pPr>
            <w:r w:rsidRPr="00CB377D">
              <w:t>3.</w:t>
            </w:r>
            <w:r w:rsidRPr="00CB377D">
              <w:tab/>
              <w:t>Discuss nutrition issue</w:t>
            </w:r>
            <w:r w:rsidRPr="00CB377D">
              <w:t xml:space="preserve">s related to specific life stages </w:t>
            </w:r>
          </w:p>
        </w:tc>
        <w:tc>
          <w:tcPr>
            <w:tcW w:w="5702" w:type="dxa"/>
            <w:tcBorders>
              <w:top w:val="nil"/>
              <w:left w:val="nil"/>
              <w:bottom w:val="nil"/>
              <w:right w:val="nil"/>
            </w:tcBorders>
            <w:tcMar>
              <w:top w:w="0" w:type="dxa"/>
              <w:left w:w="62" w:type="dxa"/>
              <w:bottom w:w="0" w:type="dxa"/>
              <w:right w:w="62" w:type="dxa"/>
            </w:tcMar>
          </w:tcPr>
          <w:p w:rsidR="00000000" w:rsidRPr="00CB377D" w:rsidP="00CB377D">
            <w:pPr>
              <w:pStyle w:val="BodyText"/>
            </w:pPr>
            <w:r w:rsidRPr="00CB377D">
              <w:t>3.1</w:t>
            </w:r>
            <w:r w:rsidRPr="00CB377D">
              <w:tab/>
              <w:t xml:space="preserve">Chart types and amounts of food required to meet the </w:t>
            </w:r>
            <w:r w:rsidRPr="00CB377D">
              <w:rPr>
                <w:rStyle w:val="Emphasis"/>
              </w:rPr>
              <w:t>nutritional needs of people at different stages in the lifecycle</w:t>
            </w:r>
            <w:r w:rsidRPr="00CB377D">
              <w:t xml:space="preserve"> </w:t>
            </w:r>
          </w:p>
          <w:p w:rsidR="00000000" w:rsidRPr="00CB377D" w:rsidP="00CB377D">
            <w:pPr>
              <w:pStyle w:val="BodyText"/>
            </w:pPr>
            <w:r w:rsidRPr="00CB377D">
              <w:t>3.2</w:t>
            </w:r>
            <w:r w:rsidRPr="00CB377D">
              <w:tab/>
              <w:t>Discuss planned nutrition care in line with the application of Australian Dietary Guidelines a</w:t>
            </w:r>
            <w:r w:rsidRPr="00CB377D">
              <w:t>nd key aspects for specific groups in line with community needs</w:t>
            </w:r>
          </w:p>
          <w:p w:rsidR="00000000" w:rsidRPr="00CB377D" w:rsidP="00CB377D">
            <w:pPr>
              <w:pStyle w:val="BodyText"/>
            </w:pPr>
            <w:r w:rsidRPr="00CB377D">
              <w:t>3.3</w:t>
            </w:r>
            <w:r w:rsidRPr="00CB377D">
              <w:tab/>
              <w:t>Provide advice on nutrition requirements of identified community groups in line with community needs and organisational guidelines</w:t>
            </w:r>
          </w:p>
          <w:p w:rsidR="00000000" w:rsidRPr="00CB377D" w:rsidP="00CB377D">
            <w:pPr>
              <w:pStyle w:val="BodyText"/>
            </w:pPr>
            <w:r w:rsidRPr="00CB377D">
              <w:t>3.4</w:t>
            </w:r>
            <w:r w:rsidRPr="00CB377D">
              <w:tab/>
              <w:t>Identify personal, social, physical, commercial and e</w:t>
            </w:r>
            <w:r w:rsidRPr="00CB377D">
              <w:t>nvironmental factors that may make it difficult for people to meet nutrition requirements at different life stages</w:t>
            </w:r>
          </w:p>
          <w:p w:rsidR="00000000" w:rsidRPr="00CB377D" w:rsidP="00CB377D">
            <w:pPr>
              <w:pStyle w:val="BodyText"/>
            </w:pPr>
            <w:r w:rsidRPr="00CB377D">
              <w:t>3.5</w:t>
            </w:r>
            <w:r w:rsidRPr="00CB377D">
              <w:tab/>
              <w:t xml:space="preserve">Describe common nutrition-related diseases experienced by adults at different life stages </w:t>
            </w:r>
          </w:p>
          <w:p w:rsidR="00000000" w:rsidP="00CB377D">
            <w:pPr>
              <w:pStyle w:val="BodyText"/>
              <w:rPr>
                <w:lang w:val="en-NZ"/>
              </w:rPr>
            </w:pPr>
            <w:r w:rsidRPr="00CB377D">
              <w:t>3.6</w:t>
            </w:r>
            <w:r w:rsidRPr="00CB377D">
              <w:tab/>
            </w:r>
            <w:r w:rsidRPr="00CB377D">
              <w:t>Suggest changes to foods eaten during periods of ill health in line with community needs and organisational guidelines</w:t>
            </w:r>
          </w:p>
        </w:tc>
      </w:tr>
      <w:tr w:rsidTr="00B552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B377D">
            <w:pPr>
              <w:pStyle w:val="BodyText"/>
              <w:rPr>
                <w:lang w:val="en-NZ"/>
              </w:rPr>
            </w:pPr>
          </w:p>
        </w:tc>
      </w:tr>
      <w:tr w:rsidTr="00B552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B377D">
            <w:pPr>
              <w:pStyle w:val="List"/>
              <w:rPr>
                <w:lang w:val="en-NZ"/>
              </w:rPr>
            </w:pPr>
            <w:r w:rsidRPr="00CB377D">
              <w:t>4.</w:t>
            </w:r>
            <w:r w:rsidRPr="00CB377D">
              <w:tab/>
              <w:t>Promote healthy eating and lifestyle for mothers and children</w:t>
            </w:r>
          </w:p>
        </w:tc>
        <w:tc>
          <w:tcPr>
            <w:tcW w:w="5702" w:type="dxa"/>
            <w:tcBorders>
              <w:top w:val="nil"/>
              <w:left w:val="nil"/>
              <w:bottom w:val="nil"/>
              <w:right w:val="nil"/>
            </w:tcBorders>
            <w:tcMar>
              <w:top w:w="0" w:type="dxa"/>
              <w:left w:w="62" w:type="dxa"/>
              <w:bottom w:w="0" w:type="dxa"/>
              <w:right w:w="62" w:type="dxa"/>
            </w:tcMar>
          </w:tcPr>
          <w:p w:rsidR="00000000" w:rsidRPr="00CB377D" w:rsidP="00CB377D">
            <w:pPr>
              <w:pStyle w:val="BodyText"/>
            </w:pPr>
            <w:r w:rsidRPr="00CB377D">
              <w:t>4.1</w:t>
            </w:r>
            <w:r w:rsidRPr="00CB377D">
              <w:tab/>
              <w:t>Discus nutrition-related issues for pregnant and/or lactating wo</w:t>
            </w:r>
            <w:r w:rsidRPr="00CB377D">
              <w:t xml:space="preserve">men </w:t>
            </w:r>
          </w:p>
          <w:p w:rsidR="00000000" w:rsidRPr="00CB377D" w:rsidP="00CB377D">
            <w:pPr>
              <w:pStyle w:val="BodyText"/>
            </w:pPr>
            <w:r w:rsidRPr="00CB377D">
              <w:t>4.2</w:t>
            </w:r>
            <w:r w:rsidRPr="00CB377D">
              <w:tab/>
              <w:t xml:space="preserve">Provide appropriate information to support </w:t>
            </w:r>
            <w:r w:rsidRPr="00CB377D">
              <w:rPr>
                <w:rStyle w:val="Emphasis"/>
              </w:rPr>
              <w:t>healthy eating in infants</w:t>
            </w:r>
            <w:r w:rsidRPr="00CB377D">
              <w:t xml:space="preserve">, </w:t>
            </w:r>
            <w:r w:rsidRPr="00CB377D">
              <w:rPr>
                <w:rStyle w:val="Emphasis"/>
              </w:rPr>
              <w:t>older infants and toddlers</w:t>
            </w:r>
          </w:p>
          <w:p w:rsidR="00000000" w:rsidRPr="00CB377D" w:rsidP="00CB377D">
            <w:pPr>
              <w:pStyle w:val="BodyText"/>
            </w:pPr>
            <w:r w:rsidRPr="00CB377D">
              <w:t>4.3</w:t>
            </w:r>
            <w:r w:rsidRPr="00CB377D">
              <w:tab/>
              <w:t xml:space="preserve">Examine and discuss relationship between food intake of child or adolescent and their appearance, health, growth, development and behaviour </w:t>
            </w:r>
          </w:p>
          <w:p w:rsidR="00000000" w:rsidRPr="00CB377D" w:rsidP="00CB377D">
            <w:pPr>
              <w:pStyle w:val="BodyText"/>
            </w:pPr>
            <w:r w:rsidRPr="00CB377D">
              <w:t>4.4</w:t>
            </w:r>
            <w:r w:rsidRPr="00CB377D">
              <w:tab/>
              <w:t>D</w:t>
            </w:r>
            <w:r w:rsidRPr="00CB377D">
              <w:t>iscuss specific nutritional needs of children and adolescents using appropriate dietary guidelines/ resources</w:t>
            </w:r>
          </w:p>
          <w:p w:rsidR="00000000" w:rsidRPr="00CB377D" w:rsidP="00CB377D">
            <w:pPr>
              <w:pStyle w:val="BodyText"/>
            </w:pPr>
            <w:r w:rsidRPr="00CB377D">
              <w:t>4.5</w:t>
            </w:r>
            <w:r w:rsidRPr="00CB377D">
              <w:tab/>
              <w:t>Identify personal, social, commercial and environmental factors that may influence food consumption patterns of a child or adolescent</w:t>
            </w:r>
          </w:p>
          <w:p w:rsidR="00000000" w:rsidRPr="00CB377D" w:rsidP="00CB377D">
            <w:pPr>
              <w:pStyle w:val="BodyText"/>
            </w:pPr>
            <w:r w:rsidRPr="00CB377D">
              <w:t>4.6</w:t>
            </w:r>
            <w:r w:rsidRPr="00CB377D">
              <w:tab/>
              <w:t>Form</w:t>
            </w:r>
            <w:r w:rsidRPr="00CB377D">
              <w:t>ulate strategies that reflect sensitivity to family and adolescents to achieve recommended nutritional outcomes</w:t>
            </w:r>
          </w:p>
          <w:p w:rsidR="00000000" w:rsidP="00CB377D">
            <w:pPr>
              <w:pStyle w:val="BodyText"/>
              <w:rPr>
                <w:lang w:val="en-NZ"/>
              </w:rPr>
            </w:pPr>
            <w:r w:rsidRPr="00CB377D">
              <w:t>4.7</w:t>
            </w:r>
            <w:r w:rsidRPr="00CB377D">
              <w:tab/>
              <w:t xml:space="preserve">Discuss principles of healthy eating for the child or adolescent involved in sport/athletics </w:t>
            </w:r>
          </w:p>
        </w:tc>
      </w:tr>
      <w:tr w:rsidTr="00B552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B377D">
            <w:pPr>
              <w:pStyle w:val="BodyText"/>
              <w:rPr>
                <w:lang w:val="en-NZ"/>
              </w:rPr>
            </w:pPr>
          </w:p>
        </w:tc>
      </w:tr>
      <w:tr w:rsidTr="00B552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B377D">
            <w:pPr>
              <w:pStyle w:val="List"/>
              <w:rPr>
                <w:lang w:val="en-NZ"/>
              </w:rPr>
            </w:pPr>
            <w:r w:rsidRPr="00CB377D">
              <w:t>5.</w:t>
            </w:r>
            <w:r w:rsidRPr="00CB377D">
              <w:tab/>
              <w:t xml:space="preserve">Address nutrition-related problems for </w:t>
            </w:r>
            <w:r w:rsidRPr="00CB377D">
              <w:t>individuals and communities</w:t>
            </w:r>
          </w:p>
        </w:tc>
        <w:tc>
          <w:tcPr>
            <w:tcW w:w="5702" w:type="dxa"/>
            <w:tcBorders>
              <w:top w:val="nil"/>
              <w:left w:val="nil"/>
              <w:bottom w:val="nil"/>
              <w:right w:val="nil"/>
            </w:tcBorders>
            <w:tcMar>
              <w:top w:w="0" w:type="dxa"/>
              <w:left w:w="62" w:type="dxa"/>
              <w:bottom w:w="0" w:type="dxa"/>
              <w:right w:w="62" w:type="dxa"/>
            </w:tcMar>
          </w:tcPr>
          <w:p w:rsidR="00000000" w:rsidRPr="00CB377D" w:rsidP="00CB377D">
            <w:pPr>
              <w:pStyle w:val="BodyText"/>
            </w:pPr>
            <w:r w:rsidRPr="00CB377D">
              <w:t>5.1</w:t>
            </w:r>
            <w:r w:rsidRPr="00CB377D">
              <w:tab/>
              <w:t xml:space="preserve">Analyse records of height and weight measurements and interpret results as appropriate </w:t>
            </w:r>
          </w:p>
          <w:p w:rsidR="00000000" w:rsidRPr="00CB377D" w:rsidP="00CB377D">
            <w:pPr>
              <w:pStyle w:val="BodyText"/>
            </w:pPr>
            <w:r w:rsidRPr="00CB377D">
              <w:t>5.2</w:t>
            </w:r>
            <w:r w:rsidRPr="00CB377D">
              <w:tab/>
              <w:t>Assess growth patterns for infants, toddlers and children using the monitoring of weight for age method</w:t>
            </w:r>
          </w:p>
          <w:p w:rsidR="00000000" w:rsidRPr="00CB377D" w:rsidP="00CB377D">
            <w:pPr>
              <w:pStyle w:val="BodyText"/>
            </w:pPr>
            <w:r w:rsidRPr="00CB377D">
              <w:t>5.3</w:t>
            </w:r>
            <w:r w:rsidRPr="00CB377D">
              <w:tab/>
            </w:r>
            <w:r w:rsidRPr="00CB377D">
              <w:t>Identify growth problems using child or adolescent growth charts and appropriate corrective actions in conjunction with health team and family</w:t>
            </w:r>
          </w:p>
          <w:p w:rsidR="00000000" w:rsidRPr="00CB377D" w:rsidP="00CB377D">
            <w:pPr>
              <w:pStyle w:val="BodyText"/>
            </w:pPr>
            <w:r w:rsidRPr="00CB377D">
              <w:t>5.4</w:t>
            </w:r>
            <w:r w:rsidRPr="00CB377D">
              <w:tab/>
              <w:t xml:space="preserve">Identify and discuss common nutrition related problems for children, adolescents, adults and older people </w:t>
            </w:r>
          </w:p>
          <w:p w:rsidR="00000000" w:rsidRPr="00CB377D" w:rsidP="00CB377D">
            <w:pPr>
              <w:pStyle w:val="BodyText"/>
            </w:pPr>
            <w:r w:rsidRPr="00CB377D">
              <w:t>5.</w:t>
            </w:r>
            <w:r w:rsidRPr="00CB377D">
              <w:t>5</w:t>
            </w:r>
            <w:r w:rsidRPr="00CB377D">
              <w:tab/>
              <w:t>Support family and community appropriately to take action to address nutrition-related issues and to improve identified growth problems in children</w:t>
            </w:r>
          </w:p>
          <w:p w:rsidR="00000000" w:rsidRPr="00CB377D" w:rsidP="00CB377D">
            <w:pPr>
              <w:pStyle w:val="BodyText"/>
            </w:pPr>
            <w:r w:rsidRPr="00CB377D">
              <w:t>5.6</w:t>
            </w:r>
            <w:r w:rsidRPr="00CB377D">
              <w:tab/>
              <w:t>Make suggestions for modifying food eaten to reduce risks of diet-related diseases</w:t>
            </w:r>
          </w:p>
          <w:p w:rsidR="00000000" w:rsidP="00CB377D">
            <w:pPr>
              <w:pStyle w:val="BodyText"/>
              <w:rPr>
                <w:lang w:val="en-NZ"/>
              </w:rPr>
            </w:pPr>
            <w:r w:rsidRPr="00CB377D">
              <w:t>5.7</w:t>
            </w:r>
            <w:r w:rsidRPr="00CB377D">
              <w:tab/>
              <w:t>Make appropriat</w:t>
            </w:r>
            <w:r w:rsidRPr="00CB377D">
              <w:t>e referrals to address nutrition-related problems and submit reports in line with organisation guidelines and community requirements</w:t>
            </w:r>
          </w:p>
        </w:tc>
      </w:tr>
      <w:tr w:rsidTr="00B552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CB377D" w:rsidP="00CB377D">
            <w:pPr>
              <w:pStyle w:val="BodyText"/>
            </w:pPr>
          </w:p>
        </w:tc>
      </w:tr>
    </w:tbl>
    <w:p w:rsidR="00B5525E" w:rsidP="00CB377D">
      <w:pPr>
        <w:pStyle w:val="BodyText"/>
      </w:pPr>
    </w:p>
    <w:p w:rsidR="00B5525E" w:rsidP="00CB377D">
      <w:pPr>
        <w:pStyle w:val="BodyText"/>
      </w:pPr>
    </w:p>
    <w:p w:rsidR="00000000" w:rsidRPr="00CB377D" w:rsidP="00CB377D">
      <w:pPr>
        <w:pStyle w:val="Heading1"/>
      </w:pPr>
      <w:bookmarkStart w:id="9" w:name="O_259585"/>
      <w:bookmarkEnd w:id="9"/>
      <w:r w:rsidRPr="00CB377D">
        <w:t>Required Skills and Knowledge</w:t>
      </w:r>
    </w:p>
    <w:tbl>
      <w:tblPr>
        <w:tblW w:w="0" w:type="auto"/>
        <w:tblLayout w:type="fixed"/>
        <w:tblCellMar>
          <w:left w:w="62" w:type="dxa"/>
          <w:right w:w="62" w:type="dxa"/>
        </w:tblCellMar>
        <w:tblLook w:val="0000"/>
      </w:tblPr>
      <w:tblGrid>
        <w:gridCol w:w="9072"/>
      </w:tblGrid>
      <w:tr w:rsidTr="00B5525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B377D">
            <w:pPr>
              <w:pStyle w:val="BodyText"/>
              <w:rPr>
                <w:lang w:val="en-NZ"/>
              </w:rPr>
            </w:pPr>
            <w:r w:rsidRPr="00CB377D">
              <w:rPr>
                <w:rStyle w:val="SpecialBold"/>
              </w:rPr>
              <w:t>REQUIRED SKILLS AND KNOWLEDGE</w:t>
            </w:r>
          </w:p>
        </w:tc>
      </w:tr>
      <w:tr w:rsidTr="00B5525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B377D">
            <w:pPr>
              <w:pStyle w:val="BodyText"/>
              <w:rPr>
                <w:lang w:val="en-NZ"/>
              </w:rPr>
            </w:pPr>
          </w:p>
        </w:tc>
      </w:tr>
      <w:tr w:rsidTr="00B5525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B377D">
            <w:pPr>
              <w:pStyle w:val="BodyText"/>
              <w:rPr>
                <w:lang w:val="en-NZ"/>
              </w:rPr>
            </w:pPr>
            <w:r w:rsidRPr="00CB377D">
              <w:t>This describes the essential skills and knowledge and their level required for this unit.</w:t>
            </w:r>
          </w:p>
        </w:tc>
      </w:tr>
      <w:tr w:rsidTr="00B5525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B377D">
            <w:pPr>
              <w:pStyle w:val="BodyText"/>
              <w:rPr>
                <w:lang w:val="en-NZ"/>
              </w:rPr>
            </w:pPr>
          </w:p>
        </w:tc>
      </w:tr>
      <w:tr w:rsidTr="00B5525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B377D" w:rsidP="00CB377D">
            <w:pPr>
              <w:pStyle w:val="BodyText"/>
            </w:pPr>
            <w:r w:rsidRPr="00CB377D">
              <w:rPr>
                <w:rStyle w:val="Emphasis"/>
              </w:rPr>
              <w:t>Essential knowledge</w:t>
            </w:r>
            <w:r w:rsidRPr="00CB377D">
              <w:t>:</w:t>
            </w:r>
          </w:p>
          <w:p w:rsidR="00000000" w:rsidRPr="00CB377D" w:rsidP="00CB377D">
            <w:pPr>
              <w:pStyle w:val="BodyText"/>
            </w:pPr>
            <w:r w:rsidRPr="00CB377D">
              <w:t>The candidate must be able to demonstrate essential knowledge required to effectively do the task outlined in elements and performance criteri</w:t>
            </w:r>
            <w:r w:rsidRPr="00CB377D">
              <w:t>a of this unit, manage the task and manage contingencies in the context of the identified work role</w:t>
            </w:r>
          </w:p>
          <w:p w:rsidR="00000000" w:rsidRPr="00CB377D" w:rsidP="00CB377D">
            <w:pPr>
              <w:pStyle w:val="BodyText"/>
            </w:pPr>
            <w:r w:rsidRPr="00CB377D">
              <w:t>This includes knowledge of:</w:t>
            </w:r>
          </w:p>
          <w:p w:rsidR="00000000" w:rsidRPr="00CB377D" w:rsidP="00CB377D">
            <w:pPr>
              <w:pStyle w:val="ListBullet"/>
            </w:pPr>
            <w:r w:rsidRPr="00CB377D">
              <w:t>Nutritional issues for specific community, including:</w:t>
            </w:r>
          </w:p>
          <w:p w:rsidR="00000000" w:rsidRPr="00CB377D" w:rsidP="00CB377D">
            <w:pPr>
              <w:pStyle w:val="ListBullet2"/>
            </w:pPr>
            <w:r w:rsidRPr="00CB377D">
              <w:t>Availability and access to food sources</w:t>
            </w:r>
          </w:p>
          <w:p w:rsidR="00000000" w:rsidRPr="00CB377D" w:rsidP="00CB377D">
            <w:pPr>
              <w:pStyle w:val="ListBullet2"/>
            </w:pPr>
            <w:r w:rsidRPr="00CB377D">
              <w:t>Use of alcohol</w:t>
            </w:r>
          </w:p>
          <w:p w:rsidR="00000000" w:rsidRPr="00CB377D" w:rsidP="00CB377D">
            <w:pPr>
              <w:pStyle w:val="ListBullet2"/>
            </w:pPr>
            <w:r w:rsidRPr="00CB377D">
              <w:t>Understanding of the impact of nutrition and physical activity on health, including impact of diet on dental caries across life stages</w:t>
            </w:r>
          </w:p>
          <w:p w:rsidR="00000000" w:rsidRPr="00CB377D" w:rsidP="00CB377D">
            <w:pPr>
              <w:pStyle w:val="ListBullet2"/>
            </w:pPr>
            <w:r w:rsidRPr="00CB377D">
              <w:t>Personal, social, physical, commercial and environmental obstacles to good nutrition</w:t>
            </w:r>
          </w:p>
          <w:p w:rsidR="00000000" w:rsidRPr="00CB377D" w:rsidP="00CB377D">
            <w:pPr>
              <w:pStyle w:val="ListBullet"/>
            </w:pPr>
            <w:r w:rsidRPr="00CB377D">
              <w:t>Australian Guide to Health Eating an</w:t>
            </w:r>
            <w:r w:rsidRPr="00CB377D">
              <w:t>d the nutrients associated with each food group</w:t>
            </w:r>
          </w:p>
          <w:p w:rsidR="00000000" w:rsidRPr="00CB377D" w:rsidP="00CB377D">
            <w:pPr>
              <w:pStyle w:val="ListBullet"/>
            </w:pPr>
            <w:r w:rsidRPr="00CB377D">
              <w:t>Factors that influence food consumption patterns and their impact on growth patterns for infants, children and adolescents</w:t>
            </w:r>
          </w:p>
          <w:p w:rsidR="00000000" w:rsidRPr="00CB377D" w:rsidP="00CB377D">
            <w:pPr>
              <w:pStyle w:val="ListBullet"/>
            </w:pPr>
            <w:r w:rsidRPr="00CB377D">
              <w:t xml:space="preserve">Nutritional needs of people at different stages in the lifecycle, including pregnant </w:t>
            </w:r>
            <w:r w:rsidRPr="00CB377D">
              <w:t>and/or lactating women</w:t>
            </w:r>
          </w:p>
          <w:p w:rsidR="00000000" w:rsidP="00CB377D">
            <w:pPr>
              <w:pStyle w:val="ListBullet"/>
              <w:rPr>
                <w:lang w:val="en-NZ"/>
              </w:rPr>
            </w:pPr>
            <w:r w:rsidRPr="00CB377D">
              <w:t>Common nutrition-related diseases</w:t>
            </w:r>
          </w:p>
        </w:tc>
      </w:tr>
      <w:tr w:rsidTr="00B5525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B377D">
            <w:pPr>
              <w:pStyle w:val="BodyText"/>
              <w:rPr>
                <w:lang w:val="en-NZ"/>
              </w:rPr>
            </w:pPr>
          </w:p>
        </w:tc>
      </w:tr>
      <w:tr w:rsidTr="00B5525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B377D" w:rsidP="00CB377D">
            <w:pPr>
              <w:pStyle w:val="BodyText"/>
            </w:pPr>
            <w:r w:rsidRPr="00CB377D">
              <w:rPr>
                <w:rStyle w:val="Emphasis"/>
              </w:rPr>
              <w:t>Essential skills</w:t>
            </w:r>
            <w:r w:rsidRPr="00CB377D">
              <w:t>:</w:t>
            </w:r>
          </w:p>
          <w:p w:rsidR="00000000" w:rsidRPr="00CB377D" w:rsidP="00CB377D">
            <w:pPr>
              <w:pStyle w:val="BodyText"/>
            </w:pPr>
            <w:r w:rsidRPr="00CB377D">
              <w:t>It is critical that the candidate demonstrate the ability to:</w:t>
            </w:r>
          </w:p>
          <w:p w:rsidR="00000000" w:rsidRPr="00CB377D" w:rsidP="00CB377D">
            <w:pPr>
              <w:pStyle w:val="ListBullet"/>
            </w:pPr>
            <w:r w:rsidRPr="00CB377D">
              <w:t>Communicate effectively in a group and one-on-one environment to promote healthy practices and discuss health issues</w:t>
            </w:r>
          </w:p>
          <w:p w:rsidR="00000000" w:rsidRPr="00CB377D" w:rsidP="00CB377D">
            <w:pPr>
              <w:pStyle w:val="ListBullet"/>
            </w:pPr>
            <w:r w:rsidRPr="00CB377D">
              <w:t>Provide accurate and relevant information and guidance about nutrition in line with identified individual and community needs</w:t>
            </w:r>
          </w:p>
          <w:p w:rsidR="00000000" w:rsidRPr="00CB377D" w:rsidP="00CB377D">
            <w:pPr>
              <w:pStyle w:val="BodyText"/>
            </w:pPr>
          </w:p>
          <w:p w:rsidR="00000000" w:rsidRPr="00CB377D" w:rsidP="00CB377D">
            <w:pPr>
              <w:pStyle w:val="BodyText"/>
            </w:pPr>
            <w:r w:rsidRPr="00CB377D">
              <w:t>In addition, the candidate must be able to effectively do the task outlined in elements and performance criteria of this unit, m</w:t>
            </w:r>
            <w:r w:rsidRPr="00CB377D">
              <w:t>anage the task and manage contingencies in the context of the identified work role</w:t>
            </w:r>
          </w:p>
          <w:p w:rsidR="00000000" w:rsidRPr="00CB377D" w:rsidP="00CB377D">
            <w:pPr>
              <w:pStyle w:val="BodyText"/>
            </w:pPr>
            <w:r w:rsidRPr="00CB377D">
              <w:t>This includes the ability to:</w:t>
            </w:r>
          </w:p>
          <w:p w:rsidR="00000000" w:rsidRPr="00CB377D" w:rsidP="00CB377D">
            <w:pPr>
              <w:pStyle w:val="ListBullet"/>
            </w:pPr>
            <w:r w:rsidRPr="00CB377D">
              <w:t xml:space="preserve">Access the Australian Dietary Guidelines to determine nutritional needs of specific client groups </w:t>
            </w:r>
          </w:p>
          <w:p w:rsidR="00000000" w:rsidRPr="00CB377D" w:rsidP="00CB377D">
            <w:pPr>
              <w:pStyle w:val="ListBullet"/>
            </w:pPr>
            <w:r w:rsidRPr="00CB377D">
              <w:t>Work with individuals, families and communit</w:t>
            </w:r>
            <w:r w:rsidRPr="00CB377D">
              <w:t>ies to identify nutritional needs and develop strategies and action plans to address these needs</w:t>
            </w:r>
          </w:p>
          <w:p w:rsidR="00000000" w:rsidRPr="00CB377D" w:rsidP="00CB377D">
            <w:pPr>
              <w:pStyle w:val="ListBullet"/>
            </w:pPr>
            <w:r w:rsidRPr="00CB377D">
              <w:t>Measure, calculate, record and interpret height, weight and related size parameters as indicators of nutritional health</w:t>
            </w:r>
          </w:p>
        </w:tc>
      </w:tr>
    </w:tbl>
    <w:p w:rsidR="00B5525E" w:rsidP="00CB377D">
      <w:pPr>
        <w:pStyle w:val="BodyText"/>
      </w:pPr>
    </w:p>
    <w:p w:rsidR="00B5525E" w:rsidP="00CB377D">
      <w:pPr>
        <w:pStyle w:val="BodyText"/>
      </w:pPr>
    </w:p>
    <w:p w:rsidR="00000000" w:rsidRPr="00CB377D" w:rsidP="00CB377D">
      <w:pPr>
        <w:pStyle w:val="Heading1"/>
      </w:pPr>
      <w:bookmarkStart w:id="10" w:name="O_243619"/>
      <w:bookmarkEnd w:id="10"/>
      <w:r w:rsidRPr="00CB377D">
        <w:t>Evidence Guide</w:t>
      </w:r>
    </w:p>
    <w:tbl>
      <w:tblPr>
        <w:tblW w:w="0" w:type="auto"/>
        <w:tblLayout w:type="fixed"/>
        <w:tblCellMar>
          <w:left w:w="62" w:type="dxa"/>
          <w:right w:w="62" w:type="dxa"/>
        </w:tblCellMar>
        <w:tblLook w:val="0000"/>
      </w:tblPr>
      <w:tblGrid>
        <w:gridCol w:w="3402"/>
        <w:gridCol w:w="5670"/>
      </w:tblGrid>
      <w:tr w:rsidTr="00B5525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B377D">
            <w:pPr>
              <w:pStyle w:val="BodyText"/>
              <w:rPr>
                <w:lang w:val="en-NZ"/>
              </w:rPr>
            </w:pPr>
            <w:r w:rsidRPr="00CB377D">
              <w:rPr>
                <w:rStyle w:val="SpecialBold"/>
              </w:rPr>
              <w:t>EVI</w:t>
            </w:r>
            <w:r w:rsidRPr="00CB377D">
              <w:rPr>
                <w:rStyle w:val="SpecialBold"/>
              </w:rPr>
              <w:t>DENCE GUIDE</w:t>
            </w:r>
          </w:p>
        </w:tc>
      </w:tr>
      <w:tr w:rsidTr="00B5525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B377D">
            <w:pPr>
              <w:pStyle w:val="BodyText"/>
              <w:rPr>
                <w:lang w:val="en-NZ"/>
              </w:rPr>
            </w:pPr>
          </w:p>
        </w:tc>
      </w:tr>
      <w:tr w:rsidTr="00B5525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B377D">
            <w:pPr>
              <w:pStyle w:val="BodyText"/>
              <w:rPr>
                <w:lang w:val="en-NZ"/>
              </w:rPr>
            </w:pPr>
            <w:r w:rsidRPr="00CB377D">
              <w:t>The evidence guide provides advice on assessment and must be read in conjunction with the Performance Criteria, Required Skills and Knowledge, the Range Statement and the Assessment Guidelines for this Training Package.</w:t>
            </w:r>
          </w:p>
        </w:tc>
      </w:tr>
      <w:tr w:rsidTr="00B5525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B377D">
            <w:pPr>
              <w:pStyle w:val="BodyText"/>
              <w:rPr>
                <w:lang w:val="en-NZ"/>
              </w:rPr>
            </w:pPr>
          </w:p>
        </w:tc>
      </w:tr>
      <w:tr w:rsidTr="00B552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377D">
            <w:pPr>
              <w:pStyle w:val="BodyText"/>
              <w:rPr>
                <w:lang w:val="en-NZ"/>
              </w:rPr>
            </w:pPr>
            <w:r w:rsidRPr="00CB377D">
              <w:rPr>
                <w:rStyle w:val="Emphasis"/>
              </w:rPr>
              <w:t>Critical aspects of assessment</w:t>
            </w:r>
            <w:r w:rsidRPr="00CB377D">
              <w:t>:</w:t>
            </w:r>
          </w:p>
        </w:tc>
        <w:tc>
          <w:tcPr>
            <w:tcW w:w="5670" w:type="dxa"/>
            <w:tcBorders>
              <w:top w:val="nil"/>
              <w:left w:val="nil"/>
              <w:bottom w:val="nil"/>
              <w:right w:val="nil"/>
            </w:tcBorders>
            <w:tcMar>
              <w:top w:w="0" w:type="dxa"/>
              <w:left w:w="62" w:type="dxa"/>
              <w:bottom w:w="0" w:type="dxa"/>
              <w:right w:w="62" w:type="dxa"/>
            </w:tcMar>
          </w:tcPr>
          <w:p w:rsidR="00000000" w:rsidRPr="00CB377D" w:rsidP="00CB377D">
            <w:pPr>
              <w:pStyle w:val="ListBullet"/>
            </w:pPr>
            <w:r w:rsidRPr="00CB377D">
              <w:t>The individual being assessed must provide evidence of specified essential knowledge as well as skills</w:t>
            </w:r>
          </w:p>
          <w:p w:rsidR="00000000" w:rsidRPr="00CB377D" w:rsidP="00CB377D">
            <w:pPr>
              <w:pStyle w:val="ListBullet"/>
            </w:pPr>
            <w:r w:rsidRPr="00CB377D">
              <w:t>Consistency of performance should be demonstrated over the required range of situations relevant to the workplace</w:t>
            </w:r>
          </w:p>
          <w:p w:rsidR="00000000" w:rsidP="00CB377D">
            <w:pPr>
              <w:pStyle w:val="ListBullet"/>
              <w:rPr>
                <w:lang w:val="en-NZ"/>
              </w:rPr>
            </w:pPr>
            <w:r w:rsidRPr="00CB377D">
              <w:t xml:space="preserve">Where, </w:t>
            </w:r>
            <w:r w:rsidRPr="00CB377D">
              <w:t>for reasons of safety, space, or access to equipment and resources, assessment takes place away from the workplace, the assessment environment should represent workplace conditions as closely as possible</w:t>
            </w:r>
          </w:p>
        </w:tc>
      </w:tr>
      <w:tr w:rsidTr="00B552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377D">
            <w:pPr>
              <w:pStyle w:val="BodyText"/>
              <w:rPr>
                <w:lang w:val="en-NZ"/>
              </w:rPr>
            </w:pPr>
          </w:p>
        </w:tc>
      </w:tr>
      <w:tr w:rsidTr="00B552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377D">
            <w:pPr>
              <w:pStyle w:val="BodyText"/>
              <w:rPr>
                <w:lang w:val="en-NZ"/>
              </w:rPr>
            </w:pPr>
            <w:r w:rsidRPr="00CB377D">
              <w:rPr>
                <w:rStyle w:val="Emphasis"/>
              </w:rPr>
              <w:t>Conditions of assessment</w:t>
            </w:r>
            <w:r w:rsidRPr="00CB377D">
              <w:t>:</w:t>
            </w:r>
          </w:p>
        </w:tc>
        <w:tc>
          <w:tcPr>
            <w:tcW w:w="5670" w:type="dxa"/>
            <w:tcBorders>
              <w:top w:val="nil"/>
              <w:left w:val="nil"/>
              <w:bottom w:val="nil"/>
              <w:right w:val="nil"/>
            </w:tcBorders>
            <w:tcMar>
              <w:top w:w="0" w:type="dxa"/>
              <w:left w:w="62" w:type="dxa"/>
              <w:bottom w:w="0" w:type="dxa"/>
              <w:right w:w="62" w:type="dxa"/>
            </w:tcMar>
          </w:tcPr>
          <w:p w:rsidR="00000000" w:rsidRPr="00CB377D" w:rsidP="00CB377D">
            <w:pPr>
              <w:pStyle w:val="BodyText"/>
            </w:pPr>
            <w:r w:rsidRPr="00CB377D">
              <w:t>This unit includes skills and knowledge specific to Aboriginal and/or Torres Strait Islander culture</w:t>
            </w:r>
          </w:p>
          <w:p w:rsidR="00000000" w:rsidRPr="00CB377D" w:rsidP="00CB377D">
            <w:pPr>
              <w:pStyle w:val="BodyText"/>
            </w:pPr>
            <w:r w:rsidRPr="00CB377D">
              <w:t>Assessment must therefore be undertaken by a workplace assessor who has expertise in the unit of competency or who has the current qualification being asse</w:t>
            </w:r>
            <w:r w:rsidRPr="00CB377D">
              <w:t>ssed and who is:</w:t>
            </w:r>
          </w:p>
          <w:p w:rsidR="00000000" w:rsidRPr="00CB377D" w:rsidP="00CB377D">
            <w:pPr>
              <w:pStyle w:val="ListBullet2"/>
            </w:pPr>
            <w:r w:rsidRPr="00CB377D">
              <w:t>Aboriginal or Torres Strait Islander him/herself</w:t>
            </w:r>
          </w:p>
          <w:p w:rsidR="00000000" w:rsidRPr="00CB377D" w:rsidP="00CB377D">
            <w:pPr>
              <w:pStyle w:val="BodyText"/>
            </w:pPr>
            <w:r w:rsidRPr="00CB377D">
              <w:t>or:</w:t>
            </w:r>
          </w:p>
          <w:p w:rsidR="00000000" w:rsidP="00CB377D">
            <w:pPr>
              <w:pStyle w:val="ListBullet2"/>
              <w:rPr>
                <w:lang w:val="en-NZ"/>
              </w:rPr>
            </w:pPr>
            <w:r w:rsidRPr="00CB377D">
              <w:t>accompanied and advised by an Aboriginal or Torres Strait Islander person who is a recognised member of the community with experience in primary health care</w:t>
            </w:r>
          </w:p>
        </w:tc>
      </w:tr>
      <w:tr w:rsidTr="00B552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377D">
            <w:pPr>
              <w:pStyle w:val="BodyText"/>
              <w:rPr>
                <w:lang w:val="en-NZ"/>
              </w:rPr>
            </w:pPr>
          </w:p>
        </w:tc>
      </w:tr>
      <w:tr w:rsidTr="00B552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377D">
            <w:pPr>
              <w:pStyle w:val="BodyText"/>
              <w:rPr>
                <w:lang w:val="en-NZ"/>
              </w:rPr>
            </w:pPr>
            <w:r w:rsidRPr="00CB377D">
              <w:rPr>
                <w:rStyle w:val="Emphasis"/>
              </w:rPr>
              <w:t>Context of assessment</w:t>
            </w:r>
            <w:r w:rsidRPr="00CB377D">
              <w:t>:</w:t>
            </w:r>
          </w:p>
        </w:tc>
        <w:tc>
          <w:tcPr>
            <w:tcW w:w="5670" w:type="dxa"/>
            <w:tcBorders>
              <w:top w:val="nil"/>
              <w:left w:val="nil"/>
              <w:bottom w:val="nil"/>
              <w:right w:val="nil"/>
            </w:tcBorders>
            <w:tcMar>
              <w:top w:w="0" w:type="dxa"/>
              <w:left w:w="62" w:type="dxa"/>
              <w:bottom w:w="0" w:type="dxa"/>
              <w:right w:w="62" w:type="dxa"/>
            </w:tcMar>
          </w:tcPr>
          <w:p w:rsidR="00000000" w:rsidRPr="00CB377D" w:rsidP="00CB377D">
            <w:pPr>
              <w:pStyle w:val="BodyText"/>
            </w:pPr>
            <w:r w:rsidRPr="00CB377D">
              <w:t>Competence should be demonstrated working individually, under supervision or as part of a primary health care team working with Aboriginal and/or Torres Strait Islander clients</w:t>
            </w:r>
          </w:p>
          <w:p w:rsidR="00000000" w:rsidP="00CB377D">
            <w:pPr>
              <w:pStyle w:val="BodyText"/>
              <w:rPr>
                <w:lang w:val="en-NZ"/>
              </w:rPr>
            </w:pPr>
            <w:r w:rsidRPr="00CB377D">
              <w:t>Assessment should replicate workplace conditions as far as possible</w:t>
            </w:r>
          </w:p>
        </w:tc>
      </w:tr>
      <w:tr w:rsidTr="00B552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377D">
            <w:pPr>
              <w:pStyle w:val="BodyText"/>
              <w:rPr>
                <w:lang w:val="en-NZ"/>
              </w:rPr>
            </w:pPr>
          </w:p>
        </w:tc>
      </w:tr>
      <w:tr w:rsidTr="00B552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377D">
            <w:pPr>
              <w:pStyle w:val="BodyText"/>
              <w:rPr>
                <w:lang w:val="en-NZ"/>
              </w:rPr>
            </w:pPr>
            <w:r w:rsidRPr="00CB377D">
              <w:rPr>
                <w:rStyle w:val="Emphasis"/>
              </w:rPr>
              <w:t>Related</w:t>
            </w:r>
            <w:r w:rsidRPr="00CB377D">
              <w:rPr>
                <w:rStyle w:val="Emphasis"/>
              </w:rPr>
              <w:t xml:space="preserve"> units</w:t>
            </w:r>
            <w:r w:rsidRPr="00CB377D">
              <w:t>:</w:t>
            </w:r>
          </w:p>
        </w:tc>
        <w:tc>
          <w:tcPr>
            <w:tcW w:w="5670" w:type="dxa"/>
            <w:tcBorders>
              <w:top w:val="nil"/>
              <w:left w:val="nil"/>
              <w:bottom w:val="nil"/>
              <w:right w:val="nil"/>
            </w:tcBorders>
            <w:tcMar>
              <w:top w:w="0" w:type="dxa"/>
              <w:left w:w="62" w:type="dxa"/>
              <w:bottom w:w="0" w:type="dxa"/>
              <w:right w:w="62" w:type="dxa"/>
            </w:tcMar>
          </w:tcPr>
          <w:p w:rsidR="00000000" w:rsidP="00CB377D">
            <w:pPr>
              <w:pStyle w:val="BodyText"/>
              <w:rPr>
                <w:lang w:val="en-NZ"/>
              </w:rPr>
            </w:pPr>
            <w:r w:rsidRPr="00CB377D">
              <w:t>This unit may be assessed independently or in conjunction with other units with associated workplace application</w:t>
            </w:r>
          </w:p>
        </w:tc>
      </w:tr>
      <w:tr w:rsidTr="00B552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B377D" w:rsidP="00CB377D">
            <w:pPr>
              <w:pStyle w:val="BodyText"/>
            </w:pPr>
          </w:p>
        </w:tc>
      </w:tr>
    </w:tbl>
    <w:p w:rsidR="00B5525E" w:rsidP="00CB377D">
      <w:pPr>
        <w:pStyle w:val="BodyText"/>
      </w:pPr>
    </w:p>
    <w:p w:rsidR="00B5525E" w:rsidP="00CB377D">
      <w:pPr>
        <w:pStyle w:val="BodyText"/>
      </w:pPr>
    </w:p>
    <w:p w:rsidR="00000000" w:rsidRPr="00CB377D" w:rsidP="00CB377D">
      <w:pPr>
        <w:pStyle w:val="Heading1"/>
      </w:pPr>
      <w:bookmarkStart w:id="11" w:name="O_251602"/>
      <w:bookmarkEnd w:id="11"/>
      <w:r w:rsidRPr="00CB377D">
        <w:t>Range Statement</w:t>
      </w:r>
    </w:p>
    <w:tbl>
      <w:tblPr>
        <w:tblW w:w="0" w:type="auto"/>
        <w:tblLayout w:type="fixed"/>
        <w:tblCellMar>
          <w:left w:w="62" w:type="dxa"/>
          <w:right w:w="62" w:type="dxa"/>
        </w:tblCellMar>
        <w:tblLook w:val="0000"/>
      </w:tblPr>
      <w:tblGrid>
        <w:gridCol w:w="3402"/>
        <w:gridCol w:w="5670"/>
      </w:tblGrid>
      <w:tr w:rsidTr="00B5525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B377D">
            <w:pPr>
              <w:pStyle w:val="BodyText"/>
              <w:rPr>
                <w:lang w:val="en-NZ"/>
              </w:rPr>
            </w:pPr>
            <w:r w:rsidRPr="00CB377D">
              <w:rPr>
                <w:rStyle w:val="SpecialBold"/>
              </w:rPr>
              <w:t>RANGE STATEMENT</w:t>
            </w:r>
          </w:p>
        </w:tc>
      </w:tr>
      <w:tr w:rsidTr="00B5525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B377D">
            <w:pPr>
              <w:pStyle w:val="BodyText"/>
              <w:rPr>
                <w:lang w:val="en-NZ"/>
              </w:rPr>
            </w:pPr>
          </w:p>
        </w:tc>
      </w:tr>
      <w:tr w:rsidTr="00B5525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B377D">
            <w:pPr>
              <w:pStyle w:val="BodyText"/>
              <w:rPr>
                <w:lang w:val="en-NZ"/>
              </w:rPr>
            </w:pPr>
            <w:r w:rsidRPr="00CB377D">
              <w:t>The Range Statement relates to the unit of competency as a whole. It allows for different work environments and situations that may affect performance. Add any essential operating conditions that may be present with training and assessment depending on the</w:t>
            </w:r>
            <w:r w:rsidRPr="00CB377D">
              <w:t xml:space="preserve"> work situation, needs of the candidate, accessibility of the item, and local industry and regional contexts.</w:t>
            </w:r>
          </w:p>
        </w:tc>
      </w:tr>
      <w:tr w:rsidTr="00B552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377D">
            <w:pPr>
              <w:pStyle w:val="BodyText"/>
              <w:rPr>
                <w:lang w:val="en-NZ"/>
              </w:rPr>
            </w:pPr>
          </w:p>
        </w:tc>
      </w:tr>
      <w:tr w:rsidTr="00B552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377D">
            <w:pPr>
              <w:pStyle w:val="BodyText"/>
              <w:rPr>
                <w:lang w:val="en-NZ"/>
              </w:rPr>
            </w:pPr>
            <w:r w:rsidRPr="00CB377D">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CB377D" w:rsidP="00CB377D">
            <w:pPr>
              <w:pStyle w:val="BodyText"/>
            </w:pPr>
            <w:r w:rsidRPr="00CB377D">
              <w:t>This competency standard supports the recognition, protection and continued advancement of the inherent rights, cultures and traditions of Aboriginal and Torres Strait Islander peoples</w:t>
            </w:r>
          </w:p>
          <w:p w:rsidR="00000000" w:rsidRPr="00CB377D" w:rsidP="00CB377D">
            <w:pPr>
              <w:pStyle w:val="BodyText"/>
            </w:pPr>
            <w:r w:rsidRPr="00CB377D">
              <w:t>It recognises that the improvement of the health status of Aboriginal a</w:t>
            </w:r>
            <w:r w:rsidRPr="00CB377D">
              <w:t>nd Torres Strait Islander people must include attention to physical, spiritual, cultural, emotional and social well-being, community capacity and governance</w:t>
            </w:r>
          </w:p>
          <w:p w:rsidR="00000000" w:rsidP="00CB377D">
            <w:pPr>
              <w:pStyle w:val="BodyText"/>
              <w:rPr>
                <w:lang w:val="en-NZ"/>
              </w:rPr>
            </w:pPr>
            <w:r w:rsidRPr="00CB377D">
              <w:t>Its application must be culturally sensitive and supportive of traditional healing and health, know</w:t>
            </w:r>
            <w:r w:rsidRPr="00CB377D">
              <w:t>ledge and practices</w:t>
            </w:r>
          </w:p>
        </w:tc>
      </w:tr>
      <w:tr w:rsidTr="00B552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377D">
            <w:pPr>
              <w:pStyle w:val="BodyText"/>
              <w:rPr>
                <w:lang w:val="en-NZ"/>
              </w:rPr>
            </w:pPr>
          </w:p>
        </w:tc>
      </w:tr>
      <w:tr w:rsidTr="00B552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377D">
            <w:pPr>
              <w:pStyle w:val="BodyText"/>
              <w:rPr>
                <w:lang w:val="en-NZ"/>
              </w:rPr>
            </w:pPr>
            <w:r w:rsidRPr="00CB377D">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CB377D">
            <w:pPr>
              <w:pStyle w:val="BodyText"/>
              <w:rPr>
                <w:lang w:val="en-NZ"/>
              </w:rPr>
            </w:pPr>
            <w:r w:rsidRPr="00CB377D">
              <w:t>Community participation and control in decision-making is essential to all aspects of health work, and the role of the health worker is to support the community in this process</w:t>
            </w:r>
          </w:p>
        </w:tc>
      </w:tr>
      <w:tr w:rsidTr="00B552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377D">
            <w:pPr>
              <w:pStyle w:val="BodyText"/>
              <w:rPr>
                <w:lang w:val="en-NZ"/>
              </w:rPr>
            </w:pPr>
          </w:p>
        </w:tc>
      </w:tr>
      <w:tr w:rsidTr="00B552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377D">
            <w:pPr>
              <w:pStyle w:val="BodyText"/>
              <w:rPr>
                <w:lang w:val="en-NZ"/>
              </w:rPr>
            </w:pPr>
            <w:r w:rsidRPr="00CB377D">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CB377D" w:rsidP="00CB377D">
            <w:pPr>
              <w:pStyle w:val="BodyText"/>
            </w:pPr>
            <w:r w:rsidRPr="00CB377D">
              <w:t>Supervision must be c</w:t>
            </w:r>
            <w:r w:rsidRPr="00CB377D">
              <w:t>onducted in accordance with prevailing State/Territory and organisation legislative and regulatory requirements</w:t>
            </w:r>
          </w:p>
          <w:p w:rsidR="00000000" w:rsidRPr="00CB377D" w:rsidP="00CB377D">
            <w:pPr>
              <w:pStyle w:val="BodyText"/>
            </w:pPr>
            <w:r w:rsidRPr="00CB377D">
              <w:t xml:space="preserve">References to supervision may include either direct or indirect supervision of work by more experienced workers, supervisors, managers or other </w:t>
            </w:r>
            <w:r w:rsidRPr="00CB377D">
              <w:t>health professionals</w:t>
            </w:r>
          </w:p>
          <w:p w:rsidR="00000000" w:rsidP="00CB377D">
            <w:pPr>
              <w:pStyle w:val="BodyText"/>
              <w:rPr>
                <w:lang w:val="en-NZ"/>
              </w:rPr>
            </w:pPr>
            <w:r w:rsidRPr="00CB377D">
              <w:t xml:space="preserve">A person at this level should </w:t>
            </w:r>
            <w:r w:rsidRPr="00CB377D">
              <w:rPr>
                <w:rStyle w:val="BoldandItalics"/>
              </w:rPr>
              <w:t>only</w:t>
            </w:r>
            <w:r w:rsidRPr="00CB377D">
              <w:t xml:space="preserve"> be required to make decisions about clients within the organisation's standard treatment protocols and associated guidelines</w:t>
            </w:r>
          </w:p>
        </w:tc>
      </w:tr>
      <w:tr w:rsidTr="00B552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377D">
            <w:pPr>
              <w:pStyle w:val="BodyText"/>
              <w:rPr>
                <w:lang w:val="en-NZ"/>
              </w:rPr>
            </w:pPr>
          </w:p>
        </w:tc>
      </w:tr>
      <w:tr w:rsidTr="00B552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377D">
            <w:pPr>
              <w:pStyle w:val="BodyText"/>
              <w:rPr>
                <w:lang w:val="en-NZ"/>
              </w:rPr>
            </w:pPr>
            <w:r w:rsidRPr="00CB377D">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CB377D" w:rsidP="00CB377D">
            <w:pPr>
              <w:pStyle w:val="BodyText"/>
            </w:pPr>
            <w:r w:rsidRPr="00CB377D">
              <w:t>Federal, State or Territory legislation may impact on workers' practices and responsibilities. Implementation of the competency standards should reflect the legislative framework in which a health worker operates. It is recognised that this may sometimes r</w:t>
            </w:r>
            <w:r w:rsidRPr="00CB377D">
              <w:t>educe the application of the Range of Variables in practice. However, assessment in the workplace or through simulation should address all essential skills and knowledge across the Range of Variables</w:t>
            </w:r>
          </w:p>
          <w:p w:rsidR="00000000" w:rsidRPr="00CB377D" w:rsidP="00CB377D">
            <w:pPr>
              <w:pStyle w:val="BodyText"/>
            </w:pPr>
            <w:r w:rsidRPr="00CB377D">
              <w:t xml:space="preserve">Aboriginal and/or Torres Strait Islander Health Workers </w:t>
            </w:r>
            <w:r w:rsidRPr="00CB377D">
              <w:t>may be required to operate in situations that do not constitute 'usual practice' due to lack of resources, remote locations and community needs. As a result, they may need to possess more competencies than described by 'usual practice circumstances'</w:t>
            </w:r>
          </w:p>
          <w:p w:rsidR="00000000" w:rsidP="00CB377D">
            <w:pPr>
              <w:pStyle w:val="BodyText"/>
              <w:rPr>
                <w:lang w:val="en-NZ"/>
              </w:rPr>
            </w:pPr>
            <w:r w:rsidRPr="00CB377D">
              <w:t xml:space="preserve">Under </w:t>
            </w:r>
            <w:r w:rsidRPr="00CB377D">
              <w:t>all circumstances, the employer must enable the worker to function within the prevailing legislative framework</w:t>
            </w:r>
          </w:p>
        </w:tc>
      </w:tr>
      <w:tr w:rsidTr="00B552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377D">
            <w:pPr>
              <w:pStyle w:val="BodyText"/>
              <w:rPr>
                <w:lang w:val="en-NZ"/>
              </w:rPr>
            </w:pPr>
          </w:p>
        </w:tc>
      </w:tr>
      <w:tr w:rsidTr="00B552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377D">
            <w:pPr>
              <w:pStyle w:val="BodyText"/>
              <w:rPr>
                <w:lang w:val="en-NZ"/>
              </w:rPr>
            </w:pPr>
            <w:r w:rsidRPr="00CB377D">
              <w:rPr>
                <w:rStyle w:val="Emphasis"/>
              </w:rPr>
              <w:t>Issues relating to access to food may include</w:t>
            </w:r>
            <w:r w:rsidRPr="00CB377D">
              <w:t>:</w:t>
            </w:r>
          </w:p>
        </w:tc>
        <w:tc>
          <w:tcPr>
            <w:tcW w:w="5670" w:type="dxa"/>
            <w:tcBorders>
              <w:top w:val="nil"/>
              <w:left w:val="nil"/>
              <w:bottom w:val="nil"/>
              <w:right w:val="nil"/>
            </w:tcBorders>
            <w:tcMar>
              <w:top w:w="0" w:type="dxa"/>
              <w:left w:w="62" w:type="dxa"/>
              <w:bottom w:w="0" w:type="dxa"/>
              <w:right w:w="62" w:type="dxa"/>
            </w:tcMar>
          </w:tcPr>
          <w:p w:rsidR="00000000" w:rsidRPr="00CB377D" w:rsidP="00CB377D">
            <w:pPr>
              <w:pStyle w:val="ListBullet"/>
            </w:pPr>
            <w:r w:rsidRPr="00CB377D">
              <w:t>Income</w:t>
            </w:r>
          </w:p>
          <w:p w:rsidR="00000000" w:rsidRPr="00CB377D" w:rsidP="00CB377D">
            <w:pPr>
              <w:pStyle w:val="ListBullet"/>
            </w:pPr>
            <w:r w:rsidRPr="00CB377D">
              <w:t xml:space="preserve">Nutritional knowledge </w:t>
            </w:r>
          </w:p>
          <w:p w:rsidR="00000000" w:rsidRPr="00CB377D" w:rsidP="00CB377D">
            <w:pPr>
              <w:pStyle w:val="ListBullet"/>
            </w:pPr>
            <w:r w:rsidRPr="00CB377D">
              <w:t>Physical abilities of individuals</w:t>
            </w:r>
          </w:p>
          <w:p w:rsidR="00000000" w:rsidRPr="00CB377D" w:rsidP="00CB377D">
            <w:pPr>
              <w:pStyle w:val="ListBullet"/>
            </w:pPr>
            <w:r w:rsidRPr="00CB377D">
              <w:t>Transport</w:t>
            </w:r>
          </w:p>
          <w:p w:rsidR="00000000" w:rsidRPr="00CB377D" w:rsidP="00CB377D">
            <w:pPr>
              <w:pStyle w:val="ListBullet"/>
            </w:pPr>
            <w:r w:rsidRPr="00CB377D">
              <w:t>Other social and dom</w:t>
            </w:r>
            <w:r w:rsidRPr="00CB377D">
              <w:t>estic factors</w:t>
            </w:r>
          </w:p>
          <w:p w:rsidR="00000000" w:rsidP="00CB377D">
            <w:pPr>
              <w:pStyle w:val="ListBullet"/>
              <w:rPr>
                <w:lang w:val="en-NZ"/>
              </w:rPr>
            </w:pPr>
            <w:r w:rsidRPr="00CB377D">
              <w:t>Community infrastructure factors</w:t>
            </w:r>
          </w:p>
        </w:tc>
      </w:tr>
      <w:tr w:rsidTr="00B552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377D">
            <w:pPr>
              <w:pStyle w:val="BodyText"/>
              <w:rPr>
                <w:lang w:val="en-NZ"/>
              </w:rPr>
            </w:pPr>
          </w:p>
        </w:tc>
      </w:tr>
      <w:tr w:rsidTr="00B552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377D">
            <w:pPr>
              <w:pStyle w:val="BodyText"/>
              <w:rPr>
                <w:lang w:val="en-NZ"/>
              </w:rPr>
            </w:pPr>
            <w:r w:rsidRPr="00CB377D">
              <w:rPr>
                <w:rStyle w:val="Emphasis"/>
              </w:rPr>
              <w:t>Nutrition requirements for specific groups include those for</w:t>
            </w:r>
            <w:r w:rsidRPr="00CB377D">
              <w:t>:</w:t>
            </w:r>
          </w:p>
        </w:tc>
        <w:tc>
          <w:tcPr>
            <w:tcW w:w="5670" w:type="dxa"/>
            <w:tcBorders>
              <w:top w:val="nil"/>
              <w:left w:val="nil"/>
              <w:bottom w:val="nil"/>
              <w:right w:val="nil"/>
            </w:tcBorders>
            <w:tcMar>
              <w:top w:w="0" w:type="dxa"/>
              <w:left w:w="62" w:type="dxa"/>
              <w:bottom w:w="0" w:type="dxa"/>
              <w:right w:w="62" w:type="dxa"/>
            </w:tcMar>
          </w:tcPr>
          <w:p w:rsidR="00000000" w:rsidRPr="00CB377D" w:rsidP="00CB377D">
            <w:pPr>
              <w:pStyle w:val="ListBullet"/>
            </w:pPr>
            <w:r w:rsidRPr="00CB377D">
              <w:t>Babies</w:t>
            </w:r>
          </w:p>
          <w:p w:rsidR="00000000" w:rsidRPr="00CB377D" w:rsidP="00CB377D">
            <w:pPr>
              <w:pStyle w:val="ListBullet"/>
            </w:pPr>
            <w:r w:rsidRPr="00CB377D">
              <w:t>Infants</w:t>
            </w:r>
          </w:p>
          <w:p w:rsidR="00000000" w:rsidRPr="00CB377D" w:rsidP="00CB377D">
            <w:pPr>
              <w:pStyle w:val="ListBullet"/>
            </w:pPr>
            <w:r w:rsidRPr="00CB377D">
              <w:t>Children</w:t>
            </w:r>
          </w:p>
          <w:p w:rsidR="00000000" w:rsidRPr="00CB377D" w:rsidP="00CB377D">
            <w:pPr>
              <w:pStyle w:val="ListBullet"/>
            </w:pPr>
            <w:r w:rsidRPr="00CB377D">
              <w:t>Adolescents</w:t>
            </w:r>
          </w:p>
          <w:p w:rsidR="00000000" w:rsidRPr="00CB377D" w:rsidP="00CB377D">
            <w:pPr>
              <w:pStyle w:val="ListBullet"/>
            </w:pPr>
            <w:r w:rsidRPr="00CB377D">
              <w:t>Adults</w:t>
            </w:r>
          </w:p>
          <w:p w:rsidR="00000000" w:rsidRPr="00CB377D" w:rsidP="00CB377D">
            <w:pPr>
              <w:pStyle w:val="ListBullet"/>
            </w:pPr>
            <w:r w:rsidRPr="00CB377D">
              <w:t>Pregnant and breastfeeding women</w:t>
            </w:r>
          </w:p>
          <w:p w:rsidR="00000000" w:rsidRPr="00CB377D" w:rsidP="00CB377D">
            <w:pPr>
              <w:pStyle w:val="ListBullet"/>
            </w:pPr>
            <w:r w:rsidRPr="00CB377D">
              <w:t>Men</w:t>
            </w:r>
          </w:p>
          <w:p w:rsidR="00000000" w:rsidP="00CB377D">
            <w:pPr>
              <w:pStyle w:val="ListBullet"/>
              <w:rPr>
                <w:lang w:val="en-NZ"/>
              </w:rPr>
            </w:pPr>
            <w:r w:rsidRPr="00CB377D">
              <w:t>Older people</w:t>
            </w:r>
          </w:p>
        </w:tc>
      </w:tr>
      <w:tr w:rsidTr="00B552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377D">
            <w:pPr>
              <w:pStyle w:val="BodyText"/>
              <w:rPr>
                <w:lang w:val="en-NZ"/>
              </w:rPr>
            </w:pPr>
          </w:p>
        </w:tc>
      </w:tr>
      <w:tr w:rsidTr="00B552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377D">
            <w:pPr>
              <w:pStyle w:val="BodyText"/>
              <w:rPr>
                <w:lang w:val="en-NZ"/>
              </w:rPr>
            </w:pPr>
            <w:r w:rsidRPr="00CB377D">
              <w:rPr>
                <w:rStyle w:val="Emphasis"/>
              </w:rPr>
              <w:t>Selecting an appropriate diet may include</w:t>
            </w:r>
            <w:r w:rsidRPr="00CB377D">
              <w:t>:</w:t>
            </w:r>
          </w:p>
        </w:tc>
        <w:tc>
          <w:tcPr>
            <w:tcW w:w="5670" w:type="dxa"/>
            <w:tcBorders>
              <w:top w:val="nil"/>
              <w:left w:val="nil"/>
              <w:bottom w:val="nil"/>
              <w:right w:val="nil"/>
            </w:tcBorders>
            <w:tcMar>
              <w:top w:w="0" w:type="dxa"/>
              <w:left w:w="62" w:type="dxa"/>
              <w:bottom w:w="0" w:type="dxa"/>
              <w:right w:w="62" w:type="dxa"/>
            </w:tcMar>
          </w:tcPr>
          <w:p w:rsidR="00000000" w:rsidRPr="00CB377D" w:rsidP="00CB377D">
            <w:pPr>
              <w:pStyle w:val="ListBullet"/>
            </w:pPr>
            <w:r w:rsidRPr="00CB377D">
              <w:t>Reference to Australian Dietary Guidelines Series including:</w:t>
            </w:r>
          </w:p>
          <w:p w:rsidR="00000000" w:rsidRPr="00CB377D" w:rsidP="00CB377D">
            <w:pPr>
              <w:pStyle w:val="ListBullet2"/>
            </w:pPr>
            <w:r w:rsidRPr="00CB377D">
              <w:rPr>
                <w:rStyle w:val="Emphasis"/>
              </w:rPr>
              <w:t>Dietary guidelines for older Australians</w:t>
            </w:r>
          </w:p>
          <w:p w:rsidR="00000000" w:rsidRPr="00CB377D" w:rsidP="00CB377D">
            <w:pPr>
              <w:pStyle w:val="ListBullet2"/>
            </w:pPr>
            <w:r w:rsidRPr="00CB377D">
              <w:rPr>
                <w:rStyle w:val="Emphasis"/>
              </w:rPr>
              <w:t>Dietary guidelines for Australian adults</w:t>
            </w:r>
          </w:p>
          <w:p w:rsidR="00000000" w:rsidRPr="00CB377D" w:rsidP="00CB377D">
            <w:pPr>
              <w:pStyle w:val="ListBullet2"/>
            </w:pPr>
            <w:r w:rsidRPr="00CB377D">
              <w:rPr>
                <w:rStyle w:val="Emphasis"/>
              </w:rPr>
              <w:t>Dietary guidelines for children and adolescents in Australia</w:t>
            </w:r>
            <w:r w:rsidRPr="00CB377D">
              <w:t xml:space="preserve"> </w:t>
            </w:r>
          </w:p>
          <w:p w:rsidR="00000000" w:rsidRPr="00CB377D" w:rsidP="00CB377D">
            <w:pPr>
              <w:pStyle w:val="ListBullet"/>
            </w:pPr>
            <w:r w:rsidRPr="00CB377D">
              <w:t xml:space="preserve">Use of a model, such as the </w:t>
            </w:r>
            <w:r w:rsidRPr="00CB377D">
              <w:rPr>
                <w:rStyle w:val="Emphasis"/>
              </w:rPr>
              <w:t>Australian Guide to Healthy Eating</w:t>
            </w:r>
            <w:r w:rsidRPr="00CB377D">
              <w:t xml:space="preserve">, the </w:t>
            </w:r>
            <w:r w:rsidRPr="00CB377D">
              <w:rPr>
                <w:rStyle w:val="Emphasis"/>
              </w:rPr>
              <w:t>Aboriginal and Torres Strait Islander Guide to Healthy Eating</w:t>
            </w:r>
            <w:r w:rsidRPr="00CB377D">
              <w:t xml:space="preserve"> or other appropriate tools</w:t>
            </w:r>
          </w:p>
          <w:p w:rsidR="00000000" w:rsidRPr="00CB377D" w:rsidP="00CB377D">
            <w:pPr>
              <w:pStyle w:val="ListBullet"/>
            </w:pPr>
            <w:r w:rsidRPr="00CB377D">
              <w:t>Consideration of:</w:t>
            </w:r>
          </w:p>
          <w:p w:rsidR="00000000" w:rsidRPr="00CB377D" w:rsidP="00CB377D">
            <w:pPr>
              <w:pStyle w:val="ListBullet2"/>
            </w:pPr>
            <w:r w:rsidRPr="00CB377D">
              <w:t>available food sources</w:t>
            </w:r>
          </w:p>
          <w:p w:rsidR="00000000" w:rsidRPr="00CB377D" w:rsidP="00CB377D">
            <w:pPr>
              <w:pStyle w:val="ListBullet2"/>
            </w:pPr>
            <w:r w:rsidRPr="00CB377D">
              <w:t>individual, family and community issues relating to access to food</w:t>
            </w:r>
          </w:p>
          <w:p w:rsidR="00000000" w:rsidRPr="00CB377D" w:rsidP="00CB377D">
            <w:pPr>
              <w:pStyle w:val="ListBullet2"/>
            </w:pPr>
            <w:r w:rsidRPr="00CB377D">
              <w:t>stage of life</w:t>
            </w:r>
          </w:p>
          <w:p w:rsidR="00000000" w:rsidP="00CB377D">
            <w:pPr>
              <w:pStyle w:val="ListBullet2"/>
              <w:rPr>
                <w:lang w:val="en-NZ"/>
              </w:rPr>
            </w:pPr>
            <w:r w:rsidRPr="00CB377D">
              <w:t>spec</w:t>
            </w:r>
            <w:r w:rsidRPr="00CB377D">
              <w:t>ific dietary guidelines provided for health reasons</w:t>
            </w:r>
          </w:p>
        </w:tc>
      </w:tr>
      <w:tr w:rsidTr="00B552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377D">
            <w:pPr>
              <w:pStyle w:val="BodyText"/>
              <w:rPr>
                <w:lang w:val="en-NZ"/>
              </w:rPr>
            </w:pPr>
          </w:p>
        </w:tc>
      </w:tr>
      <w:tr w:rsidTr="00B552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377D">
            <w:pPr>
              <w:pStyle w:val="BodyText"/>
              <w:rPr>
                <w:lang w:val="en-NZ"/>
              </w:rPr>
            </w:pPr>
            <w:r w:rsidRPr="00CB377D">
              <w:rPr>
                <w:rStyle w:val="Emphasis"/>
              </w:rPr>
              <w:t>Suggestions for modifying food eaten to reduce risks of diet</w:t>
            </w:r>
            <w:r w:rsidRPr="00CB377D">
              <w:t>-</w:t>
            </w:r>
            <w:r w:rsidRPr="00CB377D">
              <w:rPr>
                <w:rStyle w:val="Emphasis"/>
              </w:rPr>
              <w:t>related diseases may relate to</w:t>
            </w:r>
            <w:r w:rsidRPr="00CB377D">
              <w:t>:</w:t>
            </w:r>
          </w:p>
        </w:tc>
        <w:tc>
          <w:tcPr>
            <w:tcW w:w="5670" w:type="dxa"/>
            <w:tcBorders>
              <w:top w:val="nil"/>
              <w:left w:val="nil"/>
              <w:bottom w:val="nil"/>
              <w:right w:val="nil"/>
            </w:tcBorders>
            <w:tcMar>
              <w:top w:w="0" w:type="dxa"/>
              <w:left w:w="62" w:type="dxa"/>
              <w:bottom w:w="0" w:type="dxa"/>
              <w:right w:w="62" w:type="dxa"/>
            </w:tcMar>
          </w:tcPr>
          <w:p w:rsidR="00000000" w:rsidRPr="00CB377D" w:rsidP="00CB377D">
            <w:pPr>
              <w:pStyle w:val="ListBullet"/>
            </w:pPr>
            <w:r w:rsidRPr="00CB377D">
              <w:t>Overweight and obesity</w:t>
            </w:r>
          </w:p>
          <w:p w:rsidR="00000000" w:rsidRPr="00CB377D" w:rsidP="00CB377D">
            <w:pPr>
              <w:pStyle w:val="ListBullet"/>
            </w:pPr>
            <w:r w:rsidRPr="00CB377D">
              <w:t xml:space="preserve">Diabetes </w:t>
            </w:r>
          </w:p>
          <w:p w:rsidR="00000000" w:rsidRPr="00CB377D" w:rsidP="00CB377D">
            <w:pPr>
              <w:pStyle w:val="ListBullet"/>
            </w:pPr>
            <w:r w:rsidRPr="00CB377D">
              <w:t>Cardiovascular disease</w:t>
            </w:r>
          </w:p>
          <w:p w:rsidR="00000000" w:rsidRPr="00CB377D" w:rsidP="00CB377D">
            <w:pPr>
              <w:pStyle w:val="ListBullet"/>
            </w:pPr>
            <w:r w:rsidRPr="00CB377D">
              <w:t>High blood pressure and high blood lipids</w:t>
            </w:r>
          </w:p>
          <w:p w:rsidR="00000000" w:rsidRPr="00CB377D" w:rsidP="00CB377D">
            <w:pPr>
              <w:pStyle w:val="ListBullet"/>
            </w:pPr>
            <w:r w:rsidRPr="00CB377D">
              <w:t>Common dietary restrictions identified for clients with chronic renal failure (supported by specialist referral)</w:t>
            </w:r>
          </w:p>
          <w:p w:rsidR="00000000" w:rsidP="00CB377D">
            <w:pPr>
              <w:pStyle w:val="ListBullet"/>
              <w:rPr>
                <w:lang w:val="en-NZ"/>
              </w:rPr>
            </w:pPr>
            <w:r w:rsidRPr="00CB377D">
              <w:t>Other diet related diseases (supported by specialist referral)</w:t>
            </w:r>
          </w:p>
        </w:tc>
      </w:tr>
      <w:tr w:rsidTr="00B552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377D">
            <w:pPr>
              <w:pStyle w:val="BodyText"/>
              <w:rPr>
                <w:lang w:val="en-NZ"/>
              </w:rPr>
            </w:pPr>
          </w:p>
        </w:tc>
      </w:tr>
      <w:tr w:rsidTr="00B552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377D">
            <w:pPr>
              <w:pStyle w:val="BodyText"/>
              <w:rPr>
                <w:lang w:val="en-NZ"/>
              </w:rPr>
            </w:pPr>
            <w:r w:rsidRPr="00CB377D">
              <w:rPr>
                <w:rStyle w:val="Emphasis"/>
              </w:rPr>
              <w:t>Information about healthy eating for infants includes</w:t>
            </w:r>
            <w:r w:rsidRPr="00CB377D">
              <w:t>:</w:t>
            </w:r>
          </w:p>
        </w:tc>
        <w:tc>
          <w:tcPr>
            <w:tcW w:w="5670" w:type="dxa"/>
            <w:tcBorders>
              <w:top w:val="nil"/>
              <w:left w:val="nil"/>
              <w:bottom w:val="nil"/>
              <w:right w:val="nil"/>
            </w:tcBorders>
            <w:tcMar>
              <w:top w:w="0" w:type="dxa"/>
              <w:left w:w="62" w:type="dxa"/>
              <w:bottom w:w="0" w:type="dxa"/>
              <w:right w:w="62" w:type="dxa"/>
            </w:tcMar>
          </w:tcPr>
          <w:p w:rsidR="00000000" w:rsidRPr="00CB377D" w:rsidP="00CB377D">
            <w:pPr>
              <w:pStyle w:val="ListBullet"/>
            </w:pPr>
            <w:r w:rsidRPr="00CB377D">
              <w:t>Explanation of:</w:t>
            </w:r>
          </w:p>
          <w:p w:rsidR="00000000" w:rsidRPr="00CB377D" w:rsidP="00CB377D">
            <w:pPr>
              <w:pStyle w:val="ListBullet2"/>
            </w:pPr>
            <w:r w:rsidRPr="00CB377D">
              <w:t xml:space="preserve">why </w:t>
            </w:r>
            <w:r w:rsidRPr="00CB377D">
              <w:t>breast milk is best for babies and breastfeeding is best for mothers</w:t>
            </w:r>
          </w:p>
          <w:p w:rsidR="00000000" w:rsidRPr="00CB377D" w:rsidP="00CB377D">
            <w:pPr>
              <w:pStyle w:val="ListBullet2"/>
            </w:pPr>
            <w:r w:rsidRPr="00CB377D">
              <w:t>strategies to support mothers initiate and maintain breast feeding</w:t>
            </w:r>
          </w:p>
          <w:p w:rsidR="00000000" w:rsidRPr="00CB377D" w:rsidP="00CB377D">
            <w:pPr>
              <w:pStyle w:val="ListBullet2"/>
            </w:pPr>
            <w:r w:rsidRPr="00CB377D">
              <w:t>role of the colostrum in the first days of the baby's life</w:t>
            </w:r>
          </w:p>
          <w:p w:rsidR="00000000" w:rsidRPr="00CB377D" w:rsidP="00CB377D">
            <w:pPr>
              <w:pStyle w:val="ListBullet2"/>
            </w:pPr>
            <w:r w:rsidRPr="00CB377D">
              <w:t>risks of formula feeding</w:t>
            </w:r>
          </w:p>
          <w:p w:rsidR="00000000" w:rsidRPr="00CB377D" w:rsidP="00CB377D">
            <w:pPr>
              <w:pStyle w:val="ListBullet2"/>
            </w:pPr>
            <w:r w:rsidRPr="00CB377D">
              <w:t>evaluation of various formula feeds available for infants</w:t>
            </w:r>
          </w:p>
          <w:p w:rsidR="00000000" w:rsidP="00CB377D">
            <w:pPr>
              <w:pStyle w:val="ListBullet"/>
              <w:rPr>
                <w:lang w:val="en-NZ"/>
              </w:rPr>
            </w:pPr>
            <w:r w:rsidRPr="00CB377D">
              <w:t>Demonstration of correct selection, preparation and use of formulas and utensils</w:t>
            </w:r>
          </w:p>
        </w:tc>
      </w:tr>
      <w:tr w:rsidTr="00B552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377D">
            <w:pPr>
              <w:pStyle w:val="BodyText"/>
              <w:rPr>
                <w:lang w:val="en-NZ"/>
              </w:rPr>
            </w:pPr>
          </w:p>
        </w:tc>
      </w:tr>
      <w:tr w:rsidTr="00B552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377D">
            <w:pPr>
              <w:pStyle w:val="BodyText"/>
              <w:rPr>
                <w:lang w:val="en-NZ"/>
              </w:rPr>
            </w:pPr>
            <w:r w:rsidRPr="00CB377D">
              <w:rPr>
                <w:rStyle w:val="Emphasis"/>
              </w:rPr>
              <w:t>Information about healthy eating for older infants and toddlers includes</w:t>
            </w:r>
            <w:r w:rsidRPr="00CB377D">
              <w:t>:</w:t>
            </w:r>
          </w:p>
        </w:tc>
        <w:tc>
          <w:tcPr>
            <w:tcW w:w="5670" w:type="dxa"/>
            <w:tcBorders>
              <w:top w:val="nil"/>
              <w:left w:val="nil"/>
              <w:bottom w:val="nil"/>
              <w:right w:val="nil"/>
            </w:tcBorders>
            <w:tcMar>
              <w:top w:w="0" w:type="dxa"/>
              <w:left w:w="62" w:type="dxa"/>
              <w:bottom w:w="0" w:type="dxa"/>
              <w:right w:w="62" w:type="dxa"/>
            </w:tcMar>
          </w:tcPr>
          <w:p w:rsidR="00000000" w:rsidRPr="00CB377D" w:rsidP="00CB377D">
            <w:pPr>
              <w:pStyle w:val="ListBullet"/>
            </w:pPr>
            <w:r w:rsidRPr="00CB377D">
              <w:t>Explanation of:</w:t>
            </w:r>
          </w:p>
          <w:p w:rsidR="00000000" w:rsidRPr="00CB377D" w:rsidP="00CB377D">
            <w:pPr>
              <w:pStyle w:val="ListBullet2"/>
            </w:pPr>
            <w:r w:rsidRPr="00CB377D">
              <w:t>the relationship between good food and good teeth in early childhood</w:t>
            </w:r>
          </w:p>
          <w:p w:rsidR="00000000" w:rsidRPr="00CB377D" w:rsidP="00CB377D">
            <w:pPr>
              <w:pStyle w:val="ListBullet2"/>
            </w:pPr>
            <w:r w:rsidRPr="00CB377D">
              <w:t>nutritional needs of infants for solid food</w:t>
            </w:r>
          </w:p>
          <w:p w:rsidR="00000000" w:rsidRPr="00CB377D" w:rsidP="00CB377D">
            <w:pPr>
              <w:pStyle w:val="ListBullet2"/>
            </w:pPr>
            <w:r w:rsidRPr="00CB377D">
              <w:t>health risks associated with excessive consumption by the infant and toddler of foods high in salt, sugar and fats</w:t>
            </w:r>
          </w:p>
          <w:p w:rsidR="00000000" w:rsidRPr="00CB377D" w:rsidP="00CB377D">
            <w:pPr>
              <w:pStyle w:val="ListBullet2"/>
            </w:pPr>
            <w:r w:rsidRPr="00CB377D">
              <w:t>most common nutrition relate</w:t>
            </w:r>
            <w:r w:rsidRPr="00CB377D">
              <w:t>d problems in early childhood</w:t>
            </w:r>
          </w:p>
          <w:p w:rsidR="00000000" w:rsidRPr="00CB377D" w:rsidP="00CB377D">
            <w:pPr>
              <w:pStyle w:val="ListBullet2"/>
            </w:pPr>
            <w:r w:rsidRPr="00CB377D">
              <w:t>relationship between infection and poor nutrition in young children</w:t>
            </w:r>
          </w:p>
          <w:p w:rsidR="00000000" w:rsidP="00CB377D">
            <w:pPr>
              <w:pStyle w:val="ListBullet2"/>
              <w:rPr>
                <w:lang w:val="en-NZ"/>
              </w:rPr>
            </w:pPr>
            <w:r w:rsidRPr="00CB377D">
              <w:t>strategies to help carers learn about good food for babies and toddlers</w:t>
            </w:r>
          </w:p>
        </w:tc>
      </w:tr>
      <w:tr w:rsidTr="00B552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377D">
            <w:pPr>
              <w:pStyle w:val="BodyText"/>
              <w:rPr>
                <w:lang w:val="en-NZ"/>
              </w:rPr>
            </w:pPr>
          </w:p>
        </w:tc>
      </w:tr>
      <w:tr w:rsidTr="00B552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377D">
            <w:pPr>
              <w:pStyle w:val="BodyText"/>
              <w:rPr>
                <w:lang w:val="en-NZ"/>
              </w:rPr>
            </w:pPr>
            <w:r w:rsidRPr="00CB377D">
              <w:rPr>
                <w:rStyle w:val="Emphasis"/>
              </w:rPr>
              <w:t>Nutrition</w:t>
            </w:r>
            <w:r w:rsidRPr="00CB377D">
              <w:t>-</w:t>
            </w:r>
            <w:r w:rsidRPr="00CB377D">
              <w:rPr>
                <w:rStyle w:val="Emphasis"/>
              </w:rPr>
              <w:t>related issues for pregnant and</w:t>
            </w:r>
            <w:r w:rsidRPr="00CB377D">
              <w:t>/</w:t>
            </w:r>
            <w:r w:rsidRPr="00CB377D">
              <w:rPr>
                <w:rStyle w:val="Emphasis"/>
              </w:rPr>
              <w:t>or lactating women may include</w:t>
            </w:r>
            <w:r w:rsidRPr="00CB377D">
              <w:t>:</w:t>
            </w:r>
          </w:p>
        </w:tc>
        <w:tc>
          <w:tcPr>
            <w:tcW w:w="5670" w:type="dxa"/>
            <w:tcBorders>
              <w:top w:val="nil"/>
              <w:left w:val="nil"/>
              <w:bottom w:val="nil"/>
              <w:right w:val="nil"/>
            </w:tcBorders>
            <w:tcMar>
              <w:top w:w="0" w:type="dxa"/>
              <w:left w:w="62" w:type="dxa"/>
              <w:bottom w:w="0" w:type="dxa"/>
              <w:right w:w="62" w:type="dxa"/>
            </w:tcMar>
          </w:tcPr>
          <w:p w:rsidR="00000000" w:rsidRPr="00CB377D" w:rsidP="00CB377D">
            <w:pPr>
              <w:pStyle w:val="ListBullet"/>
            </w:pPr>
            <w:r w:rsidRPr="00CB377D">
              <w:t>Specific nutritional needs experienced during pregnancy and lactation in relation to dietary guidelines</w:t>
            </w:r>
          </w:p>
          <w:p w:rsidR="00000000" w:rsidRPr="00CB377D" w:rsidP="00CB377D">
            <w:pPr>
              <w:pStyle w:val="ListBullet"/>
            </w:pPr>
            <w:r w:rsidRPr="00CB377D">
              <w:t>Strategies for meeting additional requirements using appropriate dietary guidelines and resources</w:t>
            </w:r>
          </w:p>
          <w:p w:rsidR="00000000" w:rsidRPr="00CB377D" w:rsidP="00CB377D">
            <w:pPr>
              <w:pStyle w:val="ListBullet"/>
            </w:pPr>
            <w:r w:rsidRPr="00CB377D">
              <w:t>Personal, social, commercial and environmental factors</w:t>
            </w:r>
            <w:r w:rsidRPr="00CB377D">
              <w:t xml:space="preserve"> that may influence a pregnant or lactating woman's food consumption pattern</w:t>
            </w:r>
          </w:p>
          <w:p w:rsidR="00000000" w:rsidRPr="00CB377D" w:rsidP="00CB377D">
            <w:pPr>
              <w:pStyle w:val="ListBullet"/>
            </w:pPr>
            <w:r w:rsidRPr="00CB377D">
              <w:t>Child-bearing trends of Aboriginal and Torres Strait Islander women, and the implications of these trends</w:t>
            </w:r>
          </w:p>
          <w:p w:rsidR="00000000" w:rsidRPr="00CB377D" w:rsidP="00CB377D">
            <w:pPr>
              <w:pStyle w:val="ListBullet"/>
            </w:pPr>
            <w:r w:rsidRPr="00CB377D">
              <w:t>Family relationships and the various roles and responsibilities family me</w:t>
            </w:r>
            <w:r w:rsidRPr="00CB377D">
              <w:t>mbers have in supporting mothers and babies</w:t>
            </w:r>
          </w:p>
          <w:p w:rsidR="00000000" w:rsidRPr="00CB377D" w:rsidP="00CB377D">
            <w:pPr>
              <w:pStyle w:val="ListBullet"/>
            </w:pPr>
            <w:r w:rsidRPr="00CB377D">
              <w:t>Strategies for achieving healthy weight gain during pregnancy</w:t>
            </w:r>
          </w:p>
          <w:p w:rsidR="00000000" w:rsidRPr="00CB377D" w:rsidP="00CB377D">
            <w:pPr>
              <w:pStyle w:val="ListBullet"/>
            </w:pPr>
            <w:r w:rsidRPr="00CB377D">
              <w:t>Consequences of inappropriate food, alcohol and other drugs intake during pregnancy and lactation</w:t>
            </w:r>
          </w:p>
          <w:p w:rsidR="00000000" w:rsidP="00CB377D">
            <w:pPr>
              <w:pStyle w:val="ListBullet"/>
              <w:rPr>
                <w:lang w:val="en-NZ"/>
              </w:rPr>
            </w:pPr>
            <w:r w:rsidRPr="00CB377D">
              <w:t xml:space="preserve">Most common nutrition related problems in pregnancy </w:t>
            </w:r>
            <w:r w:rsidRPr="00CB377D">
              <w:t>and after the birth of child</w:t>
            </w:r>
          </w:p>
        </w:tc>
      </w:tr>
      <w:tr w:rsidTr="00B552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B377D" w:rsidP="00CB377D">
            <w:pPr>
              <w:pStyle w:val="BodyText"/>
            </w:pPr>
          </w:p>
        </w:tc>
      </w:tr>
    </w:tbl>
    <w:p w:rsidR="00B5525E" w:rsidP="00CB377D">
      <w:pPr>
        <w:pStyle w:val="BodyText"/>
      </w:pPr>
    </w:p>
    <w:p w:rsidR="00B5525E" w:rsidP="00CB377D">
      <w:pPr>
        <w:pStyle w:val="BodyText"/>
      </w:pPr>
    </w:p>
    <w:p w:rsidR="00000000" w:rsidRPr="00CB377D" w:rsidP="00CB377D">
      <w:pPr>
        <w:pStyle w:val="Heading1"/>
      </w:pPr>
      <w:bookmarkStart w:id="12" w:name="O_294828"/>
      <w:bookmarkEnd w:id="12"/>
      <w:r w:rsidRPr="00CB377D">
        <w:t>Unit Sector(s)</w:t>
      </w:r>
    </w:p>
    <w:p w:rsidR="00000000" w:rsidRPr="00CB377D" w:rsidP="00CB377D">
      <w:pPr>
        <w:pStyle w:val="BodyText"/>
      </w:pPr>
      <w:r w:rsidRPr="00CB377D">
        <w:t>Not Applicable</w:t>
      </w:r>
    </w:p>
    <w:p w:rsidR="00000000" w:rsidRPr="00CB377D" w:rsidP="00CB377D"/>
    <w:sectPr w:rsidSect="00CB37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7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525E" w:rsidP="00B5525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7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25E" w:rsidP="00CB377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5525E" w:rsidP="00CB37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5525E" w:rsidP="00CB37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7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77D" w:rsidRPr="00B5525E" w:rsidP="00B5525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7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25E" w:rsidRPr="002D2AF8" w:rsidP="00CB377D">
    <w:pPr>
      <w:pStyle w:val="Header"/>
      <w:framePr w:wrap="around"/>
    </w:pPr>
    <w:r>
      <w:fldChar w:fldCharType="begin"/>
    </w:r>
    <w:r>
      <w:instrText xml:space="preserve"> TITLE   \* MERGEFORMAT </w:instrText>
    </w:r>
    <w:r>
      <w:fldChar w:fldCharType="separate"/>
    </w:r>
    <w:r>
      <w:t>HLTAHW412B Provide information and strategies to promote nutrition for good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B5525E" w:rsidP="00CB37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4251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127B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8081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7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377D"/>
    <w:pPr>
      <w:spacing w:before="360" w:after="60"/>
      <w:outlineLvl w:val="0"/>
    </w:pPr>
    <w:rPr>
      <w:sz w:val="32"/>
    </w:rPr>
  </w:style>
  <w:style w:type="paragraph" w:styleId="Heading2">
    <w:name w:val="heading 2"/>
    <w:basedOn w:val="HeadingBase"/>
    <w:next w:val="BodyText"/>
    <w:link w:val="Heading2Char"/>
    <w:qFormat/>
    <w:rsid w:val="00CB377D"/>
    <w:pPr>
      <w:keepLines/>
      <w:spacing w:before="240" w:after="120"/>
      <w:outlineLvl w:val="1"/>
    </w:pPr>
    <w:rPr>
      <w:sz w:val="28"/>
      <w:szCs w:val="40"/>
    </w:rPr>
  </w:style>
  <w:style w:type="paragraph" w:styleId="Heading3">
    <w:name w:val="heading 3"/>
    <w:basedOn w:val="HeadingBase"/>
    <w:next w:val="BodyText"/>
    <w:link w:val="Heading3Char"/>
    <w:qFormat/>
    <w:rsid w:val="00CB377D"/>
    <w:pPr>
      <w:spacing w:before="180" w:after="120"/>
      <w:outlineLvl w:val="2"/>
    </w:pPr>
    <w:rPr>
      <w:spacing w:val="-10"/>
      <w:kern w:val="32"/>
    </w:rPr>
  </w:style>
  <w:style w:type="paragraph" w:styleId="Heading4">
    <w:name w:val="heading 4"/>
    <w:basedOn w:val="HeadingBase"/>
    <w:next w:val="BodyText"/>
    <w:link w:val="Heading4Char"/>
    <w:qFormat/>
    <w:rsid w:val="00CB377D"/>
    <w:pPr>
      <w:spacing w:before="160" w:after="120"/>
      <w:outlineLvl w:val="3"/>
    </w:pPr>
    <w:rPr>
      <w:sz w:val="22"/>
    </w:rPr>
  </w:style>
  <w:style w:type="paragraph" w:styleId="Heading5">
    <w:name w:val="heading 5"/>
    <w:basedOn w:val="HeadingBase"/>
    <w:next w:val="Normal"/>
    <w:link w:val="Heading5Char"/>
    <w:qFormat/>
    <w:rsid w:val="00CB377D"/>
    <w:pPr>
      <w:spacing w:before="80"/>
      <w:outlineLvl w:val="4"/>
    </w:pPr>
    <w:rPr>
      <w:color w:val="918585"/>
      <w:sz w:val="20"/>
    </w:rPr>
  </w:style>
  <w:style w:type="paragraph" w:styleId="Heading6">
    <w:name w:val="heading 6"/>
    <w:basedOn w:val="HeadingBase"/>
    <w:next w:val="Normal"/>
    <w:link w:val="Heading6Char"/>
    <w:qFormat/>
    <w:rsid w:val="00CB377D"/>
    <w:pPr>
      <w:spacing w:before="60"/>
      <w:outlineLvl w:val="5"/>
    </w:pPr>
    <w:rPr>
      <w:color w:val="918585"/>
      <w:sz w:val="20"/>
    </w:rPr>
  </w:style>
  <w:style w:type="paragraph" w:styleId="Heading7">
    <w:name w:val="heading 7"/>
    <w:basedOn w:val="Normal"/>
    <w:next w:val="Normal"/>
    <w:link w:val="Heading7Char"/>
    <w:qFormat/>
    <w:rsid w:val="00CB377D"/>
    <w:pPr>
      <w:ind w:left="720"/>
      <w:outlineLvl w:val="6"/>
    </w:pPr>
    <w:rPr>
      <w:i/>
    </w:rPr>
  </w:style>
  <w:style w:type="paragraph" w:styleId="Heading8">
    <w:name w:val="heading 8"/>
    <w:basedOn w:val="Normal"/>
    <w:next w:val="Normal"/>
    <w:link w:val="Heading8Char"/>
    <w:qFormat/>
    <w:rsid w:val="00CB377D"/>
    <w:pPr>
      <w:ind w:left="720"/>
      <w:outlineLvl w:val="7"/>
    </w:pPr>
    <w:rPr>
      <w:i/>
    </w:rPr>
  </w:style>
  <w:style w:type="paragraph" w:styleId="Heading9">
    <w:name w:val="heading 9"/>
    <w:basedOn w:val="Normal"/>
    <w:next w:val="Normal"/>
    <w:link w:val="Heading9Char"/>
    <w:qFormat/>
    <w:rsid w:val="00CB377D"/>
    <w:pPr>
      <w:ind w:left="720"/>
      <w:outlineLvl w:val="8"/>
    </w:pPr>
    <w:rPr>
      <w:i/>
    </w:rPr>
  </w:style>
  <w:style w:type="character" w:default="1" w:styleId="DefaultParagraphFont">
    <w:name w:val="Default Paragraph Font"/>
    <w:uiPriority w:val="1"/>
    <w:unhideWhenUsed/>
    <w:rsid w:val="00CB37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377D"/>
  </w:style>
  <w:style w:type="character" w:customStyle="1" w:styleId="Heading1Char">
    <w:name w:val="Heading 1 Char"/>
    <w:basedOn w:val="DefaultParagraphFont"/>
    <w:link w:val="Heading1"/>
    <w:rsid w:val="00CB377D"/>
    <w:rPr>
      <w:rFonts w:ascii="Times New Roman" w:eastAsia="Times New Roman" w:hAnsi="Times New Roman" w:cs="Times New Roman"/>
      <w:b/>
      <w:sz w:val="32"/>
      <w:szCs w:val="20"/>
      <w:lang w:eastAsia="en-US"/>
    </w:rPr>
  </w:style>
  <w:style w:type="paragraph" w:styleId="BodyText">
    <w:name w:val="Body Text"/>
    <w:basedOn w:val="Normal"/>
    <w:link w:val="BodyTextChar"/>
    <w:rsid w:val="00CB37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377D"/>
    <w:rPr>
      <w:rFonts w:ascii="Times New Roman" w:eastAsia="Times New Roman" w:hAnsi="Times New Roman" w:cs="Times New Roman"/>
      <w:sz w:val="24"/>
      <w:lang w:eastAsia="en-US"/>
    </w:rPr>
  </w:style>
  <w:style w:type="paragraph" w:styleId="Footer">
    <w:name w:val="footer"/>
    <w:basedOn w:val="Normal"/>
    <w:link w:val="FooterChar"/>
    <w:rsid w:val="00CB37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377D"/>
    <w:rPr>
      <w:rFonts w:ascii="Times New Roman" w:eastAsia="Times New Roman" w:hAnsi="Times New Roman" w:cs="Times New Roman"/>
      <w:sz w:val="16"/>
      <w:lang w:eastAsia="en-US"/>
    </w:rPr>
  </w:style>
  <w:style w:type="paragraph" w:styleId="List">
    <w:name w:val="List"/>
    <w:basedOn w:val="BodyText"/>
    <w:next w:val="BodyText"/>
    <w:rsid w:val="00CB377D"/>
    <w:pPr>
      <w:tabs>
        <w:tab w:val="left" w:pos="340"/>
      </w:tabs>
      <w:spacing w:before="60" w:after="60"/>
      <w:ind w:left="340" w:hanging="340"/>
    </w:pPr>
  </w:style>
  <w:style w:type="paragraph" w:styleId="ListBullet">
    <w:name w:val="List Bullet"/>
    <w:basedOn w:val="List"/>
    <w:rsid w:val="00CB377D"/>
    <w:pPr>
      <w:numPr>
        <w:numId w:val="13"/>
      </w:numPr>
      <w:tabs>
        <w:tab w:val="clear" w:pos="340"/>
      </w:tabs>
      <w:spacing w:before="40" w:after="40"/>
    </w:pPr>
  </w:style>
  <w:style w:type="character" w:customStyle="1" w:styleId="SpecialBold">
    <w:name w:val="Special Bold"/>
    <w:basedOn w:val="DefaultParagraphFont"/>
    <w:rsid w:val="00CB377D"/>
    <w:rPr>
      <w:b/>
      <w:spacing w:val="0"/>
    </w:rPr>
  </w:style>
  <w:style w:type="paragraph" w:styleId="ListBullet2">
    <w:name w:val="List Bullet 2"/>
    <w:basedOn w:val="List2"/>
    <w:rsid w:val="00CB377D"/>
    <w:pPr>
      <w:numPr>
        <w:numId w:val="14"/>
      </w:numPr>
      <w:tabs>
        <w:tab w:val="clear" w:pos="680"/>
      </w:tabs>
    </w:pPr>
  </w:style>
  <w:style w:type="character" w:styleId="Emphasis">
    <w:name w:val="Emphasis"/>
    <w:basedOn w:val="DefaultParagraphFont"/>
    <w:qFormat/>
    <w:rsid w:val="00CB377D"/>
    <w:rPr>
      <w:i/>
    </w:rPr>
  </w:style>
  <w:style w:type="paragraph" w:customStyle="1" w:styleId="SuperHeading">
    <w:name w:val="SuperHeading"/>
    <w:basedOn w:val="Normal"/>
    <w:rsid w:val="00CB377D"/>
    <w:pPr>
      <w:spacing w:before="240" w:after="120"/>
      <w:outlineLvl w:val="0"/>
    </w:pPr>
    <w:rPr>
      <w:rFonts w:ascii="Times New Roman" w:hAnsi="Times New Roman"/>
      <w:b/>
      <w:sz w:val="28"/>
    </w:rPr>
  </w:style>
  <w:style w:type="paragraph" w:customStyle="1" w:styleId="AllowPageBreak">
    <w:name w:val="AllowPageBreak"/>
    <w:rsid w:val="00CB37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B377D"/>
    <w:rPr>
      <w:b/>
      <w:i/>
      <w:u w:val="none"/>
    </w:rPr>
  </w:style>
  <w:style w:type="character" w:customStyle="1" w:styleId="Heading2Char">
    <w:name w:val="Heading 2 Char"/>
    <w:basedOn w:val="DefaultParagraphFont"/>
    <w:link w:val="Heading2"/>
    <w:rsid w:val="00CB37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37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37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37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37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37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37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377D"/>
    <w:rPr>
      <w:rFonts w:ascii="Courier New" w:eastAsia="Times New Roman" w:hAnsi="Courier New" w:cs="Times New Roman"/>
      <w:i/>
      <w:szCs w:val="20"/>
      <w:lang w:eastAsia="en-US"/>
    </w:rPr>
  </w:style>
  <w:style w:type="paragraph" w:customStyle="1" w:styleId="HeadingBase">
    <w:name w:val="Heading Base"/>
    <w:rsid w:val="00CB37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377D"/>
    <w:pPr>
      <w:tabs>
        <w:tab w:val="right" w:leader="dot" w:pos="9072"/>
      </w:tabs>
      <w:ind w:left="567"/>
    </w:pPr>
    <w:rPr>
      <w:szCs w:val="22"/>
    </w:rPr>
  </w:style>
  <w:style w:type="paragraph" w:customStyle="1" w:styleId="TOCBase">
    <w:name w:val="TOC Base"/>
    <w:rsid w:val="00CB37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377D"/>
    <w:pPr>
      <w:tabs>
        <w:tab w:val="right" w:leader="dot" w:pos="9072"/>
      </w:tabs>
      <w:spacing w:before="40" w:after="40"/>
      <w:ind w:left="284"/>
    </w:pPr>
    <w:rPr>
      <w:rFonts w:ascii="Times New Roman" w:hAnsi="Times New Roman"/>
    </w:rPr>
  </w:style>
  <w:style w:type="paragraph" w:styleId="TOC1">
    <w:name w:val="toc 1"/>
    <w:basedOn w:val="TOCBase"/>
    <w:next w:val="Normal"/>
    <w:rsid w:val="00CB37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377D"/>
    <w:pPr>
      <w:spacing w:before="5040"/>
      <w:jc w:val="center"/>
    </w:pPr>
    <w:rPr>
      <w:sz w:val="48"/>
      <w:szCs w:val="72"/>
      <w:lang w:val="en-US"/>
    </w:rPr>
  </w:style>
  <w:style w:type="character" w:customStyle="1" w:styleId="TitleChar">
    <w:name w:val="Title Char"/>
    <w:basedOn w:val="DefaultParagraphFont"/>
    <w:link w:val="Title"/>
    <w:rsid w:val="00CB37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377D"/>
    <w:pPr>
      <w:tabs>
        <w:tab w:val="left" w:pos="3600"/>
        <w:tab w:val="left" w:pos="3958"/>
      </w:tabs>
    </w:pPr>
  </w:style>
  <w:style w:type="paragraph" w:customStyle="1" w:styleId="Note">
    <w:name w:val="Note"/>
    <w:basedOn w:val="BodyText"/>
    <w:rsid w:val="00CB37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377D"/>
    <w:pPr>
      <w:framePr w:wrap="auto" w:hAnchor="text" w:y="6049"/>
    </w:pPr>
    <w:rPr>
      <w:color w:val="000000"/>
      <w:sz w:val="40"/>
    </w:rPr>
  </w:style>
  <w:style w:type="paragraph" w:customStyle="1" w:styleId="TOCTitle">
    <w:name w:val="TOCTitle"/>
    <w:basedOn w:val="Heading1"/>
    <w:rsid w:val="00CB377D"/>
    <w:pPr>
      <w:spacing w:after="240"/>
      <w:jc w:val="center"/>
      <w:outlineLvl w:val="9"/>
    </w:pPr>
    <w:rPr>
      <w:caps/>
    </w:rPr>
  </w:style>
  <w:style w:type="paragraph" w:customStyle="1" w:styleId="Version">
    <w:name w:val="Version"/>
    <w:rsid w:val="00CB37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377D"/>
    <w:pPr>
      <w:keepNext w:val="0"/>
      <w:tabs>
        <w:tab w:val="right" w:pos="4176"/>
      </w:tabs>
      <w:ind w:left="198" w:hanging="198"/>
    </w:pPr>
    <w:rPr>
      <w:rFonts w:ascii="Garamond" w:hAnsi="Garamond"/>
    </w:rPr>
  </w:style>
  <w:style w:type="paragraph" w:styleId="IndexHeading">
    <w:name w:val="index heading"/>
    <w:basedOn w:val="Normal"/>
    <w:next w:val="Index1"/>
    <w:semiHidden/>
    <w:rsid w:val="00CB377D"/>
    <w:pPr>
      <w:spacing w:before="120" w:after="120"/>
    </w:pPr>
    <w:rPr>
      <w:rFonts w:ascii="Arial" w:hAnsi="Arial"/>
      <w:b/>
      <w:color w:val="918585"/>
      <w:sz w:val="24"/>
    </w:rPr>
  </w:style>
  <w:style w:type="paragraph" w:styleId="Header">
    <w:name w:val="header"/>
    <w:basedOn w:val="Normal"/>
    <w:link w:val="HeaderChar"/>
    <w:rsid w:val="00CB37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377D"/>
    <w:rPr>
      <w:rFonts w:ascii="Times New Roman" w:eastAsia="Times New Roman" w:hAnsi="Times New Roman" w:cs="Times New Roman"/>
      <w:sz w:val="16"/>
      <w:szCs w:val="20"/>
      <w:lang w:val="en-GB" w:eastAsia="en-US"/>
    </w:rPr>
  </w:style>
  <w:style w:type="paragraph" w:customStyle="1" w:styleId="Chapter">
    <w:name w:val="Chapter"/>
    <w:basedOn w:val="Normal"/>
    <w:rsid w:val="00CB377D"/>
    <w:pPr>
      <w:spacing w:before="240"/>
    </w:pPr>
    <w:rPr>
      <w:rFonts w:ascii="Times New Roman" w:hAnsi="Times New Roman"/>
      <w:smallCaps/>
      <w:spacing w:val="80"/>
      <w:sz w:val="28"/>
    </w:rPr>
  </w:style>
  <w:style w:type="paragraph" w:customStyle="1" w:styleId="InChapter">
    <w:name w:val="InChapter"/>
    <w:basedOn w:val="Heading3"/>
    <w:rsid w:val="00CB377D"/>
    <w:pPr>
      <w:spacing w:after="240"/>
      <w:outlineLvl w:val="9"/>
    </w:pPr>
    <w:rPr>
      <w:noProof/>
    </w:rPr>
  </w:style>
  <w:style w:type="paragraph" w:styleId="Index2">
    <w:name w:val="index 2"/>
    <w:basedOn w:val="Normal"/>
    <w:next w:val="Normal"/>
    <w:semiHidden/>
    <w:rsid w:val="00CB377D"/>
    <w:pPr>
      <w:tabs>
        <w:tab w:val="right" w:pos="4176"/>
      </w:tabs>
      <w:ind w:left="568" w:hanging="284"/>
    </w:pPr>
    <w:rPr>
      <w:rFonts w:ascii="Garamond" w:hAnsi="Garamond"/>
    </w:rPr>
  </w:style>
  <w:style w:type="paragraph" w:customStyle="1" w:styleId="Byline">
    <w:name w:val="Byline"/>
    <w:rsid w:val="00CB37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377D"/>
    <w:pPr>
      <w:tabs>
        <w:tab w:val="clear" w:pos="3600"/>
        <w:tab w:val="clear" w:pos="3958"/>
      </w:tabs>
      <w:jc w:val="right"/>
    </w:pPr>
  </w:style>
  <w:style w:type="paragraph" w:styleId="Caption">
    <w:name w:val="caption"/>
    <w:basedOn w:val="BodyText"/>
    <w:next w:val="Normal"/>
    <w:qFormat/>
    <w:rsid w:val="00CB377D"/>
    <w:pPr>
      <w:framePr w:w="2268" w:hSpace="181" w:vSpace="181" w:wrap="around" w:vAnchor="text" w:hAnchor="page" w:x="1135" w:y="285" w:anchorLock="1"/>
    </w:pPr>
    <w:rPr>
      <w:i/>
    </w:rPr>
  </w:style>
  <w:style w:type="paragraph" w:customStyle="1" w:styleId="MiniTOCTitle">
    <w:name w:val="MiniTOCTitle"/>
    <w:basedOn w:val="Heading4"/>
    <w:rsid w:val="00CB377D"/>
    <w:pPr>
      <w:spacing w:before="240"/>
      <w:outlineLvl w:val="9"/>
    </w:pPr>
    <w:rPr>
      <w:noProof/>
      <w:sz w:val="24"/>
    </w:rPr>
  </w:style>
  <w:style w:type="paragraph" w:customStyle="1" w:styleId="MiniTOCItem">
    <w:name w:val="MiniTOCItem"/>
    <w:basedOn w:val="ListBullet"/>
    <w:rsid w:val="00CB377D"/>
    <w:pPr>
      <w:numPr>
        <w:numId w:val="0"/>
      </w:numPr>
      <w:tabs>
        <w:tab w:val="right" w:leader="dot" w:pos="6521"/>
      </w:tabs>
      <w:spacing w:before="0" w:after="0"/>
    </w:pPr>
  </w:style>
  <w:style w:type="paragraph" w:customStyle="1" w:styleId="TOFTitle">
    <w:name w:val="TOFTitle"/>
    <w:basedOn w:val="TOCTitle"/>
    <w:rsid w:val="00CB377D"/>
  </w:style>
  <w:style w:type="paragraph" w:styleId="TableofFigures">
    <w:name w:val="table of figures"/>
    <w:basedOn w:val="Normal"/>
    <w:next w:val="Normal"/>
    <w:semiHidden/>
    <w:rsid w:val="00CB377D"/>
    <w:pPr>
      <w:tabs>
        <w:tab w:val="right" w:leader="dot" w:pos="9072"/>
      </w:tabs>
      <w:ind w:left="970" w:hanging="403"/>
    </w:pPr>
    <w:rPr>
      <w:rFonts w:ascii="Times New Roman" w:hAnsi="Times New Roman"/>
      <w:b/>
    </w:rPr>
  </w:style>
  <w:style w:type="paragraph" w:styleId="ListNumber">
    <w:name w:val="List Number"/>
    <w:basedOn w:val="List"/>
    <w:rsid w:val="00CB377D"/>
    <w:pPr>
      <w:numPr>
        <w:numId w:val="11"/>
      </w:numPr>
    </w:pPr>
  </w:style>
  <w:style w:type="character" w:customStyle="1" w:styleId="WingdingSymbols">
    <w:name w:val="Wingding Symbols"/>
    <w:rsid w:val="00CB377D"/>
    <w:rPr>
      <w:rFonts w:ascii="Wingdings" w:hAnsi="Wingdings"/>
    </w:rPr>
  </w:style>
  <w:style w:type="paragraph" w:customStyle="1" w:styleId="TableHeading">
    <w:name w:val="Table Heading"/>
    <w:basedOn w:val="HeadingBase"/>
    <w:rsid w:val="00CB377D"/>
    <w:pPr>
      <w:keepLines/>
      <w:pBdr>
        <w:bottom w:val="single" w:sz="6" w:space="1" w:color="918585"/>
      </w:pBdr>
      <w:spacing w:before="240"/>
    </w:pPr>
  </w:style>
  <w:style w:type="character" w:customStyle="1" w:styleId="HotSpot">
    <w:name w:val="HotSpot"/>
    <w:rsid w:val="00CB377D"/>
    <w:rPr>
      <w:color w:val="0033CC"/>
      <w:u w:val="none"/>
    </w:rPr>
  </w:style>
  <w:style w:type="paragraph" w:customStyle="1" w:styleId="BodyTextRight">
    <w:name w:val="Body Text Right"/>
    <w:basedOn w:val="BodyText"/>
    <w:rsid w:val="00CB377D"/>
    <w:pPr>
      <w:spacing w:before="0" w:after="0"/>
      <w:jc w:val="right"/>
    </w:pPr>
  </w:style>
  <w:style w:type="paragraph" w:styleId="Index3">
    <w:name w:val="index 3"/>
    <w:basedOn w:val="ListNumber2"/>
    <w:next w:val="Normal"/>
    <w:semiHidden/>
    <w:rsid w:val="00CB377D"/>
    <w:pPr>
      <w:numPr>
        <w:numId w:val="0"/>
      </w:numPr>
      <w:tabs>
        <w:tab w:val="right" w:leader="dot" w:pos="4176"/>
      </w:tabs>
    </w:pPr>
  </w:style>
  <w:style w:type="paragraph" w:styleId="ListNumber2">
    <w:name w:val="List Number 2"/>
    <w:basedOn w:val="List2"/>
    <w:rsid w:val="00CB377D"/>
    <w:pPr>
      <w:numPr>
        <w:numId w:val="10"/>
      </w:numPr>
      <w:tabs>
        <w:tab w:val="clear" w:pos="1060"/>
      </w:tabs>
    </w:pPr>
  </w:style>
  <w:style w:type="paragraph" w:customStyle="1" w:styleId="MarginNote">
    <w:name w:val="Margin Note"/>
    <w:basedOn w:val="BodyText"/>
    <w:rsid w:val="00CB37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37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37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377D"/>
    <w:rPr>
      <w:sz w:val="32"/>
    </w:rPr>
  </w:style>
  <w:style w:type="paragraph" w:customStyle="1" w:styleId="HeadingProcedure">
    <w:name w:val="Heading Procedure"/>
    <w:basedOn w:val="HeadingBase"/>
    <w:next w:val="Normal"/>
    <w:rsid w:val="00CB377D"/>
    <w:pPr>
      <w:tabs>
        <w:tab w:val="left" w:pos="0"/>
      </w:tabs>
      <w:spacing w:before="120" w:after="60"/>
    </w:pPr>
    <w:rPr>
      <w:i/>
      <w:color w:val="918585"/>
      <w:sz w:val="22"/>
    </w:rPr>
  </w:style>
  <w:style w:type="paragraph" w:customStyle="1" w:styleId="TableBodyText">
    <w:name w:val="Table Body Text"/>
    <w:basedOn w:val="BodyText"/>
    <w:rsid w:val="00CB377D"/>
    <w:pPr>
      <w:spacing w:before="60" w:after="60"/>
    </w:pPr>
  </w:style>
  <w:style w:type="paragraph" w:styleId="ListContinue">
    <w:name w:val="List Continue"/>
    <w:basedOn w:val="List"/>
    <w:rsid w:val="00CB377D"/>
    <w:pPr>
      <w:ind w:firstLine="0"/>
    </w:pPr>
  </w:style>
  <w:style w:type="paragraph" w:customStyle="1" w:styleId="ListNote">
    <w:name w:val="List Note"/>
    <w:basedOn w:val="List"/>
    <w:rsid w:val="00CB377D"/>
    <w:pPr>
      <w:pBdr>
        <w:top w:val="single" w:sz="6" w:space="2" w:color="918585"/>
        <w:bottom w:val="single" w:sz="6" w:space="2" w:color="918585"/>
      </w:pBdr>
      <w:tabs>
        <w:tab w:val="left" w:pos="1021"/>
      </w:tabs>
      <w:ind w:firstLine="0"/>
    </w:pPr>
  </w:style>
  <w:style w:type="paragraph" w:customStyle="1" w:styleId="Warning">
    <w:name w:val="Warning"/>
    <w:basedOn w:val="BodyText"/>
    <w:rsid w:val="00CB377D"/>
    <w:pPr>
      <w:shd w:val="clear" w:color="auto" w:fill="D9D9D9"/>
      <w:tabs>
        <w:tab w:val="left" w:pos="992"/>
      </w:tabs>
      <w:ind w:left="119" w:right="119"/>
    </w:pPr>
    <w:rPr>
      <w:sz w:val="20"/>
    </w:rPr>
  </w:style>
  <w:style w:type="paragraph" w:customStyle="1" w:styleId="MarginIcons">
    <w:name w:val="Margin Icons"/>
    <w:basedOn w:val="BodyText"/>
    <w:rsid w:val="00CB37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377D"/>
    <w:rPr>
      <w:rFonts w:ascii="Courier New" w:hAnsi="Courier New"/>
    </w:rPr>
  </w:style>
  <w:style w:type="paragraph" w:customStyle="1" w:styleId="NoteBullet">
    <w:name w:val="Note Bullet"/>
    <w:basedOn w:val="Note"/>
    <w:rsid w:val="00CB377D"/>
    <w:pPr>
      <w:tabs>
        <w:tab w:val="clear" w:pos="680"/>
      </w:tabs>
      <w:spacing w:before="60" w:after="60"/>
    </w:pPr>
  </w:style>
  <w:style w:type="paragraph" w:customStyle="1" w:styleId="SubHeading2">
    <w:name w:val="SubHeading2"/>
    <w:basedOn w:val="HeadingBase"/>
    <w:rsid w:val="00CB377D"/>
    <w:pPr>
      <w:spacing w:before="240" w:after="60"/>
    </w:pPr>
    <w:rPr>
      <w:sz w:val="20"/>
    </w:rPr>
  </w:style>
  <w:style w:type="paragraph" w:customStyle="1" w:styleId="SubHeading1">
    <w:name w:val="SubHeading1"/>
    <w:basedOn w:val="HeadingBase"/>
    <w:rsid w:val="00CB377D"/>
    <w:pPr>
      <w:spacing w:before="240" w:after="60"/>
    </w:pPr>
    <w:rPr>
      <w:color w:val="918585"/>
      <w:sz w:val="22"/>
    </w:rPr>
  </w:style>
  <w:style w:type="paragraph" w:customStyle="1" w:styleId="SideHeading">
    <w:name w:val="Side Heading"/>
    <w:basedOn w:val="HeadingBase"/>
    <w:rsid w:val="00CB37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377D"/>
    <w:pPr>
      <w:numPr>
        <w:numId w:val="12"/>
      </w:numPr>
    </w:pPr>
  </w:style>
  <w:style w:type="paragraph" w:styleId="PlainText">
    <w:name w:val="Plain Text"/>
    <w:basedOn w:val="Normal"/>
    <w:link w:val="PlainTextChar"/>
    <w:rsid w:val="00CB377D"/>
    <w:rPr>
      <w:sz w:val="20"/>
    </w:rPr>
  </w:style>
  <w:style w:type="character" w:customStyle="1" w:styleId="PlainTextChar">
    <w:name w:val="Plain Text Char"/>
    <w:basedOn w:val="DefaultParagraphFont"/>
    <w:link w:val="PlainText"/>
    <w:rsid w:val="00CB377D"/>
    <w:rPr>
      <w:rFonts w:ascii="Courier New" w:eastAsia="Times New Roman" w:hAnsi="Courier New" w:cs="Times New Roman"/>
      <w:sz w:val="20"/>
      <w:szCs w:val="20"/>
      <w:lang w:eastAsia="en-US"/>
    </w:rPr>
  </w:style>
  <w:style w:type="character" w:customStyle="1" w:styleId="MenuOption">
    <w:name w:val="Menu Option"/>
    <w:basedOn w:val="DefaultParagraphFont"/>
    <w:rsid w:val="00CB377D"/>
    <w:rPr>
      <w:b/>
      <w:smallCaps/>
    </w:rPr>
  </w:style>
  <w:style w:type="paragraph" w:customStyle="1" w:styleId="TableListNumber">
    <w:name w:val="Table List Number"/>
    <w:basedOn w:val="ListNumber"/>
    <w:rsid w:val="00CB377D"/>
    <w:pPr>
      <w:numPr>
        <w:numId w:val="0"/>
      </w:numPr>
    </w:pPr>
  </w:style>
  <w:style w:type="paragraph" w:styleId="TOC4">
    <w:name w:val="toc 4"/>
    <w:basedOn w:val="TOCBase"/>
    <w:next w:val="Normal"/>
    <w:semiHidden/>
    <w:rsid w:val="00CB377D"/>
    <w:pPr>
      <w:tabs>
        <w:tab w:val="right" w:leader="dot" w:pos="9071"/>
      </w:tabs>
      <w:ind w:left="1701"/>
    </w:pPr>
  </w:style>
  <w:style w:type="paragraph" w:customStyle="1" w:styleId="ListAlpha">
    <w:name w:val="List Alpha"/>
    <w:basedOn w:val="List"/>
    <w:rsid w:val="00CB377D"/>
    <w:pPr>
      <w:numPr>
        <w:numId w:val="9"/>
      </w:numPr>
    </w:pPr>
  </w:style>
  <w:style w:type="paragraph" w:customStyle="1" w:styleId="ListAlpha2">
    <w:name w:val="List Alpha 2"/>
    <w:basedOn w:val="List2"/>
    <w:rsid w:val="00CB377D"/>
    <w:pPr>
      <w:numPr>
        <w:numId w:val="8"/>
      </w:numPr>
    </w:pPr>
  </w:style>
  <w:style w:type="paragraph" w:styleId="List2">
    <w:name w:val="List 2"/>
    <w:basedOn w:val="BodyText"/>
    <w:rsid w:val="00CB377D"/>
    <w:pPr>
      <w:tabs>
        <w:tab w:val="left" w:pos="680"/>
      </w:tabs>
      <w:spacing w:before="60" w:after="60"/>
      <w:ind w:left="680" w:hanging="340"/>
    </w:pPr>
  </w:style>
  <w:style w:type="paragraph" w:styleId="List3">
    <w:name w:val="List 3"/>
    <w:basedOn w:val="BodyText"/>
    <w:rsid w:val="00CB377D"/>
    <w:pPr>
      <w:tabs>
        <w:tab w:val="left" w:pos="1021"/>
      </w:tabs>
      <w:spacing w:before="60" w:after="60"/>
      <w:ind w:left="1020" w:hanging="340"/>
    </w:pPr>
  </w:style>
  <w:style w:type="paragraph" w:styleId="List4">
    <w:name w:val="List 4"/>
    <w:basedOn w:val="BodyText"/>
    <w:rsid w:val="00CB377D"/>
    <w:pPr>
      <w:tabs>
        <w:tab w:val="left" w:pos="1361"/>
      </w:tabs>
      <w:spacing w:before="60" w:after="60"/>
      <w:ind w:left="1361" w:hanging="340"/>
    </w:pPr>
  </w:style>
  <w:style w:type="paragraph" w:styleId="List5">
    <w:name w:val="List 5"/>
    <w:basedOn w:val="BodyText"/>
    <w:rsid w:val="00CB377D"/>
    <w:pPr>
      <w:tabs>
        <w:tab w:val="left" w:pos="1701"/>
      </w:tabs>
      <w:spacing w:before="60" w:after="60"/>
      <w:ind w:left="1701" w:hanging="340"/>
    </w:pPr>
  </w:style>
  <w:style w:type="paragraph" w:styleId="ListBullet3">
    <w:name w:val="List Bullet 3"/>
    <w:basedOn w:val="List3"/>
    <w:rsid w:val="00CB377D"/>
    <w:pPr>
      <w:numPr>
        <w:numId w:val="15"/>
      </w:numPr>
      <w:tabs>
        <w:tab w:val="clear" w:pos="1021"/>
      </w:tabs>
      <w:ind w:left="1037" w:hanging="357"/>
    </w:pPr>
  </w:style>
  <w:style w:type="paragraph" w:styleId="ListBullet4">
    <w:name w:val="List Bullet 4"/>
    <w:basedOn w:val="List4"/>
    <w:rsid w:val="00CB377D"/>
    <w:pPr>
      <w:numPr>
        <w:numId w:val="3"/>
      </w:numPr>
    </w:pPr>
  </w:style>
  <w:style w:type="paragraph" w:styleId="ListBullet5">
    <w:name w:val="List Bullet 5"/>
    <w:basedOn w:val="List5"/>
    <w:rsid w:val="00CB377D"/>
    <w:pPr>
      <w:numPr>
        <w:numId w:val="4"/>
      </w:numPr>
    </w:pPr>
  </w:style>
  <w:style w:type="paragraph" w:styleId="ListContinue2">
    <w:name w:val="List Continue 2"/>
    <w:basedOn w:val="List2"/>
    <w:rsid w:val="00CB377D"/>
    <w:pPr>
      <w:ind w:firstLine="0"/>
    </w:pPr>
  </w:style>
  <w:style w:type="paragraph" w:styleId="ListContinue3">
    <w:name w:val="List Continue 3"/>
    <w:basedOn w:val="List3"/>
    <w:rsid w:val="00CB377D"/>
    <w:pPr>
      <w:ind w:left="1021" w:firstLine="0"/>
    </w:pPr>
  </w:style>
  <w:style w:type="paragraph" w:styleId="ListContinue4">
    <w:name w:val="List Continue 4"/>
    <w:basedOn w:val="List4"/>
    <w:rsid w:val="00CB377D"/>
    <w:pPr>
      <w:ind w:firstLine="0"/>
    </w:pPr>
  </w:style>
  <w:style w:type="paragraph" w:styleId="ListContinue5">
    <w:name w:val="List Continue 5"/>
    <w:basedOn w:val="List5"/>
    <w:rsid w:val="00CB377D"/>
    <w:pPr>
      <w:ind w:firstLine="0"/>
    </w:pPr>
  </w:style>
  <w:style w:type="paragraph" w:styleId="ListNumber3">
    <w:name w:val="List Number 3"/>
    <w:basedOn w:val="List3"/>
    <w:rsid w:val="00CB377D"/>
    <w:pPr>
      <w:numPr>
        <w:numId w:val="5"/>
      </w:numPr>
    </w:pPr>
  </w:style>
  <w:style w:type="paragraph" w:styleId="ListNumber4">
    <w:name w:val="List Number 4"/>
    <w:basedOn w:val="List4"/>
    <w:rsid w:val="00CB377D"/>
    <w:pPr>
      <w:numPr>
        <w:numId w:val="6"/>
      </w:numPr>
    </w:pPr>
  </w:style>
  <w:style w:type="paragraph" w:styleId="ListNumber5">
    <w:name w:val="List Number 5"/>
    <w:basedOn w:val="List5"/>
    <w:rsid w:val="00CB377D"/>
    <w:pPr>
      <w:numPr>
        <w:numId w:val="7"/>
      </w:numPr>
    </w:pPr>
  </w:style>
  <w:style w:type="paragraph" w:styleId="BlockText">
    <w:name w:val="Block Text"/>
    <w:basedOn w:val="Normal"/>
    <w:rsid w:val="00CB377D"/>
    <w:pPr>
      <w:spacing w:after="120"/>
      <w:ind w:left="1440" w:right="1440"/>
    </w:pPr>
  </w:style>
  <w:style w:type="character" w:customStyle="1" w:styleId="Subscript">
    <w:name w:val="Subscript"/>
    <w:basedOn w:val="DefaultParagraphFont"/>
    <w:rsid w:val="00CB377D"/>
    <w:rPr>
      <w:sz w:val="16"/>
      <w:vertAlign w:val="subscript"/>
    </w:rPr>
  </w:style>
  <w:style w:type="character" w:customStyle="1" w:styleId="Superscript">
    <w:name w:val="Superscript"/>
    <w:basedOn w:val="DefaultParagraphFont"/>
    <w:rsid w:val="00CB377D"/>
    <w:rPr>
      <w:sz w:val="16"/>
      <w:vertAlign w:val="superscript"/>
    </w:rPr>
  </w:style>
  <w:style w:type="character" w:customStyle="1" w:styleId="Symbols">
    <w:name w:val="Symbols"/>
    <w:basedOn w:val="DefaultParagraphFont"/>
    <w:rsid w:val="00CB377D"/>
    <w:rPr>
      <w:rFonts w:ascii="Symbol" w:hAnsi="Symbol"/>
    </w:rPr>
  </w:style>
  <w:style w:type="character" w:customStyle="1" w:styleId="MenuOptions">
    <w:name w:val="Menu Options"/>
    <w:basedOn w:val="DefaultParagraphFont"/>
    <w:rsid w:val="00CB377D"/>
    <w:rPr>
      <w:rFonts w:ascii="Arial Narrow" w:hAnsi="Arial Narrow"/>
      <w:smallCaps/>
    </w:rPr>
  </w:style>
  <w:style w:type="character" w:customStyle="1" w:styleId="Buttons">
    <w:name w:val="Buttons"/>
    <w:basedOn w:val="DefaultParagraphFont"/>
    <w:rsid w:val="00CB377D"/>
    <w:rPr>
      <w:b/>
    </w:rPr>
  </w:style>
  <w:style w:type="character" w:customStyle="1" w:styleId="Underlined">
    <w:name w:val="Underlined"/>
    <w:basedOn w:val="DefaultParagraphFont"/>
    <w:rsid w:val="00CB377D"/>
    <w:rPr>
      <w:u w:val="single"/>
    </w:rPr>
  </w:style>
  <w:style w:type="paragraph" w:customStyle="1" w:styleId="TableBodyTextRight">
    <w:name w:val="Table Body Text Right"/>
    <w:basedOn w:val="TableBodyText"/>
    <w:rsid w:val="00CB377D"/>
    <w:pPr>
      <w:widowControl w:val="0"/>
      <w:autoSpaceDE w:val="0"/>
      <w:autoSpaceDN w:val="0"/>
      <w:adjustRightInd w:val="0"/>
      <w:jc w:val="right"/>
    </w:pPr>
    <w:rPr>
      <w:rFonts w:cs="Arial"/>
      <w:szCs w:val="18"/>
    </w:rPr>
  </w:style>
  <w:style w:type="paragraph" w:customStyle="1" w:styleId="CopyrightText">
    <w:name w:val="Copyright Text"/>
    <w:basedOn w:val="BodyText"/>
    <w:rsid w:val="00CB377D"/>
    <w:rPr>
      <w:sz w:val="18"/>
    </w:rPr>
  </w:style>
  <w:style w:type="paragraph" w:customStyle="1" w:styleId="BodySmallRight">
    <w:name w:val="Body Small Right"/>
    <w:basedOn w:val="BodyTextRight"/>
    <w:rsid w:val="00CB377D"/>
    <w:rPr>
      <w:sz w:val="18"/>
      <w:szCs w:val="18"/>
    </w:rPr>
  </w:style>
  <w:style w:type="paragraph" w:customStyle="1" w:styleId="MarginEdition">
    <w:name w:val="Margin Edition"/>
    <w:basedOn w:val="MarginNote"/>
    <w:rsid w:val="00CB377D"/>
    <w:pPr>
      <w:spacing w:before="0" w:after="0"/>
    </w:pPr>
    <w:rPr>
      <w:rFonts w:ascii="Times New Roman" w:hAnsi="Times New Roman"/>
      <w:color w:val="999999"/>
    </w:rPr>
  </w:style>
  <w:style w:type="paragraph" w:customStyle="1" w:styleId="Spacer">
    <w:name w:val="Spacer"/>
    <w:basedOn w:val="Normal"/>
    <w:rsid w:val="00CB377D"/>
    <w:rPr>
      <w:sz w:val="2"/>
      <w:szCs w:val="2"/>
    </w:rPr>
  </w:style>
  <w:style w:type="character" w:customStyle="1" w:styleId="Small">
    <w:name w:val="Small"/>
    <w:basedOn w:val="DefaultParagraphFont"/>
    <w:rsid w:val="00CB377D"/>
    <w:rPr>
      <w:sz w:val="16"/>
    </w:rPr>
  </w:style>
  <w:style w:type="paragraph" w:customStyle="1" w:styleId="WideTable">
    <w:name w:val="Wide Table"/>
    <w:basedOn w:val="Normal"/>
    <w:rsid w:val="00CB377D"/>
    <w:pPr>
      <w:ind w:left="-1418"/>
    </w:pPr>
    <w:rPr>
      <w:sz w:val="2"/>
      <w:szCs w:val="2"/>
    </w:rPr>
  </w:style>
  <w:style w:type="character" w:styleId="PageNumber">
    <w:name w:val="page number"/>
    <w:basedOn w:val="DefaultParagraphFont"/>
    <w:rsid w:val="00CB377D"/>
  </w:style>
  <w:style w:type="paragraph" w:styleId="Quote">
    <w:name w:val="Quote"/>
    <w:basedOn w:val="Heading1"/>
    <w:link w:val="QuoteChar"/>
    <w:qFormat/>
    <w:rsid w:val="00CB377D"/>
    <w:rPr>
      <w:b w:val="0"/>
      <w:sz w:val="72"/>
      <w:szCs w:val="72"/>
      <w:lang w:val="en-NZ"/>
    </w:rPr>
  </w:style>
  <w:style w:type="character" w:customStyle="1" w:styleId="QuoteChar">
    <w:name w:val="Quote Char"/>
    <w:basedOn w:val="DefaultParagraphFont"/>
    <w:link w:val="Quote"/>
    <w:rsid w:val="00CB37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377D"/>
    <w:pPr>
      <w:pageBreakBefore/>
    </w:pPr>
  </w:style>
  <w:style w:type="paragraph" w:customStyle="1" w:styleId="Border">
    <w:name w:val="Border"/>
    <w:basedOn w:val="Normal"/>
    <w:qFormat/>
    <w:rsid w:val="00CB37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377D"/>
    <w:rPr>
      <w:b/>
      <w:bCs/>
      <w:i/>
      <w:iCs/>
      <w:color w:val="auto"/>
    </w:rPr>
  </w:style>
  <w:style w:type="paragraph" w:styleId="IntenseQuote">
    <w:name w:val="Intense Quote"/>
    <w:basedOn w:val="Normal"/>
    <w:next w:val="Normal"/>
    <w:link w:val="IntenseQuoteChar"/>
    <w:uiPriority w:val="30"/>
    <w:qFormat/>
    <w:rsid w:val="00CB37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37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377D"/>
    <w:rPr>
      <w:smallCaps/>
      <w:color w:val="auto"/>
      <w:u w:val="single"/>
    </w:rPr>
  </w:style>
  <w:style w:type="character" w:styleId="IntenseReference">
    <w:name w:val="Intense Reference"/>
    <w:basedOn w:val="DefaultParagraphFont"/>
    <w:uiPriority w:val="32"/>
    <w:qFormat/>
    <w:rsid w:val="00CB377D"/>
    <w:rPr>
      <w:b/>
      <w:bCs/>
      <w:smallCaps/>
      <w:color w:val="auto"/>
      <w:spacing w:val="5"/>
      <w:u w:val="single"/>
    </w:rPr>
  </w:style>
  <w:style w:type="paragraph" w:customStyle="1" w:styleId="2ColumnHeading">
    <w:name w:val="2Column Heading"/>
    <w:basedOn w:val="BodyText"/>
    <w:qFormat/>
    <w:rsid w:val="00CB377D"/>
    <w:pPr>
      <w:spacing w:after="60"/>
      <w:ind w:left="-2268"/>
    </w:pPr>
    <w:rPr>
      <w:b/>
    </w:rPr>
  </w:style>
  <w:style w:type="paragraph" w:customStyle="1" w:styleId="Heading1TOC">
    <w:name w:val="Heading1 TOC"/>
    <w:basedOn w:val="Normal"/>
    <w:qFormat/>
    <w:rsid w:val="00CB377D"/>
    <w:pPr>
      <w:spacing w:before="240" w:after="120"/>
    </w:pPr>
    <w:rPr>
      <w:rFonts w:ascii="Times New Roman" w:hAnsi="Times New Roman"/>
      <w:b/>
      <w:sz w:val="32"/>
    </w:rPr>
  </w:style>
  <w:style w:type="paragraph" w:customStyle="1" w:styleId="Heading2TOC">
    <w:name w:val="Heading2 TOC"/>
    <w:basedOn w:val="Normal"/>
    <w:qFormat/>
    <w:rsid w:val="00CB377D"/>
    <w:pPr>
      <w:spacing w:before="240" w:after="60"/>
    </w:pPr>
    <w:rPr>
      <w:rFonts w:ascii="Times New Roman" w:hAnsi="Times New Roman"/>
      <w:b/>
      <w:sz w:val="28"/>
    </w:rPr>
  </w:style>
  <w:style w:type="character" w:customStyle="1" w:styleId="Underline">
    <w:name w:val="Underline"/>
    <w:basedOn w:val="DefaultParagraphFont"/>
    <w:qFormat/>
    <w:rsid w:val="00CB377D"/>
    <w:rPr>
      <w:u w:val="single"/>
    </w:rPr>
  </w:style>
  <w:style w:type="paragraph" w:styleId="BalloonText">
    <w:name w:val="Balloon Text"/>
    <w:basedOn w:val="Normal"/>
    <w:link w:val="BalloonTextChar"/>
    <w:rsid w:val="00CB377D"/>
    <w:rPr>
      <w:rFonts w:ascii="Tahoma" w:hAnsi="Tahoma" w:cs="Tahoma"/>
      <w:sz w:val="16"/>
      <w:szCs w:val="16"/>
    </w:rPr>
  </w:style>
  <w:style w:type="character" w:customStyle="1" w:styleId="BalloonTextChar">
    <w:name w:val="Balloon Text Char"/>
    <w:basedOn w:val="DefaultParagraphFont"/>
    <w:link w:val="BalloonText"/>
    <w:rsid w:val="00CB37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37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37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377D"/>
    <w:rPr>
      <w:b/>
      <w:color w:val="660033"/>
      <w:spacing w:val="0"/>
    </w:rPr>
  </w:style>
  <w:style w:type="paragraph" w:customStyle="1" w:styleId="Nameditemlist">
    <w:name w:val="Named item list"/>
    <w:basedOn w:val="BodyText"/>
    <w:qFormat/>
    <w:rsid w:val="00CB377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2119</Words>
  <Characters>12906</Characters>
  <Application>Microsoft Office Word</Application>
  <DocSecurity>0</DocSecurity>
  <Lines>446</Lines>
  <Paragraphs>184</Paragraphs>
  <ScaleCrop>false</ScaleCrop>
  <Company>Author-it Software Corporation Ltd.</Company>
  <LinksUpToDate>false</LinksUpToDate>
  <CharactersWithSpaces>14928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HLTAHW412B Provide information and strategies to promote nutrition for good health</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2012-10-05T09:02:00Z</dcterms:created>
  <dcterms:modified xsi:type="dcterms:W3CDTF">2012-10-05T09:02:00Z</dcterms:modified>
</cp:coreProperties>
</file>