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A1A" w:rsidP="00DB1A1A">
      <w:pPr>
        <w:pStyle w:val="Title"/>
      </w:pPr>
      <w:r>
        <w:fldChar w:fldCharType="begin"/>
      </w:r>
      <w:r>
        <w:instrText xml:space="preserve"> TITLE   \* MERGEFORMAT </w:instrText>
      </w:r>
      <w:r>
        <w:fldChar w:fldCharType="separate"/>
      </w:r>
      <w:r>
        <w:t>HLT50507 Diploma of Dental Technology</w:t>
      </w:r>
      <w:r>
        <w:fldChar w:fldCharType="end"/>
      </w:r>
    </w:p>
    <w:p w:rsidR="00DB1A1A" w:rsidP="00DB1A1A">
      <w:pPr>
        <w:pStyle w:val="Version"/>
        <w:sectPr w:rsidSect="00B06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EDF" w:rsidP="00B06EDF">
      <w:pPr>
        <w:pStyle w:val="SuperHeading"/>
      </w:pPr>
      <w:r w:rsidRPr="00B06EDF">
        <w:t>HLT50507 Diploma of Dental Technology</w:t>
      </w:r>
    </w:p>
    <w:p w:rsidR="00000000" w:rsidRPr="00B06EDF" w:rsidP="00B06EDF">
      <w:pPr>
        <w:pStyle w:val="Heading1"/>
      </w:pPr>
      <w:bookmarkStart w:id="1" w:name="O_299167"/>
      <w:bookmarkEnd w:id="1"/>
      <w:r w:rsidRPr="00B06EDF">
        <w:t>Modification History</w:t>
      </w:r>
    </w:p>
    <w:p w:rsidR="00000000" w:rsidRPr="00B06EDF" w:rsidP="00B06EDF">
      <w:pPr>
        <w:pStyle w:val="BodyText"/>
      </w:pPr>
      <w:r w:rsidRPr="00B06EDF">
        <w:t>Not Applicable</w:t>
      </w:r>
    </w:p>
    <w:p w:rsidR="00000000" w:rsidRPr="00B06EDF" w:rsidP="00B06EDF">
      <w:pPr>
        <w:pStyle w:val="AllowPageBreak"/>
      </w:pPr>
    </w:p>
    <w:p w:rsidR="00000000" w:rsidRPr="00B06EDF" w:rsidP="00B06EDF">
      <w:pPr>
        <w:pStyle w:val="Heading1"/>
      </w:pPr>
      <w:bookmarkStart w:id="2" w:name="O_266204"/>
      <w:bookmarkEnd w:id="2"/>
      <w:r w:rsidRPr="00B06EDF">
        <w:t>Description</w:t>
      </w:r>
    </w:p>
    <w:p w:rsidR="00000000" w:rsidRPr="00B06EDF" w:rsidP="00B06EDF">
      <w:pPr>
        <w:pStyle w:val="BodyText"/>
      </w:pPr>
      <w:r w:rsidRPr="00B06EDF">
        <w:t xml:space="preserve">This qualification provides the knowledge and skills needed to work as a registered Dental Technician. It covers the construction of </w:t>
      </w:r>
      <w:r w:rsidRPr="00B06EDF">
        <w:t xml:space="preserve">dentures, bridges, crowns and other dental appliances and the repair and modification of these appliances. </w:t>
      </w:r>
    </w:p>
    <w:p w:rsidR="00000000" w:rsidRPr="00B06EDF" w:rsidP="00B06EDF">
      <w:pPr>
        <w:pStyle w:val="BodyText"/>
      </w:pPr>
    </w:p>
    <w:p w:rsidR="00000000" w:rsidRPr="00B06EDF" w:rsidP="00B06EDF">
      <w:pPr>
        <w:pStyle w:val="BodyText"/>
      </w:pPr>
      <w:r w:rsidRPr="00B06EDF">
        <w:t>Depending on particular state/territory legislation and regulations the qualification may need to be combined with the specified periods of clinica</w:t>
      </w:r>
      <w:r w:rsidRPr="00B06EDF">
        <w:t xml:space="preserve">l practice before the graduate can work as a Dental Technician. </w:t>
      </w:r>
    </w:p>
    <w:p w:rsidR="00000000" w:rsidRPr="00B06EDF" w:rsidP="00B06EDF">
      <w:pPr>
        <w:pStyle w:val="BodyText"/>
      </w:pPr>
    </w:p>
    <w:p w:rsidR="00000000" w:rsidRPr="00B06EDF" w:rsidP="00B06EDF">
      <w:pPr>
        <w:pStyle w:val="BodyText"/>
      </w:pPr>
      <w:r w:rsidRPr="00B06EDF">
        <w:t>This qualification is suited to Australian Apprenticeships pathways.</w:t>
      </w:r>
    </w:p>
    <w:p w:rsidR="00000000" w:rsidRPr="00B06EDF" w:rsidP="00B06EDF">
      <w:pPr>
        <w:pStyle w:val="BodyText"/>
      </w:pPr>
    </w:p>
    <w:p w:rsidR="00000000" w:rsidRPr="00B06EDF" w:rsidP="00B06EDF">
      <w:pPr>
        <w:pStyle w:val="BodyText"/>
      </w:pPr>
      <w:r w:rsidRPr="00B06EDF">
        <w:t>Occupational title for this worker is:</w:t>
      </w:r>
    </w:p>
    <w:tbl>
      <w:tblPr>
        <w:tblW w:w="0" w:type="auto"/>
        <w:tblLayout w:type="fixed"/>
        <w:tblCellMar>
          <w:left w:w="62" w:type="dxa"/>
          <w:right w:w="62" w:type="dxa"/>
        </w:tblCellMar>
        <w:tblLook w:val="0000"/>
      </w:tblPr>
      <w:tblGrid>
        <w:gridCol w:w="4197"/>
      </w:tblGrid>
      <w:tr w:rsidTr="00DB1A1A">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B06EDF" w:rsidP="00B06EDF">
            <w:pPr>
              <w:pStyle w:val="ListBullet"/>
            </w:pPr>
            <w:r w:rsidRPr="00B06EDF">
              <w:t>Dental technician</w:t>
            </w:r>
          </w:p>
        </w:tc>
      </w:tr>
    </w:tbl>
    <w:p w:rsidR="00DB1A1A" w:rsidP="00B06EDF">
      <w:pPr>
        <w:pStyle w:val="BodyText"/>
      </w:pPr>
    </w:p>
    <w:p w:rsidR="00DB1A1A" w:rsidP="00B06EDF">
      <w:pPr>
        <w:pStyle w:val="BodyText"/>
      </w:pPr>
    </w:p>
    <w:p w:rsidR="00000000" w:rsidRPr="00B06EDF" w:rsidP="00B06EDF">
      <w:pPr>
        <w:pStyle w:val="Heading1"/>
      </w:pPr>
      <w:bookmarkStart w:id="3" w:name="O_299162"/>
      <w:bookmarkEnd w:id="3"/>
      <w:r w:rsidRPr="00B06EDF">
        <w:t>Pathways Information</w:t>
      </w:r>
    </w:p>
    <w:p w:rsidR="00000000" w:rsidRPr="00B06EDF" w:rsidP="00B06EDF">
      <w:pPr>
        <w:pStyle w:val="BodyText"/>
      </w:pPr>
      <w:r w:rsidRPr="00B06EDF">
        <w:t>Not Applicable</w:t>
      </w:r>
    </w:p>
    <w:p w:rsidR="00000000" w:rsidRPr="00B06EDF" w:rsidP="00B06EDF">
      <w:pPr>
        <w:pStyle w:val="AllowPageBreak"/>
      </w:pPr>
    </w:p>
    <w:p w:rsidR="00000000" w:rsidRPr="00B06EDF" w:rsidP="00B06EDF">
      <w:pPr>
        <w:pStyle w:val="Heading1"/>
      </w:pPr>
      <w:bookmarkStart w:id="4" w:name="O_299165"/>
      <w:bookmarkEnd w:id="4"/>
      <w:r w:rsidRPr="00B06EDF">
        <w:t>Licensing/Regulatory Information</w:t>
      </w:r>
    </w:p>
    <w:p w:rsidR="00000000" w:rsidRPr="00B06EDF" w:rsidP="00B06EDF">
      <w:pPr>
        <w:pStyle w:val="BodyText"/>
      </w:pPr>
      <w:r w:rsidRPr="00B06EDF">
        <w:t>Not Applicable</w:t>
      </w:r>
    </w:p>
    <w:p w:rsidR="00000000" w:rsidRPr="00B06EDF" w:rsidP="00B06EDF">
      <w:pPr>
        <w:pStyle w:val="AllowPageBreak"/>
      </w:pPr>
    </w:p>
    <w:p w:rsidR="00000000" w:rsidRPr="00B06EDF" w:rsidP="00B06EDF">
      <w:pPr>
        <w:pStyle w:val="Heading1"/>
      </w:pPr>
      <w:bookmarkStart w:id="5" w:name="O_299164"/>
      <w:bookmarkEnd w:id="5"/>
      <w:r w:rsidRPr="00B06EDF">
        <w:t>Entry Requirements</w:t>
      </w:r>
    </w:p>
    <w:p w:rsidR="00000000" w:rsidRPr="00B06EDF" w:rsidP="00B06EDF">
      <w:pPr>
        <w:pStyle w:val="BodyText"/>
      </w:pPr>
      <w:r w:rsidRPr="00B06EDF">
        <w:t>Not Applicable</w:t>
      </w:r>
    </w:p>
    <w:p w:rsidR="00000000" w:rsidRPr="00B06EDF" w:rsidP="00B06EDF">
      <w:pPr>
        <w:pStyle w:val="AllowPageBreak"/>
      </w:pPr>
    </w:p>
    <w:p w:rsidR="00000000" w:rsidRPr="00B06EDF" w:rsidP="00B06EDF">
      <w:pPr>
        <w:pStyle w:val="Heading1"/>
      </w:pPr>
      <w:bookmarkStart w:id="6" w:name="O_299163"/>
      <w:bookmarkEnd w:id="6"/>
      <w:r w:rsidRPr="00B06EDF">
        <w:t>Employability Skills Summary</w:t>
      </w:r>
    </w:p>
    <w:p w:rsidR="00000000" w:rsidRPr="00B06EDF" w:rsidP="00B06EDF">
      <w:pPr>
        <w:pStyle w:val="Heading4"/>
      </w:pPr>
      <w:r w:rsidRPr="00B06EDF">
        <w:t>Refer to the Topic: Introduction to the Employability Skills Qualification Summaries</w:t>
      </w:r>
    </w:p>
    <w:p w:rsidR="00000000" w:rsidRPr="00B06EDF" w:rsidP="00B06EDF">
      <w:pPr>
        <w:pStyle w:val="Heading1"/>
      </w:pPr>
      <w:bookmarkStart w:id="7" w:name="O_265610"/>
      <w:bookmarkEnd w:id="7"/>
      <w:r w:rsidRPr="00B06EDF">
        <w:t>Packaging Rules</w:t>
      </w:r>
    </w:p>
    <w:tbl>
      <w:tblPr>
        <w:tblW w:w="0" w:type="auto"/>
        <w:tblLayout w:type="fixed"/>
        <w:tblCellMar>
          <w:left w:w="62" w:type="dxa"/>
          <w:right w:w="62" w:type="dxa"/>
        </w:tblCellMar>
        <w:tblLook w:val="0000"/>
      </w:tblPr>
      <w:tblGrid>
        <w:gridCol w:w="8720"/>
      </w:tblGrid>
      <w:tr w:rsidTr="00DB1A1A">
        <w:tblPrEx>
          <w:tblW w:w="0" w:type="auto"/>
          <w:tblLayout w:type="fixed"/>
          <w:tblCellMar>
            <w:left w:w="62" w:type="dxa"/>
            <w:right w:w="62" w:type="dxa"/>
          </w:tblCellMar>
          <w:tblLook w:val="0000"/>
        </w:tblPrEx>
        <w:tc>
          <w:tcPr>
            <w:tcW w:w="8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EDF" w:rsidP="00B06EDF">
            <w:pPr>
              <w:pStyle w:val="BodyText"/>
            </w:pPr>
            <w:r w:rsidRPr="00B06EDF">
              <w:rPr>
                <w:rStyle w:val="SpecialBold"/>
              </w:rPr>
              <w:t>PACKAGING RULES</w:t>
            </w:r>
          </w:p>
          <w:p w:rsidR="00000000" w:rsidRPr="00B06EDF" w:rsidP="00B06EDF">
            <w:pPr>
              <w:pStyle w:val="BodyText"/>
            </w:pPr>
            <w:r w:rsidRPr="00B06EDF">
              <w:t>27 units of competency are required for award of this qualification including:</w:t>
            </w:r>
          </w:p>
          <w:p w:rsidR="00000000" w:rsidRPr="00B06EDF" w:rsidP="00B06EDF">
            <w:pPr>
              <w:pStyle w:val="ListBullet"/>
            </w:pPr>
            <w:r w:rsidRPr="00B06EDF">
              <w:t>22 core units</w:t>
            </w:r>
          </w:p>
          <w:p w:rsidR="00000000" w:rsidRPr="00B06EDF" w:rsidP="00B06EDF">
            <w:pPr>
              <w:pStyle w:val="ListBullet"/>
            </w:pPr>
            <w:r w:rsidRPr="00B06EDF">
              <w:t>5 elective units</w:t>
            </w:r>
          </w:p>
          <w:p w:rsidR="00000000" w:rsidRPr="00B06EDF" w:rsidP="00B06EDF">
            <w:pPr>
              <w:pStyle w:val="BodyText"/>
            </w:pPr>
            <w:r w:rsidRPr="00B06EDF">
              <w:t>A wide range of elective units is available, including:</w:t>
            </w:r>
          </w:p>
          <w:p w:rsidR="00000000" w:rsidRPr="00B06EDF" w:rsidP="00B06EDF">
            <w:pPr>
              <w:pStyle w:val="ListBullet2"/>
            </w:pPr>
            <w:r w:rsidRPr="00B06EDF">
              <w:t>Group A electives which are recommended for cult</w:t>
            </w:r>
            <w:r w:rsidRPr="00B06EDF">
              <w:t>urally aware and respectful practice</w:t>
            </w:r>
          </w:p>
          <w:p w:rsidR="00000000" w:rsidRPr="00B06EDF" w:rsidP="00B06EDF">
            <w:pPr>
              <w:pStyle w:val="ListBullet2"/>
            </w:pPr>
            <w:r w:rsidRPr="00B06EDF">
              <w:t>Other relevant electives listed below</w:t>
            </w:r>
          </w:p>
          <w:p w:rsidR="00000000" w:rsidRPr="00B06EDF" w:rsidP="00B06EDF">
            <w:pPr>
              <w:pStyle w:val="ListBullet2"/>
            </w:pPr>
            <w:r w:rsidRPr="00B06EDF">
              <w:t>Units of competency to address workplace requirements and packaged at the level of this qualification or higher in Health and/or Community Services Training Packages</w:t>
            </w:r>
          </w:p>
          <w:p w:rsidR="00000000" w:rsidRPr="00B06EDF" w:rsidP="00B06EDF">
            <w:pPr>
              <w:pStyle w:val="ListBullet2"/>
            </w:pPr>
            <w:r w:rsidRPr="00B06EDF">
              <w:t xml:space="preserve">Where appropriate, to address workplace requirements, up to 2 units of competency packaged at the level of this qualification or higher in other relevant Training Packages </w:t>
            </w:r>
          </w:p>
        </w:tc>
      </w:tr>
    </w:tbl>
    <w:p w:rsidR="00000000" w:rsidRPr="00B06EDF" w:rsidP="00B06EDF">
      <w:pPr>
        <w:pStyle w:val="BodyText"/>
      </w:pPr>
      <w:r w:rsidRPr="00B06EDF">
        <w:rPr>
          <w:rStyle w:val="SpecialBold"/>
        </w:rPr>
        <w:t>Core units</w:t>
      </w:r>
    </w:p>
    <w:p w:rsidR="00000000" w:rsidRPr="00B06EDF" w:rsidP="00B06EDF">
      <w:pPr>
        <w:pStyle w:val="BodyText"/>
      </w:pPr>
      <w:r w:rsidRPr="00B06EDF">
        <w:rPr>
          <w:rStyle w:val="Underline"/>
        </w:rPr>
        <w:t>BSBINM301A</w:t>
      </w:r>
      <w:r w:rsidRPr="00B06EDF">
        <w:tab/>
      </w:r>
      <w:r w:rsidRPr="00B06EDF">
        <w:rPr>
          <w:rStyle w:val="Underline"/>
        </w:rPr>
        <w:t>Organise workplace information</w:t>
      </w:r>
    </w:p>
    <w:p w:rsidR="00000000" w:rsidRPr="00B06EDF" w:rsidP="00B06EDF">
      <w:pPr>
        <w:pStyle w:val="BodyText"/>
      </w:pPr>
      <w:r w:rsidRPr="00B06EDF">
        <w:rPr>
          <w:rStyle w:val="Underline"/>
        </w:rPr>
        <w:t>BSBWOR301A</w:t>
      </w:r>
      <w:r w:rsidRPr="00B06EDF">
        <w:tab/>
      </w:r>
      <w:r w:rsidRPr="00B06EDF">
        <w:rPr>
          <w:rStyle w:val="Underline"/>
        </w:rPr>
        <w:t xml:space="preserve">Organise personal </w:t>
      </w:r>
      <w:r w:rsidRPr="00B06EDF">
        <w:rPr>
          <w:rStyle w:val="Underline"/>
        </w:rPr>
        <w:t>work priorities and development</w:t>
      </w:r>
    </w:p>
    <w:p w:rsidR="00000000" w:rsidRPr="00B06EDF" w:rsidP="00B06EDF">
      <w:pPr>
        <w:pStyle w:val="BodyText"/>
      </w:pPr>
      <w:r w:rsidRPr="00B06EDF">
        <w:rPr>
          <w:rStyle w:val="Underline"/>
        </w:rPr>
        <w:t>HLTDT301C</w:t>
      </w:r>
      <w:r w:rsidRPr="00B06EDF">
        <w:tab/>
      </w:r>
      <w:r w:rsidRPr="00B06EDF">
        <w:rPr>
          <w:rStyle w:val="Underline"/>
        </w:rPr>
        <w:t>Construct models</w:t>
      </w:r>
      <w:r w:rsidRPr="00B06EDF">
        <w:t xml:space="preserve"> (Note pre-requs: HLTIN301C, HLTOHS200B)</w:t>
      </w:r>
    </w:p>
    <w:p w:rsidR="00000000" w:rsidRPr="00B06EDF" w:rsidP="00B06EDF">
      <w:pPr>
        <w:pStyle w:val="BodyText"/>
      </w:pPr>
      <w:r w:rsidRPr="00B06EDF">
        <w:rPr>
          <w:rStyle w:val="Underline"/>
        </w:rPr>
        <w:t>HLTDT302C</w:t>
      </w:r>
      <w:r w:rsidRPr="00B06EDF">
        <w:tab/>
      </w:r>
      <w:r w:rsidRPr="00B06EDF">
        <w:rPr>
          <w:rStyle w:val="Underline"/>
        </w:rPr>
        <w:t>Construct custom impression trays</w:t>
      </w:r>
      <w:r w:rsidRPr="00B06EDF">
        <w:t xml:space="preserve"> (Note pre-requs: HLTIN301C, HLTOHS200B)</w:t>
      </w:r>
    </w:p>
    <w:p w:rsidR="00000000" w:rsidRPr="00B06EDF" w:rsidP="00B06EDF">
      <w:pPr>
        <w:pStyle w:val="BodyText"/>
      </w:pPr>
      <w:r w:rsidRPr="00B06EDF">
        <w:rPr>
          <w:rStyle w:val="Underline"/>
        </w:rPr>
        <w:t>HLTDT303C</w:t>
      </w:r>
      <w:r w:rsidRPr="00B06EDF">
        <w:tab/>
      </w:r>
      <w:r w:rsidRPr="00B06EDF">
        <w:rPr>
          <w:rStyle w:val="Underline"/>
        </w:rPr>
        <w:t>Construct registration rims</w:t>
      </w:r>
      <w:r w:rsidRPr="00B06EDF">
        <w:t xml:space="preserve"> (Note pre-requs: HLTIN301C, HLTOHS2</w:t>
      </w:r>
      <w:r w:rsidRPr="00B06EDF">
        <w:t>00B)</w:t>
      </w:r>
    </w:p>
    <w:p w:rsidR="00000000" w:rsidRPr="00B06EDF" w:rsidP="00B06EDF">
      <w:pPr>
        <w:pStyle w:val="BodyText"/>
      </w:pPr>
      <w:r w:rsidRPr="00B06EDF">
        <w:rPr>
          <w:rStyle w:val="Underline"/>
        </w:rPr>
        <w:t>HLTDT304C</w:t>
      </w:r>
      <w:r w:rsidRPr="00B06EDF">
        <w:tab/>
      </w:r>
      <w:r w:rsidRPr="00B06EDF">
        <w:rPr>
          <w:rStyle w:val="Underline"/>
        </w:rPr>
        <w:t>Articulate models and transfer records</w:t>
      </w:r>
      <w:r w:rsidRPr="00B06EDF">
        <w:t xml:space="preserve"> (Note pre-requs: HLTIN301C, HLTOHS200B)</w:t>
      </w:r>
    </w:p>
    <w:p w:rsidR="00000000" w:rsidRPr="00B06EDF" w:rsidP="00B06EDF">
      <w:pPr>
        <w:pStyle w:val="BodyText"/>
      </w:pPr>
      <w:r w:rsidRPr="00B06EDF">
        <w:rPr>
          <w:rStyle w:val="Underline"/>
        </w:rPr>
        <w:t>HLTDT315C</w:t>
      </w:r>
      <w:r w:rsidRPr="00B06EDF">
        <w:tab/>
      </w:r>
      <w:r w:rsidRPr="00B06EDF">
        <w:rPr>
          <w:rStyle w:val="Underline"/>
        </w:rPr>
        <w:t>Construct thermoformed bases and appliances</w:t>
      </w:r>
      <w:r w:rsidRPr="00B06EDF">
        <w:t xml:space="preserve"> (Note pre-requs: HLTIN301C, HLTOHS200B, HLTDT301C, HLTDT302C, HLTDT304C)</w:t>
      </w:r>
    </w:p>
    <w:p w:rsidR="00000000" w:rsidRPr="00B06EDF" w:rsidP="00B06EDF">
      <w:pPr>
        <w:pStyle w:val="BodyText"/>
      </w:pPr>
      <w:r w:rsidRPr="00B06EDF">
        <w:rPr>
          <w:rStyle w:val="Underline"/>
        </w:rPr>
        <w:t>HLTDT507C</w:t>
      </w:r>
      <w:r w:rsidRPr="00B06EDF">
        <w:tab/>
      </w:r>
      <w:r w:rsidRPr="00B06EDF">
        <w:rPr>
          <w:rStyle w:val="Underline"/>
        </w:rPr>
        <w:t>Construct immediate dentu</w:t>
      </w:r>
      <w:r w:rsidRPr="00B06EDF">
        <w:rPr>
          <w:rStyle w:val="Underline"/>
        </w:rPr>
        <w:t>res</w:t>
      </w:r>
      <w:r w:rsidRPr="00B06EDF">
        <w:t xml:space="preserve"> (Note pre-requs: HLTIN301C, HLTDT301C, HLTDT302C, HLTDT303C, HLTDT304C, HLTDT519B)</w:t>
      </w:r>
    </w:p>
    <w:p w:rsidR="00000000" w:rsidRPr="00B06EDF" w:rsidP="00B06EDF">
      <w:pPr>
        <w:pStyle w:val="BodyText"/>
      </w:pPr>
      <w:r w:rsidRPr="00B06EDF">
        <w:rPr>
          <w:rStyle w:val="Underline"/>
        </w:rPr>
        <w:t>HLTDT508C</w:t>
      </w:r>
      <w:r w:rsidRPr="00B06EDF">
        <w:tab/>
      </w:r>
      <w:r w:rsidRPr="00B06EDF">
        <w:rPr>
          <w:rStyle w:val="Underline"/>
        </w:rPr>
        <w:t>Construct removable acrylic partial dentures</w:t>
      </w:r>
      <w:r w:rsidRPr="00B06EDF">
        <w:t xml:space="preserve"> (Note pre-requs: HLTIN301C, HLTDT301C, HLTDT302C, HLTDT303C, HLTDT304C)</w:t>
      </w:r>
    </w:p>
    <w:p w:rsidR="00000000" w:rsidRPr="00B06EDF" w:rsidP="00B06EDF">
      <w:pPr>
        <w:pStyle w:val="BodyText"/>
      </w:pPr>
      <w:r w:rsidRPr="00B06EDF">
        <w:rPr>
          <w:rStyle w:val="Underline"/>
        </w:rPr>
        <w:t>HLTDT509C</w:t>
      </w:r>
      <w:r w:rsidRPr="00B06EDF">
        <w:tab/>
      </w:r>
      <w:r w:rsidRPr="00B06EDF">
        <w:rPr>
          <w:rStyle w:val="Underline"/>
        </w:rPr>
        <w:t>Construct cast metal alloy remov</w:t>
      </w:r>
      <w:r w:rsidRPr="00B06EDF">
        <w:rPr>
          <w:rStyle w:val="Underline"/>
        </w:rPr>
        <w:t>able partial denture framework</w:t>
      </w:r>
      <w:r w:rsidRPr="00B06EDF">
        <w:t xml:space="preserve"> (Note pre-requs: HLTIN301C, HLTDT301C, HLTDT302C, HLTDT303C, HLTDT304C, HLTDT519B)</w:t>
      </w:r>
    </w:p>
    <w:p w:rsidR="00000000" w:rsidRPr="00B06EDF" w:rsidP="00B06EDF">
      <w:pPr>
        <w:pStyle w:val="BodyText"/>
      </w:pPr>
      <w:r w:rsidRPr="00B06EDF">
        <w:rPr>
          <w:rStyle w:val="Underline"/>
        </w:rPr>
        <w:t>HLTDT510C</w:t>
      </w:r>
      <w:r w:rsidRPr="00B06EDF">
        <w:tab/>
      </w:r>
      <w:r w:rsidRPr="00B06EDF">
        <w:rPr>
          <w:rStyle w:val="Underline"/>
        </w:rPr>
        <w:t>Construct crown and bridge structures</w:t>
      </w:r>
      <w:r w:rsidRPr="00B06EDF">
        <w:t xml:space="preserve"> (Note pre-requs: HLTIN301C, HLTDT301C, HLTDT302C, HLTDT304C)</w:t>
      </w:r>
    </w:p>
    <w:p w:rsidR="00000000" w:rsidRPr="00B06EDF" w:rsidP="00B06EDF">
      <w:pPr>
        <w:pStyle w:val="BodyText"/>
      </w:pPr>
      <w:r w:rsidRPr="00B06EDF">
        <w:rPr>
          <w:rStyle w:val="Underline"/>
        </w:rPr>
        <w:t>HLTDT511C</w:t>
      </w:r>
      <w:r w:rsidRPr="00B06EDF">
        <w:tab/>
      </w:r>
      <w:r w:rsidRPr="00B06EDF">
        <w:rPr>
          <w:rStyle w:val="Underline"/>
        </w:rPr>
        <w:t>Join alloy structures</w:t>
      </w:r>
      <w:r w:rsidRPr="00B06EDF">
        <w:t xml:space="preserve"> (Note pre-requs: HLTIN301C, HLTDT301C, HLTDT302C, HLTDT303C, HLTDT304C, HLTDT519B, HLTDT507C, HLTDT508C, HLTDT509C, HLTDT510C)</w:t>
      </w:r>
    </w:p>
    <w:p w:rsidR="00000000" w:rsidRPr="00B06EDF" w:rsidP="00B06EDF">
      <w:pPr>
        <w:pStyle w:val="BodyText"/>
      </w:pPr>
      <w:r w:rsidRPr="00B06EDF">
        <w:rPr>
          <w:rStyle w:val="Underline"/>
        </w:rPr>
        <w:t>HLTDT512C</w:t>
      </w:r>
      <w:r w:rsidRPr="00B06EDF">
        <w:tab/>
      </w:r>
      <w:r w:rsidRPr="00B06EDF">
        <w:rPr>
          <w:rStyle w:val="Underline"/>
        </w:rPr>
        <w:t>Take tooth shades</w:t>
      </w:r>
      <w:r w:rsidRPr="00B06EDF">
        <w:t xml:space="preserve"> (Note pre-requ: HLTIN301C)</w:t>
      </w:r>
    </w:p>
    <w:p w:rsidR="00000000" w:rsidRPr="00B06EDF" w:rsidP="00B06EDF">
      <w:pPr>
        <w:pStyle w:val="BodyText"/>
      </w:pPr>
      <w:r w:rsidRPr="00B06EDF">
        <w:rPr>
          <w:rStyle w:val="Underline"/>
        </w:rPr>
        <w:t>HLTDT513C</w:t>
      </w:r>
      <w:r w:rsidRPr="00B06EDF">
        <w:tab/>
      </w:r>
      <w:r w:rsidRPr="00B06EDF">
        <w:rPr>
          <w:rStyle w:val="Underline"/>
        </w:rPr>
        <w:t>Construct fixed restorations</w:t>
      </w:r>
      <w:r w:rsidRPr="00B06EDF">
        <w:t xml:space="preserve"> (Note pre-requs: HLTIN301C, HLTDT509C, HLTDT510C)</w:t>
      </w:r>
    </w:p>
    <w:p w:rsidR="00000000" w:rsidRPr="00B06EDF" w:rsidP="00B06EDF">
      <w:pPr>
        <w:pStyle w:val="BodyText"/>
      </w:pPr>
      <w:r w:rsidRPr="00B06EDF">
        <w:rPr>
          <w:rStyle w:val="Underline"/>
        </w:rPr>
        <w:t>HLTDT514C</w:t>
      </w:r>
      <w:r w:rsidRPr="00B06EDF">
        <w:tab/>
      </w:r>
      <w:r w:rsidRPr="00B06EDF">
        <w:rPr>
          <w:rStyle w:val="Underline"/>
        </w:rPr>
        <w:t>Construct orthodontic appliances</w:t>
      </w:r>
      <w:r w:rsidRPr="00B06EDF">
        <w:t xml:space="preserve"> (Note pre-requs: HLTIN301C, HLTOHS300B, HLTDT301C, HLTDT302C, HLTDT303C, HLTDT304C, HLTDT519B, HLTDT507C, HLTDT508C, HLTDT509C, HLTDT510C, HLTDT511C)</w:t>
      </w:r>
    </w:p>
    <w:p w:rsidR="00000000" w:rsidRPr="00B06EDF" w:rsidP="00B06EDF">
      <w:pPr>
        <w:pStyle w:val="BodyText"/>
      </w:pPr>
      <w:r w:rsidRPr="00B06EDF">
        <w:rPr>
          <w:rStyle w:val="Underline"/>
        </w:rPr>
        <w:t>HLTDT517C</w:t>
      </w:r>
      <w:r w:rsidRPr="00B06EDF">
        <w:tab/>
      </w:r>
      <w:r w:rsidRPr="00B06EDF">
        <w:rPr>
          <w:rStyle w:val="Underline"/>
        </w:rPr>
        <w:t>Co</w:t>
      </w:r>
      <w:r w:rsidRPr="00B06EDF">
        <w:rPr>
          <w:rStyle w:val="Underline"/>
        </w:rPr>
        <w:t>nstruct oral splints</w:t>
      </w:r>
      <w:r w:rsidRPr="00B06EDF">
        <w:t xml:space="preserve"> (Note pre-requs: HLTIN301C, HLTOHS300B, HLTDT301C, HLTDT304C, HLTDT519B)</w:t>
      </w:r>
    </w:p>
    <w:p w:rsidR="00000000" w:rsidRPr="00B06EDF" w:rsidP="00B06EDF">
      <w:pPr>
        <w:pStyle w:val="BodyText"/>
      </w:pPr>
      <w:r w:rsidRPr="00B06EDF">
        <w:rPr>
          <w:rStyle w:val="Underline"/>
        </w:rPr>
        <w:t>HLTDT518C</w:t>
      </w:r>
      <w:r w:rsidRPr="00B06EDF">
        <w:tab/>
      </w:r>
      <w:r w:rsidRPr="00B06EDF">
        <w:rPr>
          <w:rStyle w:val="Underline"/>
        </w:rPr>
        <w:t>Repair and modify dentures and appliances</w:t>
      </w:r>
      <w:r w:rsidRPr="00B06EDF">
        <w:t xml:space="preserve"> (Note pre-requs: HLTIN301C, HLTOHS300B, HLTDT301C, HLTDT304C, HLTDT519B)</w:t>
      </w:r>
    </w:p>
    <w:p w:rsidR="00000000" w:rsidRPr="00B06EDF" w:rsidP="00B06EDF">
      <w:pPr>
        <w:pStyle w:val="BodyText"/>
      </w:pPr>
      <w:r w:rsidRPr="00B06EDF">
        <w:rPr>
          <w:rStyle w:val="Underline"/>
        </w:rPr>
        <w:t>HLTDT519B</w:t>
      </w:r>
      <w:r w:rsidRPr="00B06EDF">
        <w:tab/>
      </w:r>
      <w:r w:rsidRPr="00B06EDF">
        <w:rPr>
          <w:rStyle w:val="Underline"/>
        </w:rPr>
        <w:t>Construct simple complete r</w:t>
      </w:r>
      <w:r w:rsidRPr="00B06EDF">
        <w:rPr>
          <w:rStyle w:val="Underline"/>
        </w:rPr>
        <w:t>emovable acrylic dentures and appliances</w:t>
      </w:r>
      <w:r w:rsidRPr="00B06EDF">
        <w:t xml:space="preserve"> (Note pre-requs: HLTIN301C, HLTOHS300B)</w:t>
      </w:r>
    </w:p>
    <w:p w:rsidR="00000000" w:rsidRPr="00B06EDF" w:rsidP="00B06EDF">
      <w:pPr>
        <w:pStyle w:val="BodyText"/>
      </w:pPr>
      <w:r w:rsidRPr="00B06EDF">
        <w:rPr>
          <w:rStyle w:val="Underline"/>
        </w:rPr>
        <w:t>HLTFA301C</w:t>
      </w:r>
      <w:r w:rsidRPr="00B06EDF">
        <w:tab/>
      </w:r>
      <w:r w:rsidRPr="00B06EDF">
        <w:rPr>
          <w:rStyle w:val="Underline"/>
        </w:rPr>
        <w:t>Apply first aid</w:t>
      </w:r>
    </w:p>
    <w:p w:rsidR="00000000" w:rsidRPr="00B06EDF" w:rsidP="00B06EDF">
      <w:pPr>
        <w:pStyle w:val="BodyText"/>
      </w:pPr>
      <w:r w:rsidRPr="00B06EDF">
        <w:rPr>
          <w:rStyle w:val="Underline"/>
        </w:rPr>
        <w:t>HLTIN301C</w:t>
      </w:r>
      <w:r w:rsidRPr="00B06EDF">
        <w:tab/>
      </w:r>
      <w:r w:rsidRPr="00B06EDF">
        <w:rPr>
          <w:rStyle w:val="Underline"/>
        </w:rPr>
        <w:t>Comply with infection control policies and procedures</w:t>
      </w:r>
    </w:p>
    <w:p w:rsidR="00000000" w:rsidRPr="00B06EDF" w:rsidP="00B06EDF">
      <w:pPr>
        <w:pStyle w:val="BodyText"/>
      </w:pPr>
      <w:r w:rsidRPr="00B06EDF">
        <w:rPr>
          <w:rStyle w:val="Underline"/>
        </w:rPr>
        <w:t>HLTHIR501B</w:t>
      </w:r>
      <w:r w:rsidRPr="00B06EDF">
        <w:tab/>
      </w:r>
      <w:r w:rsidRPr="00B06EDF">
        <w:rPr>
          <w:rStyle w:val="Underline"/>
        </w:rPr>
        <w:t>Maintain an effective health work environment</w:t>
      </w:r>
    </w:p>
    <w:p w:rsidR="00000000" w:rsidRPr="00B06EDF" w:rsidP="00B06EDF">
      <w:pPr>
        <w:pStyle w:val="BodyText"/>
      </w:pPr>
      <w:r w:rsidRPr="00B06EDF">
        <w:rPr>
          <w:rStyle w:val="Underline"/>
        </w:rPr>
        <w:t>HLTOHS300B</w:t>
      </w:r>
      <w:r w:rsidRPr="00B06EDF">
        <w:tab/>
      </w:r>
      <w:r w:rsidRPr="00B06EDF">
        <w:rPr>
          <w:rStyle w:val="Underline"/>
        </w:rPr>
        <w:t>Contribute to OHS</w:t>
      </w:r>
      <w:r w:rsidRPr="00B06EDF">
        <w:rPr>
          <w:rStyle w:val="Underline"/>
        </w:rPr>
        <w:t xml:space="preserve"> processes</w:t>
      </w:r>
    </w:p>
    <w:p w:rsidR="00000000" w:rsidRPr="00B06EDF" w:rsidP="00B06EDF">
      <w:pPr>
        <w:pStyle w:val="BodyText"/>
      </w:pPr>
    </w:p>
    <w:p w:rsidR="00000000" w:rsidRPr="00B06EDF" w:rsidP="00B06EDF">
      <w:pPr>
        <w:pStyle w:val="BodyText"/>
      </w:pPr>
      <w:r w:rsidRPr="00B06EDF">
        <w:rPr>
          <w:rStyle w:val="SpecialBold"/>
        </w:rPr>
        <w:t>The importance of culturally aware and respectful practice</w:t>
      </w:r>
    </w:p>
    <w:p w:rsidR="00000000" w:rsidRPr="00B06EDF" w:rsidP="00B06EDF">
      <w:pPr>
        <w:pStyle w:val="BodyText"/>
      </w:pPr>
      <w:r w:rsidRPr="00B06EDF">
        <w:t>All workers undertaking work in health need foundation knowledge to inform their work with Aboriginal and/or Torres Strait Islander clients and co-workers and with clients and co-worker</w:t>
      </w:r>
      <w:r w:rsidRPr="00B06EDF">
        <w:t>s from culturally and linguistically diverse backgrounds. This foundation must be provided and assessed as part of a holistic approach to delivery and assessment of this qualification. Specific guidelines for assessment of this aspect of competency are pro</w:t>
      </w:r>
      <w:r w:rsidRPr="00B06EDF">
        <w:t>vided in the Assessment Guidelines for the Health Training Package.</w:t>
      </w:r>
    </w:p>
    <w:p w:rsidR="00000000" w:rsidRPr="00B06EDF" w:rsidP="00B06EDF">
      <w:pPr>
        <w:pStyle w:val="BodyText"/>
      </w:pPr>
      <w:r w:rsidRPr="00B06EDF">
        <w:rPr>
          <w:rStyle w:val="SpecialBold"/>
        </w:rPr>
        <w:t>Group A electives</w:t>
      </w:r>
      <w:r w:rsidRPr="00B06EDF">
        <w:t xml:space="preserve"> - </w:t>
      </w:r>
      <w:r w:rsidRPr="00B06EDF">
        <w:rPr>
          <w:rStyle w:val="SpecialBold"/>
        </w:rPr>
        <w:t>recommended for culturally aware and respectful practice</w:t>
      </w:r>
    </w:p>
    <w:p w:rsidR="00000000" w:rsidRPr="00B06EDF" w:rsidP="00B06EDF">
      <w:pPr>
        <w:pStyle w:val="BodyText"/>
      </w:pPr>
      <w:r w:rsidRPr="00B06EDF">
        <w:t>Where work involves a specific focus on Aboriginal and/or Torres Strait Islander and/or culturally diverse clie</w:t>
      </w:r>
      <w:r w:rsidRPr="00B06EDF">
        <w:t>nts or communities, one or both of the following electives is recommended:</w:t>
      </w:r>
    </w:p>
    <w:p w:rsidR="00000000" w:rsidRPr="00B06EDF" w:rsidP="00B06EDF">
      <w:pPr>
        <w:pStyle w:val="BodyText"/>
      </w:pPr>
      <w:r w:rsidRPr="00B06EDF">
        <w:rPr>
          <w:rStyle w:val="Underline"/>
        </w:rPr>
        <w:t>HLTHIR403C</w:t>
      </w:r>
      <w:r w:rsidRPr="00B06EDF">
        <w:tab/>
      </w:r>
      <w:r w:rsidRPr="00B06EDF">
        <w:rPr>
          <w:rStyle w:val="Underline"/>
        </w:rPr>
        <w:t>Work effectively with culturally diverse clients and co</w:t>
      </w:r>
      <w:r w:rsidRPr="00B06EDF">
        <w:t>-</w:t>
      </w:r>
      <w:r w:rsidRPr="00B06EDF">
        <w:rPr>
          <w:rStyle w:val="Underline"/>
        </w:rPr>
        <w:t>workers</w:t>
      </w:r>
    </w:p>
    <w:p w:rsidR="00000000" w:rsidRPr="00B06EDF" w:rsidP="00B06EDF">
      <w:pPr>
        <w:pStyle w:val="BodyText"/>
      </w:pPr>
      <w:r w:rsidRPr="00B06EDF">
        <w:rPr>
          <w:rStyle w:val="Underline"/>
        </w:rPr>
        <w:t>HLTHIR404D</w:t>
      </w:r>
      <w:r w:rsidRPr="00B06EDF">
        <w:tab/>
      </w:r>
      <w:r w:rsidRPr="00B06EDF">
        <w:rPr>
          <w:rStyle w:val="Underline"/>
        </w:rPr>
        <w:t>Work effectively with Aboriginal and</w:t>
      </w:r>
      <w:r w:rsidRPr="00B06EDF">
        <w:t>/</w:t>
      </w:r>
      <w:r w:rsidRPr="00B06EDF">
        <w:rPr>
          <w:rStyle w:val="Underline"/>
        </w:rPr>
        <w:t>or Torres Strait Islander people</w:t>
      </w:r>
    </w:p>
    <w:p w:rsidR="00000000" w:rsidRPr="00B06EDF" w:rsidP="00B06EDF">
      <w:pPr>
        <w:pStyle w:val="BodyText"/>
      </w:pPr>
      <w:r w:rsidRPr="00B06EDF">
        <w:rPr>
          <w:rStyle w:val="SpecialBold"/>
        </w:rPr>
        <w:t>Other relevant electives</w:t>
      </w:r>
    </w:p>
    <w:p w:rsidR="00000000" w:rsidRPr="00B06EDF" w:rsidP="00B06EDF">
      <w:pPr>
        <w:pStyle w:val="BodyText"/>
      </w:pPr>
      <w:r w:rsidRPr="00B06EDF">
        <w:t>Electives are to be selected in line with the specified Packaging Rules. The following electives may facilitate selection. Employers may specify that certain electives are required to address specific workplace needs.</w:t>
      </w:r>
    </w:p>
    <w:p w:rsidR="00000000" w:rsidRPr="00B06EDF" w:rsidP="00B06EDF">
      <w:pPr>
        <w:pStyle w:val="BodyText"/>
      </w:pPr>
      <w:r w:rsidRPr="00B06EDF">
        <w:rPr>
          <w:rStyle w:val="Underline"/>
        </w:rPr>
        <w:t>BSBADM311A</w:t>
      </w:r>
      <w:r w:rsidRPr="00B06EDF">
        <w:tab/>
      </w:r>
      <w:r w:rsidRPr="00B06EDF">
        <w:rPr>
          <w:rStyle w:val="Underline"/>
        </w:rPr>
        <w:t>Maintain business resources</w:t>
      </w:r>
    </w:p>
    <w:p w:rsidR="00000000" w:rsidRPr="00B06EDF" w:rsidP="00B06EDF">
      <w:pPr>
        <w:pStyle w:val="BodyText"/>
      </w:pPr>
      <w:r w:rsidRPr="00B06EDF">
        <w:rPr>
          <w:rStyle w:val="Underline"/>
        </w:rPr>
        <w:t>BSBCUS301A</w:t>
      </w:r>
      <w:r w:rsidRPr="00B06EDF">
        <w:tab/>
      </w:r>
      <w:r w:rsidRPr="00B06EDF">
        <w:rPr>
          <w:rStyle w:val="Underline"/>
        </w:rPr>
        <w:t>Deliver and monitor a service to customers</w:t>
      </w:r>
    </w:p>
    <w:p w:rsidR="00000000" w:rsidRPr="00B06EDF" w:rsidP="00B06EDF">
      <w:pPr>
        <w:pStyle w:val="BodyText"/>
      </w:pPr>
      <w:r w:rsidRPr="00B06EDF">
        <w:rPr>
          <w:rStyle w:val="Underline"/>
        </w:rPr>
        <w:t>BSBFIA301A</w:t>
      </w:r>
      <w:r w:rsidRPr="00B06EDF">
        <w:tab/>
      </w:r>
      <w:r w:rsidRPr="00B06EDF">
        <w:rPr>
          <w:rStyle w:val="Underline"/>
        </w:rPr>
        <w:t>Maintain financial records</w:t>
      </w:r>
    </w:p>
    <w:p w:rsidR="00000000" w:rsidRPr="00B06EDF" w:rsidP="00B06EDF">
      <w:pPr>
        <w:pStyle w:val="BodyText"/>
      </w:pPr>
      <w:r w:rsidRPr="00B06EDF">
        <w:rPr>
          <w:rStyle w:val="Underline"/>
        </w:rPr>
        <w:t>BSBWOR204A</w:t>
      </w:r>
      <w:r w:rsidRPr="00B06EDF">
        <w:tab/>
      </w:r>
      <w:r w:rsidRPr="00B06EDF">
        <w:rPr>
          <w:rStyle w:val="Underline"/>
        </w:rPr>
        <w:t>Use business technology</w:t>
      </w:r>
    </w:p>
    <w:p w:rsidR="00000000" w:rsidRPr="00B06EDF" w:rsidP="00B06EDF">
      <w:pPr>
        <w:pStyle w:val="BodyText"/>
      </w:pPr>
      <w:r w:rsidRPr="00B06EDF">
        <w:rPr>
          <w:rStyle w:val="Underline"/>
        </w:rPr>
        <w:t>HLTDA417B</w:t>
      </w:r>
      <w:r w:rsidRPr="00B06EDF">
        <w:tab/>
      </w:r>
      <w:r w:rsidRPr="00B06EDF">
        <w:rPr>
          <w:rStyle w:val="Underline"/>
        </w:rPr>
        <w:t>Take a clinical photograph</w:t>
      </w:r>
      <w:r w:rsidRPr="00B06EDF">
        <w:t xml:space="preserve"> (Note pre-requs: HLTIN301C, HLTIN302B)</w:t>
      </w:r>
    </w:p>
    <w:p w:rsidR="00DB1A1A" w:rsidP="00B06EDF">
      <w:pPr>
        <w:pStyle w:val="BodyText"/>
      </w:pPr>
      <w:r w:rsidRPr="00B06EDF">
        <w:rPr>
          <w:rStyle w:val="Underline"/>
        </w:rPr>
        <w:t>HLTDT516C</w:t>
      </w:r>
      <w:r w:rsidRPr="00B06EDF">
        <w:tab/>
      </w:r>
      <w:r w:rsidRPr="00B06EDF">
        <w:rPr>
          <w:rStyle w:val="Underline"/>
        </w:rPr>
        <w:t>Construct indirect composite polymer fixed</w:t>
      </w:r>
      <w:r w:rsidRPr="00B06EDF">
        <w:rPr>
          <w:rStyle w:val="Underline"/>
        </w:rPr>
        <w:t xml:space="preserve"> restorations</w:t>
      </w:r>
      <w:r w:rsidRPr="00B06EDF">
        <w:t xml:space="preserve"> (Note pre-requs: HLTIN301C, HLTDT519B, HLTDT513C)</w:t>
      </w:r>
    </w:p>
    <w:p w:rsidR="00DB1A1A" w:rsidP="00B06EDF">
      <w:pPr>
        <w:pStyle w:val="BodyText"/>
      </w:pPr>
    </w:p>
    <w:p w:rsidR="00000000" w:rsidRPr="00B06EDF" w:rsidP="00B06EDF"/>
    <w:sectPr w:rsidSect="00B06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A1A" w:rsidP="00DB1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1A" w:rsidP="00B06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1A1A" w:rsidP="00B06E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1A1A" w:rsidP="00B06E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1A1A" w:rsidP="00DB1A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1A" w:rsidP="00B06EDF">
    <w:pPr>
      <w:pStyle w:val="Header"/>
      <w:framePr w:wrap="around"/>
    </w:pPr>
    <w:r>
      <w:fldChar w:fldCharType="begin"/>
    </w:r>
    <w:r>
      <w:instrText xml:space="preserve"> TITLE   \* MERGEFORMAT </w:instrText>
    </w:r>
    <w:r>
      <w:fldChar w:fldCharType="separate"/>
    </w:r>
    <w:r>
      <w:t>HLT50507 Diploma of Dental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1A1A" w:rsidP="00B06E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47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62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FE0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E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EDF"/>
    <w:pPr>
      <w:spacing w:before="360" w:after="60"/>
      <w:outlineLvl w:val="0"/>
    </w:pPr>
    <w:rPr>
      <w:sz w:val="32"/>
    </w:rPr>
  </w:style>
  <w:style w:type="paragraph" w:styleId="Heading2">
    <w:name w:val="heading 2"/>
    <w:basedOn w:val="HeadingBase"/>
    <w:next w:val="BodyText"/>
    <w:link w:val="Heading2Char"/>
    <w:qFormat/>
    <w:rsid w:val="00B06EDF"/>
    <w:pPr>
      <w:keepLines/>
      <w:spacing w:before="240" w:after="120"/>
      <w:outlineLvl w:val="1"/>
    </w:pPr>
    <w:rPr>
      <w:sz w:val="28"/>
      <w:szCs w:val="40"/>
    </w:rPr>
  </w:style>
  <w:style w:type="paragraph" w:styleId="Heading3">
    <w:name w:val="heading 3"/>
    <w:basedOn w:val="HeadingBase"/>
    <w:next w:val="BodyText"/>
    <w:link w:val="Heading3Char"/>
    <w:qFormat/>
    <w:rsid w:val="00B06EDF"/>
    <w:pPr>
      <w:spacing w:before="180" w:after="120"/>
      <w:outlineLvl w:val="2"/>
    </w:pPr>
    <w:rPr>
      <w:spacing w:val="-10"/>
      <w:kern w:val="32"/>
    </w:rPr>
  </w:style>
  <w:style w:type="paragraph" w:styleId="Heading4">
    <w:name w:val="heading 4"/>
    <w:basedOn w:val="HeadingBase"/>
    <w:next w:val="BodyText"/>
    <w:link w:val="Heading4Char"/>
    <w:qFormat/>
    <w:rsid w:val="00B06EDF"/>
    <w:pPr>
      <w:spacing w:before="160" w:after="120"/>
      <w:outlineLvl w:val="3"/>
    </w:pPr>
    <w:rPr>
      <w:sz w:val="22"/>
    </w:rPr>
  </w:style>
  <w:style w:type="paragraph" w:styleId="Heading5">
    <w:name w:val="heading 5"/>
    <w:basedOn w:val="HeadingBase"/>
    <w:next w:val="Normal"/>
    <w:link w:val="Heading5Char"/>
    <w:qFormat/>
    <w:rsid w:val="00B06EDF"/>
    <w:pPr>
      <w:spacing w:before="80"/>
      <w:outlineLvl w:val="4"/>
    </w:pPr>
    <w:rPr>
      <w:color w:val="918585"/>
      <w:sz w:val="20"/>
    </w:rPr>
  </w:style>
  <w:style w:type="paragraph" w:styleId="Heading6">
    <w:name w:val="heading 6"/>
    <w:basedOn w:val="HeadingBase"/>
    <w:next w:val="Normal"/>
    <w:link w:val="Heading6Char"/>
    <w:qFormat/>
    <w:rsid w:val="00B06EDF"/>
    <w:pPr>
      <w:spacing w:before="60"/>
      <w:outlineLvl w:val="5"/>
    </w:pPr>
    <w:rPr>
      <w:color w:val="918585"/>
      <w:sz w:val="20"/>
    </w:rPr>
  </w:style>
  <w:style w:type="paragraph" w:styleId="Heading7">
    <w:name w:val="heading 7"/>
    <w:basedOn w:val="Normal"/>
    <w:next w:val="Normal"/>
    <w:link w:val="Heading7Char"/>
    <w:qFormat/>
    <w:rsid w:val="00B06EDF"/>
    <w:pPr>
      <w:ind w:left="720"/>
      <w:outlineLvl w:val="6"/>
    </w:pPr>
    <w:rPr>
      <w:i/>
    </w:rPr>
  </w:style>
  <w:style w:type="paragraph" w:styleId="Heading8">
    <w:name w:val="heading 8"/>
    <w:basedOn w:val="Normal"/>
    <w:next w:val="Normal"/>
    <w:link w:val="Heading8Char"/>
    <w:qFormat/>
    <w:rsid w:val="00B06EDF"/>
    <w:pPr>
      <w:ind w:left="720"/>
      <w:outlineLvl w:val="7"/>
    </w:pPr>
    <w:rPr>
      <w:i/>
    </w:rPr>
  </w:style>
  <w:style w:type="paragraph" w:styleId="Heading9">
    <w:name w:val="heading 9"/>
    <w:basedOn w:val="Normal"/>
    <w:next w:val="Normal"/>
    <w:link w:val="Heading9Char"/>
    <w:qFormat/>
    <w:rsid w:val="00B06EDF"/>
    <w:pPr>
      <w:ind w:left="720"/>
      <w:outlineLvl w:val="8"/>
    </w:pPr>
    <w:rPr>
      <w:i/>
    </w:rPr>
  </w:style>
  <w:style w:type="character" w:default="1" w:styleId="DefaultParagraphFont">
    <w:name w:val="Default Paragraph Font"/>
    <w:uiPriority w:val="1"/>
    <w:unhideWhenUsed/>
    <w:rsid w:val="00B06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EDF"/>
  </w:style>
  <w:style w:type="character" w:customStyle="1" w:styleId="Heading1Char">
    <w:name w:val="Heading 1 Char"/>
    <w:basedOn w:val="DefaultParagraphFont"/>
    <w:link w:val="Heading1"/>
    <w:rsid w:val="00B06E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6EDF"/>
    <w:rPr>
      <w:rFonts w:ascii="Times New Roman" w:eastAsia="Times New Roman" w:hAnsi="Times New Roman" w:cs="Times New Roman"/>
      <w:b/>
      <w:szCs w:val="20"/>
      <w:lang w:eastAsia="en-US"/>
    </w:rPr>
  </w:style>
  <w:style w:type="paragraph" w:styleId="BodyText">
    <w:name w:val="Body Text"/>
    <w:basedOn w:val="Normal"/>
    <w:link w:val="BodyTextChar"/>
    <w:rsid w:val="00B06E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EDF"/>
    <w:rPr>
      <w:rFonts w:ascii="Times New Roman" w:eastAsia="Times New Roman" w:hAnsi="Times New Roman" w:cs="Times New Roman"/>
      <w:sz w:val="24"/>
      <w:lang w:val="en-US" w:eastAsia="en-US"/>
    </w:rPr>
  </w:style>
  <w:style w:type="paragraph" w:styleId="Footer">
    <w:name w:val="footer"/>
    <w:basedOn w:val="Normal"/>
    <w:link w:val="FooterChar"/>
    <w:rsid w:val="00B06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EDF"/>
    <w:rPr>
      <w:rFonts w:ascii="Times New Roman" w:eastAsia="Times New Roman" w:hAnsi="Times New Roman" w:cs="Times New Roman"/>
      <w:sz w:val="16"/>
      <w:lang w:val="en-US" w:eastAsia="en-US"/>
    </w:rPr>
  </w:style>
  <w:style w:type="paragraph" w:styleId="ListBullet">
    <w:name w:val="List Bullet"/>
    <w:basedOn w:val="List"/>
    <w:rsid w:val="00B06EDF"/>
    <w:pPr>
      <w:numPr>
        <w:numId w:val="13"/>
      </w:numPr>
      <w:tabs>
        <w:tab w:val="clear" w:pos="340"/>
      </w:tabs>
      <w:spacing w:before="40" w:after="40"/>
    </w:pPr>
  </w:style>
  <w:style w:type="character" w:customStyle="1" w:styleId="SpecialBold">
    <w:name w:val="Special Bold"/>
    <w:basedOn w:val="DefaultParagraphFont"/>
    <w:rsid w:val="00B06EDF"/>
    <w:rPr>
      <w:b/>
      <w:spacing w:val="0"/>
    </w:rPr>
  </w:style>
  <w:style w:type="paragraph" w:styleId="ListBullet2">
    <w:name w:val="List Bullet 2"/>
    <w:basedOn w:val="List2"/>
    <w:rsid w:val="00B06EDF"/>
    <w:pPr>
      <w:numPr>
        <w:numId w:val="14"/>
      </w:numPr>
      <w:tabs>
        <w:tab w:val="clear" w:pos="680"/>
      </w:tabs>
    </w:pPr>
  </w:style>
  <w:style w:type="paragraph" w:styleId="Header">
    <w:name w:val="header"/>
    <w:basedOn w:val="Normal"/>
    <w:link w:val="HeaderChar"/>
    <w:rsid w:val="00B06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E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EDF"/>
    <w:pPr>
      <w:spacing w:before="240" w:after="120"/>
      <w:outlineLvl w:val="0"/>
    </w:pPr>
    <w:rPr>
      <w:rFonts w:ascii="Times New Roman" w:hAnsi="Times New Roman"/>
      <w:b/>
      <w:sz w:val="28"/>
    </w:rPr>
  </w:style>
  <w:style w:type="paragraph" w:customStyle="1" w:styleId="AllowPageBreak">
    <w:name w:val="AllowPageBreak"/>
    <w:rsid w:val="00B06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06EDF"/>
    <w:rPr>
      <w:u w:val="single"/>
    </w:rPr>
  </w:style>
  <w:style w:type="character" w:customStyle="1" w:styleId="Heading2Char">
    <w:name w:val="Heading 2 Char"/>
    <w:basedOn w:val="DefaultParagraphFont"/>
    <w:link w:val="Heading2"/>
    <w:rsid w:val="00B06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E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6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E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E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EDF"/>
    <w:rPr>
      <w:rFonts w:ascii="Courier New" w:eastAsia="Times New Roman" w:hAnsi="Courier New" w:cs="Times New Roman"/>
      <w:i/>
      <w:szCs w:val="20"/>
      <w:lang w:val="en-US" w:eastAsia="en-US"/>
    </w:rPr>
  </w:style>
  <w:style w:type="paragraph" w:customStyle="1" w:styleId="HeadingBase">
    <w:name w:val="Heading Base"/>
    <w:rsid w:val="00B06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EDF"/>
    <w:pPr>
      <w:tabs>
        <w:tab w:val="right" w:leader="dot" w:pos="9072"/>
      </w:tabs>
      <w:ind w:left="567"/>
    </w:pPr>
    <w:rPr>
      <w:szCs w:val="22"/>
    </w:rPr>
  </w:style>
  <w:style w:type="paragraph" w:customStyle="1" w:styleId="TOCBase">
    <w:name w:val="TOC Base"/>
    <w:rsid w:val="00B06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EDF"/>
    <w:pPr>
      <w:tabs>
        <w:tab w:val="right" w:leader="dot" w:pos="9072"/>
      </w:tabs>
      <w:spacing w:before="40" w:after="40"/>
      <w:ind w:left="284"/>
    </w:pPr>
    <w:rPr>
      <w:rFonts w:ascii="Times New Roman" w:hAnsi="Times New Roman"/>
    </w:rPr>
  </w:style>
  <w:style w:type="paragraph" w:styleId="TOC1">
    <w:name w:val="toc 1"/>
    <w:basedOn w:val="TOCBase"/>
    <w:next w:val="Normal"/>
    <w:rsid w:val="00B06E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EDF"/>
    <w:pPr>
      <w:spacing w:before="5040"/>
      <w:jc w:val="center"/>
    </w:pPr>
    <w:rPr>
      <w:sz w:val="48"/>
      <w:szCs w:val="72"/>
      <w:lang w:val="en-US"/>
    </w:rPr>
  </w:style>
  <w:style w:type="character" w:customStyle="1" w:styleId="TitleChar">
    <w:name w:val="Title Char"/>
    <w:basedOn w:val="DefaultParagraphFont"/>
    <w:link w:val="Title"/>
    <w:rsid w:val="00B06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EDF"/>
    <w:pPr>
      <w:tabs>
        <w:tab w:val="left" w:pos="3600"/>
        <w:tab w:val="left" w:pos="3958"/>
      </w:tabs>
    </w:pPr>
  </w:style>
  <w:style w:type="paragraph" w:styleId="List">
    <w:name w:val="List"/>
    <w:basedOn w:val="BodyText"/>
    <w:next w:val="BodyText"/>
    <w:rsid w:val="00B06EDF"/>
    <w:pPr>
      <w:tabs>
        <w:tab w:val="left" w:pos="340"/>
      </w:tabs>
      <w:spacing w:before="60" w:after="60"/>
      <w:ind w:left="340" w:hanging="340"/>
    </w:pPr>
  </w:style>
  <w:style w:type="paragraph" w:customStyle="1" w:styleId="Note">
    <w:name w:val="Note"/>
    <w:basedOn w:val="BodyText"/>
    <w:rsid w:val="00B06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EDF"/>
    <w:pPr>
      <w:framePr w:wrap="auto" w:hAnchor="text" w:y="6049"/>
    </w:pPr>
    <w:rPr>
      <w:color w:val="000000"/>
      <w:sz w:val="40"/>
    </w:rPr>
  </w:style>
  <w:style w:type="paragraph" w:customStyle="1" w:styleId="TOCTitle">
    <w:name w:val="TOCTitle"/>
    <w:basedOn w:val="Heading1"/>
    <w:rsid w:val="00B06EDF"/>
    <w:pPr>
      <w:spacing w:after="240"/>
      <w:jc w:val="center"/>
      <w:outlineLvl w:val="9"/>
    </w:pPr>
    <w:rPr>
      <w:caps/>
    </w:rPr>
  </w:style>
  <w:style w:type="paragraph" w:customStyle="1" w:styleId="Version">
    <w:name w:val="Version"/>
    <w:rsid w:val="00B06E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EDF"/>
    <w:pPr>
      <w:keepNext w:val="0"/>
      <w:tabs>
        <w:tab w:val="right" w:pos="4176"/>
      </w:tabs>
      <w:ind w:left="198" w:hanging="198"/>
    </w:pPr>
    <w:rPr>
      <w:rFonts w:ascii="Garamond" w:hAnsi="Garamond"/>
    </w:rPr>
  </w:style>
  <w:style w:type="paragraph" w:styleId="IndexHeading">
    <w:name w:val="index heading"/>
    <w:basedOn w:val="Normal"/>
    <w:next w:val="Index1"/>
    <w:semiHidden/>
    <w:rsid w:val="00B06EDF"/>
    <w:pPr>
      <w:spacing w:before="120" w:after="120"/>
    </w:pPr>
    <w:rPr>
      <w:rFonts w:ascii="Arial" w:hAnsi="Arial"/>
      <w:b/>
      <w:color w:val="918585"/>
      <w:sz w:val="24"/>
    </w:rPr>
  </w:style>
  <w:style w:type="paragraph" w:customStyle="1" w:styleId="Chapter">
    <w:name w:val="Chapter"/>
    <w:basedOn w:val="Normal"/>
    <w:rsid w:val="00B06EDF"/>
    <w:pPr>
      <w:spacing w:before="240"/>
    </w:pPr>
    <w:rPr>
      <w:rFonts w:ascii="Times New Roman" w:hAnsi="Times New Roman"/>
      <w:smallCaps/>
      <w:spacing w:val="80"/>
      <w:sz w:val="28"/>
    </w:rPr>
  </w:style>
  <w:style w:type="paragraph" w:customStyle="1" w:styleId="InChapter">
    <w:name w:val="InChapter"/>
    <w:basedOn w:val="Heading3"/>
    <w:rsid w:val="00B06EDF"/>
    <w:pPr>
      <w:spacing w:after="240"/>
      <w:outlineLvl w:val="9"/>
    </w:pPr>
    <w:rPr>
      <w:noProof/>
    </w:rPr>
  </w:style>
  <w:style w:type="paragraph" w:styleId="Index2">
    <w:name w:val="index 2"/>
    <w:basedOn w:val="Normal"/>
    <w:next w:val="Normal"/>
    <w:semiHidden/>
    <w:rsid w:val="00B06EDF"/>
    <w:pPr>
      <w:tabs>
        <w:tab w:val="right" w:pos="4176"/>
      </w:tabs>
      <w:ind w:left="568" w:hanging="284"/>
    </w:pPr>
    <w:rPr>
      <w:rFonts w:ascii="Garamond" w:hAnsi="Garamond"/>
    </w:rPr>
  </w:style>
  <w:style w:type="paragraph" w:customStyle="1" w:styleId="Byline">
    <w:name w:val="Byline"/>
    <w:rsid w:val="00B06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EDF"/>
    <w:pPr>
      <w:tabs>
        <w:tab w:val="clear" w:pos="3600"/>
        <w:tab w:val="clear" w:pos="3958"/>
      </w:tabs>
      <w:jc w:val="right"/>
    </w:pPr>
  </w:style>
  <w:style w:type="character" w:styleId="Emphasis">
    <w:name w:val="Emphasis"/>
    <w:basedOn w:val="DefaultParagraphFont"/>
    <w:qFormat/>
    <w:rsid w:val="00B06EDF"/>
    <w:rPr>
      <w:i/>
    </w:rPr>
  </w:style>
  <w:style w:type="paragraph" w:styleId="Caption">
    <w:name w:val="caption"/>
    <w:basedOn w:val="BodyText"/>
    <w:next w:val="Normal"/>
    <w:qFormat/>
    <w:rsid w:val="00B06EDF"/>
    <w:pPr>
      <w:framePr w:w="2268" w:hSpace="181" w:vSpace="181" w:wrap="around" w:vAnchor="text" w:hAnchor="page" w:x="1135" w:y="285" w:anchorLock="1"/>
    </w:pPr>
    <w:rPr>
      <w:i/>
    </w:rPr>
  </w:style>
  <w:style w:type="paragraph" w:customStyle="1" w:styleId="MiniTOCTitle">
    <w:name w:val="MiniTOCTitle"/>
    <w:basedOn w:val="Heading4"/>
    <w:rsid w:val="00B06EDF"/>
    <w:pPr>
      <w:spacing w:before="240"/>
      <w:outlineLvl w:val="9"/>
    </w:pPr>
    <w:rPr>
      <w:noProof/>
      <w:sz w:val="24"/>
    </w:rPr>
  </w:style>
  <w:style w:type="paragraph" w:customStyle="1" w:styleId="MiniTOCItem">
    <w:name w:val="MiniTOCItem"/>
    <w:basedOn w:val="ListBullet"/>
    <w:rsid w:val="00B06EDF"/>
    <w:pPr>
      <w:numPr>
        <w:numId w:val="0"/>
      </w:numPr>
      <w:tabs>
        <w:tab w:val="right" w:leader="dot" w:pos="6521"/>
      </w:tabs>
      <w:spacing w:before="0" w:after="0"/>
    </w:pPr>
  </w:style>
  <w:style w:type="paragraph" w:customStyle="1" w:styleId="TOFTitle">
    <w:name w:val="TOFTitle"/>
    <w:basedOn w:val="TOCTitle"/>
    <w:rsid w:val="00B06EDF"/>
  </w:style>
  <w:style w:type="paragraph" w:styleId="TableofFigures">
    <w:name w:val="table of figures"/>
    <w:basedOn w:val="Normal"/>
    <w:next w:val="Normal"/>
    <w:semiHidden/>
    <w:rsid w:val="00B06EDF"/>
    <w:pPr>
      <w:tabs>
        <w:tab w:val="right" w:leader="dot" w:pos="9072"/>
      </w:tabs>
      <w:ind w:left="970" w:hanging="403"/>
    </w:pPr>
    <w:rPr>
      <w:rFonts w:ascii="Times New Roman" w:hAnsi="Times New Roman"/>
      <w:b/>
    </w:rPr>
  </w:style>
  <w:style w:type="paragraph" w:styleId="ListNumber">
    <w:name w:val="List Number"/>
    <w:basedOn w:val="List"/>
    <w:rsid w:val="00B06EDF"/>
    <w:pPr>
      <w:numPr>
        <w:numId w:val="11"/>
      </w:numPr>
    </w:pPr>
  </w:style>
  <w:style w:type="character" w:customStyle="1" w:styleId="WingdingSymbols">
    <w:name w:val="Wingding Symbols"/>
    <w:rsid w:val="00B06EDF"/>
    <w:rPr>
      <w:rFonts w:ascii="Wingdings" w:hAnsi="Wingdings"/>
    </w:rPr>
  </w:style>
  <w:style w:type="paragraph" w:customStyle="1" w:styleId="TableHeading">
    <w:name w:val="Table Heading"/>
    <w:basedOn w:val="HeadingBase"/>
    <w:rsid w:val="00B06EDF"/>
    <w:pPr>
      <w:keepLines/>
      <w:pBdr>
        <w:bottom w:val="single" w:sz="6" w:space="1" w:color="918585"/>
      </w:pBdr>
      <w:spacing w:before="240"/>
    </w:pPr>
  </w:style>
  <w:style w:type="character" w:customStyle="1" w:styleId="HotSpot">
    <w:name w:val="HotSpot"/>
    <w:rsid w:val="00B06EDF"/>
    <w:rPr>
      <w:color w:val="0033CC"/>
      <w:u w:val="none"/>
    </w:rPr>
  </w:style>
  <w:style w:type="paragraph" w:customStyle="1" w:styleId="BodyTextRight">
    <w:name w:val="Body Text Right"/>
    <w:basedOn w:val="BodyText"/>
    <w:rsid w:val="00B06EDF"/>
    <w:pPr>
      <w:spacing w:before="0" w:after="0"/>
      <w:jc w:val="right"/>
    </w:pPr>
  </w:style>
  <w:style w:type="paragraph" w:styleId="Index3">
    <w:name w:val="index 3"/>
    <w:basedOn w:val="ListNumber2"/>
    <w:next w:val="Normal"/>
    <w:semiHidden/>
    <w:rsid w:val="00B06EDF"/>
    <w:pPr>
      <w:numPr>
        <w:numId w:val="0"/>
      </w:numPr>
      <w:tabs>
        <w:tab w:val="right" w:leader="dot" w:pos="4176"/>
      </w:tabs>
    </w:pPr>
  </w:style>
  <w:style w:type="paragraph" w:styleId="ListNumber2">
    <w:name w:val="List Number 2"/>
    <w:basedOn w:val="List2"/>
    <w:rsid w:val="00B06EDF"/>
    <w:pPr>
      <w:numPr>
        <w:numId w:val="10"/>
      </w:numPr>
      <w:tabs>
        <w:tab w:val="clear" w:pos="1060"/>
      </w:tabs>
    </w:pPr>
  </w:style>
  <w:style w:type="paragraph" w:customStyle="1" w:styleId="MarginNote">
    <w:name w:val="Margin Note"/>
    <w:basedOn w:val="BodyText"/>
    <w:rsid w:val="00B06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E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EDF"/>
    <w:rPr>
      <w:sz w:val="32"/>
    </w:rPr>
  </w:style>
  <w:style w:type="paragraph" w:customStyle="1" w:styleId="HeadingProcedure">
    <w:name w:val="Heading Procedure"/>
    <w:basedOn w:val="HeadingBase"/>
    <w:next w:val="Normal"/>
    <w:rsid w:val="00B06EDF"/>
    <w:pPr>
      <w:tabs>
        <w:tab w:val="left" w:pos="0"/>
      </w:tabs>
      <w:spacing w:before="120" w:after="60"/>
    </w:pPr>
    <w:rPr>
      <w:i/>
      <w:color w:val="918585"/>
      <w:sz w:val="22"/>
    </w:rPr>
  </w:style>
  <w:style w:type="paragraph" w:customStyle="1" w:styleId="TableBodyText">
    <w:name w:val="Table Body Text"/>
    <w:basedOn w:val="BodyText"/>
    <w:rsid w:val="00B06EDF"/>
    <w:pPr>
      <w:spacing w:before="60" w:after="60"/>
    </w:pPr>
  </w:style>
  <w:style w:type="paragraph" w:styleId="ListContinue">
    <w:name w:val="List Continue"/>
    <w:basedOn w:val="List"/>
    <w:rsid w:val="00B06EDF"/>
    <w:pPr>
      <w:ind w:firstLine="0"/>
    </w:pPr>
  </w:style>
  <w:style w:type="paragraph" w:customStyle="1" w:styleId="ListNote">
    <w:name w:val="List Note"/>
    <w:basedOn w:val="List"/>
    <w:rsid w:val="00B06EDF"/>
    <w:pPr>
      <w:pBdr>
        <w:top w:val="single" w:sz="6" w:space="2" w:color="918585"/>
        <w:bottom w:val="single" w:sz="6" w:space="2" w:color="918585"/>
      </w:pBdr>
      <w:tabs>
        <w:tab w:val="left" w:pos="1021"/>
      </w:tabs>
      <w:ind w:firstLine="0"/>
    </w:pPr>
  </w:style>
  <w:style w:type="paragraph" w:customStyle="1" w:styleId="Warning">
    <w:name w:val="Warning"/>
    <w:basedOn w:val="BodyText"/>
    <w:rsid w:val="00B06EDF"/>
    <w:pPr>
      <w:shd w:val="clear" w:color="auto" w:fill="D9D9D9"/>
      <w:tabs>
        <w:tab w:val="left" w:pos="992"/>
      </w:tabs>
      <w:ind w:left="119" w:right="119"/>
    </w:pPr>
    <w:rPr>
      <w:sz w:val="20"/>
    </w:rPr>
  </w:style>
  <w:style w:type="paragraph" w:customStyle="1" w:styleId="MarginIcons">
    <w:name w:val="Margin Icons"/>
    <w:basedOn w:val="BodyText"/>
    <w:rsid w:val="00B06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EDF"/>
    <w:rPr>
      <w:rFonts w:ascii="Courier New" w:hAnsi="Courier New"/>
    </w:rPr>
  </w:style>
  <w:style w:type="paragraph" w:customStyle="1" w:styleId="NoteBullet">
    <w:name w:val="Note Bullet"/>
    <w:basedOn w:val="Note"/>
    <w:rsid w:val="00B06EDF"/>
    <w:pPr>
      <w:tabs>
        <w:tab w:val="clear" w:pos="680"/>
      </w:tabs>
      <w:spacing w:before="60" w:after="60"/>
    </w:pPr>
  </w:style>
  <w:style w:type="paragraph" w:customStyle="1" w:styleId="SubHeading2">
    <w:name w:val="SubHeading2"/>
    <w:basedOn w:val="HeadingBase"/>
    <w:rsid w:val="00B06EDF"/>
    <w:pPr>
      <w:spacing w:before="240" w:after="60"/>
    </w:pPr>
    <w:rPr>
      <w:sz w:val="20"/>
    </w:rPr>
  </w:style>
  <w:style w:type="paragraph" w:customStyle="1" w:styleId="SubHeading1">
    <w:name w:val="SubHeading1"/>
    <w:basedOn w:val="HeadingBase"/>
    <w:rsid w:val="00B06EDF"/>
    <w:pPr>
      <w:spacing w:before="240" w:after="60"/>
    </w:pPr>
    <w:rPr>
      <w:color w:val="918585"/>
      <w:sz w:val="22"/>
    </w:rPr>
  </w:style>
  <w:style w:type="paragraph" w:customStyle="1" w:styleId="SideHeading">
    <w:name w:val="Side Heading"/>
    <w:basedOn w:val="HeadingBase"/>
    <w:rsid w:val="00B06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EDF"/>
    <w:pPr>
      <w:numPr>
        <w:numId w:val="12"/>
      </w:numPr>
    </w:pPr>
  </w:style>
  <w:style w:type="paragraph" w:styleId="PlainText">
    <w:name w:val="Plain Text"/>
    <w:basedOn w:val="Normal"/>
    <w:link w:val="PlainTextChar"/>
    <w:rsid w:val="00B06EDF"/>
    <w:rPr>
      <w:sz w:val="20"/>
    </w:rPr>
  </w:style>
  <w:style w:type="character" w:customStyle="1" w:styleId="PlainTextChar">
    <w:name w:val="Plain Text Char"/>
    <w:basedOn w:val="DefaultParagraphFont"/>
    <w:link w:val="PlainText"/>
    <w:rsid w:val="00B06E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EDF"/>
    <w:rPr>
      <w:b/>
      <w:smallCaps/>
    </w:rPr>
  </w:style>
  <w:style w:type="paragraph" w:customStyle="1" w:styleId="TableListNumber">
    <w:name w:val="Table List Number"/>
    <w:basedOn w:val="ListNumber"/>
    <w:rsid w:val="00B06EDF"/>
    <w:pPr>
      <w:numPr>
        <w:numId w:val="0"/>
      </w:numPr>
    </w:pPr>
  </w:style>
  <w:style w:type="paragraph" w:styleId="TOC4">
    <w:name w:val="toc 4"/>
    <w:basedOn w:val="TOCBase"/>
    <w:next w:val="Normal"/>
    <w:semiHidden/>
    <w:rsid w:val="00B06EDF"/>
    <w:pPr>
      <w:tabs>
        <w:tab w:val="right" w:leader="dot" w:pos="9071"/>
      </w:tabs>
      <w:ind w:left="1701"/>
    </w:pPr>
  </w:style>
  <w:style w:type="paragraph" w:customStyle="1" w:styleId="ListAlpha">
    <w:name w:val="List Alpha"/>
    <w:basedOn w:val="List"/>
    <w:rsid w:val="00B06EDF"/>
    <w:pPr>
      <w:numPr>
        <w:numId w:val="9"/>
      </w:numPr>
    </w:pPr>
  </w:style>
  <w:style w:type="paragraph" w:customStyle="1" w:styleId="ListAlpha2">
    <w:name w:val="List Alpha 2"/>
    <w:basedOn w:val="List2"/>
    <w:rsid w:val="00B06EDF"/>
    <w:pPr>
      <w:numPr>
        <w:numId w:val="8"/>
      </w:numPr>
    </w:pPr>
  </w:style>
  <w:style w:type="paragraph" w:styleId="List2">
    <w:name w:val="List 2"/>
    <w:basedOn w:val="BodyText"/>
    <w:rsid w:val="00B06EDF"/>
    <w:pPr>
      <w:tabs>
        <w:tab w:val="left" w:pos="680"/>
      </w:tabs>
      <w:spacing w:before="60" w:after="60"/>
      <w:ind w:left="680" w:hanging="340"/>
    </w:pPr>
  </w:style>
  <w:style w:type="paragraph" w:styleId="List3">
    <w:name w:val="List 3"/>
    <w:basedOn w:val="BodyText"/>
    <w:rsid w:val="00B06EDF"/>
    <w:pPr>
      <w:tabs>
        <w:tab w:val="left" w:pos="1021"/>
      </w:tabs>
      <w:spacing w:before="60" w:after="60"/>
      <w:ind w:left="1020" w:hanging="340"/>
    </w:pPr>
  </w:style>
  <w:style w:type="paragraph" w:styleId="List4">
    <w:name w:val="List 4"/>
    <w:basedOn w:val="BodyText"/>
    <w:rsid w:val="00B06EDF"/>
    <w:pPr>
      <w:tabs>
        <w:tab w:val="left" w:pos="1361"/>
      </w:tabs>
      <w:spacing w:before="60" w:after="60"/>
      <w:ind w:left="1361" w:hanging="340"/>
    </w:pPr>
  </w:style>
  <w:style w:type="paragraph" w:styleId="List5">
    <w:name w:val="List 5"/>
    <w:basedOn w:val="BodyText"/>
    <w:rsid w:val="00B06EDF"/>
    <w:pPr>
      <w:tabs>
        <w:tab w:val="left" w:pos="1701"/>
      </w:tabs>
      <w:spacing w:before="60" w:after="60"/>
      <w:ind w:left="1701" w:hanging="340"/>
    </w:pPr>
  </w:style>
  <w:style w:type="paragraph" w:styleId="ListBullet3">
    <w:name w:val="List Bullet 3"/>
    <w:basedOn w:val="List3"/>
    <w:rsid w:val="00B06EDF"/>
    <w:pPr>
      <w:numPr>
        <w:numId w:val="15"/>
      </w:numPr>
      <w:tabs>
        <w:tab w:val="clear" w:pos="1021"/>
      </w:tabs>
      <w:ind w:left="1037" w:hanging="357"/>
    </w:pPr>
  </w:style>
  <w:style w:type="paragraph" w:styleId="ListBullet4">
    <w:name w:val="List Bullet 4"/>
    <w:basedOn w:val="List4"/>
    <w:rsid w:val="00B06EDF"/>
    <w:pPr>
      <w:numPr>
        <w:numId w:val="3"/>
      </w:numPr>
    </w:pPr>
  </w:style>
  <w:style w:type="paragraph" w:styleId="ListBullet5">
    <w:name w:val="List Bullet 5"/>
    <w:basedOn w:val="List5"/>
    <w:rsid w:val="00B06EDF"/>
    <w:pPr>
      <w:numPr>
        <w:numId w:val="4"/>
      </w:numPr>
    </w:pPr>
  </w:style>
  <w:style w:type="paragraph" w:styleId="ListContinue2">
    <w:name w:val="List Continue 2"/>
    <w:basedOn w:val="List2"/>
    <w:rsid w:val="00B06EDF"/>
    <w:pPr>
      <w:ind w:firstLine="0"/>
    </w:pPr>
  </w:style>
  <w:style w:type="paragraph" w:styleId="ListContinue3">
    <w:name w:val="List Continue 3"/>
    <w:basedOn w:val="List3"/>
    <w:rsid w:val="00B06EDF"/>
    <w:pPr>
      <w:ind w:left="1021" w:firstLine="0"/>
    </w:pPr>
  </w:style>
  <w:style w:type="paragraph" w:styleId="ListContinue4">
    <w:name w:val="List Continue 4"/>
    <w:basedOn w:val="List4"/>
    <w:rsid w:val="00B06EDF"/>
    <w:pPr>
      <w:ind w:firstLine="0"/>
    </w:pPr>
  </w:style>
  <w:style w:type="paragraph" w:styleId="ListContinue5">
    <w:name w:val="List Continue 5"/>
    <w:basedOn w:val="List5"/>
    <w:rsid w:val="00B06EDF"/>
    <w:pPr>
      <w:ind w:firstLine="0"/>
    </w:pPr>
  </w:style>
  <w:style w:type="paragraph" w:styleId="ListNumber3">
    <w:name w:val="List Number 3"/>
    <w:basedOn w:val="List3"/>
    <w:rsid w:val="00B06EDF"/>
    <w:pPr>
      <w:numPr>
        <w:numId w:val="5"/>
      </w:numPr>
    </w:pPr>
  </w:style>
  <w:style w:type="paragraph" w:styleId="ListNumber4">
    <w:name w:val="List Number 4"/>
    <w:basedOn w:val="List4"/>
    <w:rsid w:val="00B06EDF"/>
    <w:pPr>
      <w:numPr>
        <w:numId w:val="6"/>
      </w:numPr>
    </w:pPr>
  </w:style>
  <w:style w:type="paragraph" w:styleId="ListNumber5">
    <w:name w:val="List Number 5"/>
    <w:basedOn w:val="List5"/>
    <w:rsid w:val="00B06EDF"/>
    <w:pPr>
      <w:numPr>
        <w:numId w:val="7"/>
      </w:numPr>
    </w:pPr>
  </w:style>
  <w:style w:type="paragraph" w:styleId="BlockText">
    <w:name w:val="Block Text"/>
    <w:basedOn w:val="Normal"/>
    <w:rsid w:val="00B06EDF"/>
    <w:pPr>
      <w:spacing w:after="120"/>
      <w:ind w:left="1440" w:right="1440"/>
    </w:pPr>
  </w:style>
  <w:style w:type="character" w:customStyle="1" w:styleId="Subscript">
    <w:name w:val="Subscript"/>
    <w:basedOn w:val="DefaultParagraphFont"/>
    <w:rsid w:val="00B06EDF"/>
    <w:rPr>
      <w:sz w:val="16"/>
      <w:vertAlign w:val="subscript"/>
    </w:rPr>
  </w:style>
  <w:style w:type="character" w:customStyle="1" w:styleId="Superscript">
    <w:name w:val="Superscript"/>
    <w:basedOn w:val="DefaultParagraphFont"/>
    <w:rsid w:val="00B06EDF"/>
    <w:rPr>
      <w:sz w:val="16"/>
      <w:vertAlign w:val="superscript"/>
    </w:rPr>
  </w:style>
  <w:style w:type="character" w:customStyle="1" w:styleId="Symbols">
    <w:name w:val="Symbols"/>
    <w:basedOn w:val="DefaultParagraphFont"/>
    <w:rsid w:val="00B06EDF"/>
    <w:rPr>
      <w:rFonts w:ascii="Symbol" w:hAnsi="Symbol"/>
    </w:rPr>
  </w:style>
  <w:style w:type="character" w:customStyle="1" w:styleId="MenuOptions">
    <w:name w:val="Menu Options"/>
    <w:basedOn w:val="DefaultParagraphFont"/>
    <w:rsid w:val="00B06EDF"/>
    <w:rPr>
      <w:rFonts w:ascii="Arial Narrow" w:hAnsi="Arial Narrow"/>
      <w:smallCaps/>
    </w:rPr>
  </w:style>
  <w:style w:type="character" w:customStyle="1" w:styleId="Buttons">
    <w:name w:val="Buttons"/>
    <w:basedOn w:val="DefaultParagraphFont"/>
    <w:rsid w:val="00B06EDF"/>
    <w:rPr>
      <w:b/>
    </w:rPr>
  </w:style>
  <w:style w:type="character" w:customStyle="1" w:styleId="Underlined">
    <w:name w:val="Underlined"/>
    <w:basedOn w:val="DefaultParagraphFont"/>
    <w:rsid w:val="00B06EDF"/>
    <w:rPr>
      <w:u w:val="single"/>
    </w:rPr>
  </w:style>
  <w:style w:type="paragraph" w:customStyle="1" w:styleId="TableBodyTextRight">
    <w:name w:val="Table Body Text Right"/>
    <w:basedOn w:val="TableBodyText"/>
    <w:rsid w:val="00B06EDF"/>
    <w:pPr>
      <w:widowControl w:val="0"/>
      <w:autoSpaceDE w:val="0"/>
      <w:autoSpaceDN w:val="0"/>
      <w:adjustRightInd w:val="0"/>
      <w:jc w:val="right"/>
    </w:pPr>
    <w:rPr>
      <w:rFonts w:cs="Arial"/>
      <w:szCs w:val="18"/>
    </w:rPr>
  </w:style>
  <w:style w:type="paragraph" w:customStyle="1" w:styleId="CopyrightText">
    <w:name w:val="Copyright Text"/>
    <w:basedOn w:val="BodyText"/>
    <w:rsid w:val="00B06EDF"/>
    <w:rPr>
      <w:sz w:val="18"/>
    </w:rPr>
  </w:style>
  <w:style w:type="paragraph" w:customStyle="1" w:styleId="BodySmallRight">
    <w:name w:val="Body Small Right"/>
    <w:basedOn w:val="BodyTextRight"/>
    <w:rsid w:val="00B06EDF"/>
    <w:rPr>
      <w:sz w:val="18"/>
      <w:szCs w:val="18"/>
    </w:rPr>
  </w:style>
  <w:style w:type="paragraph" w:customStyle="1" w:styleId="MarginEdition">
    <w:name w:val="Margin Edition"/>
    <w:basedOn w:val="MarginNote"/>
    <w:rsid w:val="00B06EDF"/>
    <w:pPr>
      <w:spacing w:before="0" w:after="0"/>
    </w:pPr>
    <w:rPr>
      <w:rFonts w:ascii="Times New Roman" w:hAnsi="Times New Roman"/>
      <w:color w:val="999999"/>
    </w:rPr>
  </w:style>
  <w:style w:type="paragraph" w:customStyle="1" w:styleId="Spacer">
    <w:name w:val="Spacer"/>
    <w:basedOn w:val="Normal"/>
    <w:rsid w:val="00B06EDF"/>
    <w:rPr>
      <w:sz w:val="2"/>
      <w:szCs w:val="2"/>
    </w:rPr>
  </w:style>
  <w:style w:type="character" w:customStyle="1" w:styleId="Small">
    <w:name w:val="Small"/>
    <w:basedOn w:val="DefaultParagraphFont"/>
    <w:rsid w:val="00B06EDF"/>
    <w:rPr>
      <w:sz w:val="16"/>
    </w:rPr>
  </w:style>
  <w:style w:type="paragraph" w:customStyle="1" w:styleId="WideTable">
    <w:name w:val="Wide Table"/>
    <w:basedOn w:val="Normal"/>
    <w:rsid w:val="00B06EDF"/>
    <w:pPr>
      <w:ind w:left="-1418"/>
    </w:pPr>
    <w:rPr>
      <w:sz w:val="2"/>
      <w:szCs w:val="2"/>
    </w:rPr>
  </w:style>
  <w:style w:type="character" w:styleId="PageNumber">
    <w:name w:val="page number"/>
    <w:basedOn w:val="DefaultParagraphFont"/>
    <w:rsid w:val="00B06EDF"/>
  </w:style>
  <w:style w:type="paragraph" w:styleId="Quote">
    <w:name w:val="Quote"/>
    <w:basedOn w:val="Heading1"/>
    <w:link w:val="QuoteChar"/>
    <w:qFormat/>
    <w:rsid w:val="00B06EDF"/>
    <w:rPr>
      <w:b w:val="0"/>
      <w:sz w:val="72"/>
      <w:szCs w:val="72"/>
      <w:lang w:val="en-NZ"/>
    </w:rPr>
  </w:style>
  <w:style w:type="character" w:customStyle="1" w:styleId="QuoteChar">
    <w:name w:val="Quote Char"/>
    <w:basedOn w:val="DefaultParagraphFont"/>
    <w:link w:val="Quote"/>
    <w:rsid w:val="00B06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EDF"/>
    <w:pPr>
      <w:pageBreakBefore/>
    </w:pPr>
  </w:style>
  <w:style w:type="paragraph" w:customStyle="1" w:styleId="Border">
    <w:name w:val="Border"/>
    <w:basedOn w:val="Normal"/>
    <w:qFormat/>
    <w:rsid w:val="00B06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EDF"/>
    <w:rPr>
      <w:b/>
      <w:bCs/>
      <w:i/>
      <w:iCs/>
      <w:color w:val="auto"/>
    </w:rPr>
  </w:style>
  <w:style w:type="paragraph" w:styleId="IntenseQuote">
    <w:name w:val="Intense Quote"/>
    <w:basedOn w:val="Normal"/>
    <w:next w:val="Normal"/>
    <w:link w:val="IntenseQuoteChar"/>
    <w:uiPriority w:val="30"/>
    <w:qFormat/>
    <w:rsid w:val="00B06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E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EDF"/>
    <w:rPr>
      <w:smallCaps/>
      <w:color w:val="auto"/>
      <w:u w:val="single"/>
    </w:rPr>
  </w:style>
  <w:style w:type="character" w:styleId="IntenseReference">
    <w:name w:val="Intense Reference"/>
    <w:basedOn w:val="DefaultParagraphFont"/>
    <w:uiPriority w:val="32"/>
    <w:qFormat/>
    <w:rsid w:val="00B06EDF"/>
    <w:rPr>
      <w:b/>
      <w:bCs/>
      <w:smallCaps/>
      <w:color w:val="auto"/>
      <w:spacing w:val="5"/>
      <w:u w:val="single"/>
    </w:rPr>
  </w:style>
  <w:style w:type="paragraph" w:customStyle="1" w:styleId="2ColumnHeading">
    <w:name w:val="2Column Heading"/>
    <w:basedOn w:val="BodyText"/>
    <w:qFormat/>
    <w:rsid w:val="00B06EDF"/>
    <w:pPr>
      <w:spacing w:after="60"/>
      <w:ind w:left="-2268"/>
    </w:pPr>
    <w:rPr>
      <w:b/>
    </w:rPr>
  </w:style>
  <w:style w:type="paragraph" w:customStyle="1" w:styleId="Heading1TOC">
    <w:name w:val="Heading1 TOC"/>
    <w:basedOn w:val="Normal"/>
    <w:qFormat/>
    <w:rsid w:val="00B06EDF"/>
    <w:pPr>
      <w:spacing w:before="240" w:after="120"/>
    </w:pPr>
    <w:rPr>
      <w:rFonts w:ascii="Times New Roman" w:hAnsi="Times New Roman"/>
      <w:b/>
      <w:sz w:val="32"/>
    </w:rPr>
  </w:style>
  <w:style w:type="paragraph" w:customStyle="1" w:styleId="Heading2TOC">
    <w:name w:val="Heading2 TOC"/>
    <w:basedOn w:val="Normal"/>
    <w:qFormat/>
    <w:rsid w:val="00B06EDF"/>
    <w:pPr>
      <w:spacing w:before="240" w:after="60"/>
    </w:pPr>
    <w:rPr>
      <w:rFonts w:ascii="Times New Roman" w:hAnsi="Times New Roman"/>
      <w:b/>
      <w:sz w:val="28"/>
    </w:rPr>
  </w:style>
  <w:style w:type="character" w:customStyle="1" w:styleId="BoldandItalics">
    <w:name w:val="Bold and Italics"/>
    <w:qFormat/>
    <w:rsid w:val="00B06EDF"/>
    <w:rPr>
      <w:b/>
      <w:i/>
      <w:u w:val="none"/>
    </w:rPr>
  </w:style>
  <w:style w:type="paragraph" w:styleId="BalloonText">
    <w:name w:val="Balloon Text"/>
    <w:basedOn w:val="Normal"/>
    <w:link w:val="BalloonTextChar"/>
    <w:rsid w:val="00B06EDF"/>
    <w:rPr>
      <w:rFonts w:ascii="Tahoma" w:hAnsi="Tahoma" w:cs="Tahoma"/>
      <w:sz w:val="16"/>
      <w:szCs w:val="16"/>
    </w:rPr>
  </w:style>
  <w:style w:type="character" w:customStyle="1" w:styleId="BalloonTextChar">
    <w:name w:val="Balloon Text Char"/>
    <w:basedOn w:val="DefaultParagraphFont"/>
    <w:link w:val="BalloonText"/>
    <w:rsid w:val="00B06E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E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E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4641</Characters>
  <Application>Microsoft Office Word</Application>
  <DocSecurity>0</DocSecurity>
  <Lines>113</Lines>
  <Paragraphs>66</Paragraphs>
  <ScaleCrop>false</ScaleCrop>
  <Company>Author-it Software Corporation Ltd.</Company>
  <LinksUpToDate>false</LinksUpToDate>
  <CharactersWithSpaces>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HLT50507 Diploma of Dental Technology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2012-05-27T05:58:00Z</dcterms:created>
  <dcterms:modified xsi:type="dcterms:W3CDTF">2012-05-27T05:58:00Z</dcterms:modified>
</cp:coreProperties>
</file>