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A3C" w:rsidP="00E64A3C">
      <w:pPr>
        <w:pStyle w:val="Title"/>
      </w:pPr>
      <w:r>
        <w:fldChar w:fldCharType="begin"/>
      </w:r>
      <w:r>
        <w:instrText xml:space="preserve"> TITLE   \* MERGEFORMAT </w:instrText>
      </w:r>
      <w:r>
        <w:fldChar w:fldCharType="separate"/>
      </w:r>
      <w:r>
        <w:t>HLT43512 Certificate IV in Optical Dispensing</w:t>
      </w:r>
      <w:r>
        <w:fldChar w:fldCharType="end"/>
      </w:r>
    </w:p>
    <w:p w:rsidR="00E64A3C" w:rsidP="00E64A3C">
      <w:pPr>
        <w:pStyle w:val="Version"/>
        <w:sectPr w:rsidSect="00C16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E67" w:rsidP="00C16E67">
      <w:pPr>
        <w:pStyle w:val="SuperHeading"/>
      </w:pPr>
      <w:r w:rsidRPr="00C16E67">
        <w:t>HLT43512 Certificate IV in Optical Dispensing</w:t>
      </w:r>
    </w:p>
    <w:p w:rsidR="00000000" w:rsidRPr="00C16E67" w:rsidP="00C16E67">
      <w:pPr>
        <w:pStyle w:val="Heading1"/>
      </w:pPr>
      <w:bookmarkStart w:id="1" w:name="O_450810"/>
      <w:bookmarkEnd w:id="1"/>
      <w:r w:rsidRPr="00C16E67">
        <w:t>Modification History</w:t>
      </w:r>
    </w:p>
    <w:tbl>
      <w:tblPr>
        <w:tblW w:w="0" w:type="auto"/>
        <w:tblCellMar>
          <w:left w:w="62" w:type="dxa"/>
          <w:right w:w="62" w:type="dxa"/>
        </w:tblCellMar>
        <w:tblLook w:val="0000"/>
      </w:tblPr>
      <w:tblGrid>
        <w:gridCol w:w="1554"/>
        <w:gridCol w:w="3746"/>
        <w:gridCol w:w="3896"/>
      </w:tblGrid>
      <w:tr w:rsidTr="00E64A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16E67" w:rsidP="00C16E67">
            <w:pPr>
              <w:pStyle w:val="BodyText"/>
            </w:pPr>
            <w:r w:rsidRPr="00C16E67">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16E67" w:rsidP="00C16E67">
            <w:pPr>
              <w:pStyle w:val="BodyText"/>
            </w:pPr>
            <w:r w:rsidRPr="00C16E67">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16E67">
            <w:pPr>
              <w:pStyle w:val="BodyText"/>
              <w:rPr>
                <w:lang w:val="en-NZ"/>
              </w:rPr>
            </w:pPr>
            <w:r w:rsidRPr="00C16E67">
              <w:rPr>
                <w:rStyle w:val="SpecialBold"/>
              </w:rPr>
              <w:t>Comments</w:t>
            </w:r>
          </w:p>
        </w:tc>
      </w:tr>
      <w:tr w:rsidTr="00E64A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67">
            <w:pPr>
              <w:pStyle w:val="BodyText"/>
              <w:rPr>
                <w:lang w:val="en-NZ"/>
              </w:rPr>
            </w:pPr>
            <w:r w:rsidRPr="00C16E67">
              <w:t>HLT43507 Certificate IV in Optical Dispensing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67" w:rsidP="00C16E67">
            <w:pPr>
              <w:pStyle w:val="BodyText"/>
            </w:pPr>
            <w:r w:rsidRPr="00C16E67">
              <w:t>HLT43512 Certificate IV in Optical Dispensing</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67" w:rsidP="00C16E67">
            <w:pPr>
              <w:pStyle w:val="BodyText"/>
            </w:pPr>
            <w:r w:rsidRPr="00C16E67">
              <w:t>Updated in V5 –</w:t>
            </w:r>
            <w:r w:rsidRPr="00C16E67">
              <w:t xml:space="preserve"> changes to number of core and elective units to comply with NQC packaging rules</w:t>
            </w:r>
          </w:p>
          <w:p w:rsidR="00000000" w:rsidRPr="00C16E67" w:rsidP="00C16E67">
            <w:pPr>
              <w:pStyle w:val="BodyText"/>
            </w:pPr>
            <w:r w:rsidRPr="00C16E67">
              <w:t>HLTWHS300A</w:t>
            </w:r>
            <w:r w:rsidRPr="00C16E67">
              <w:tab/>
              <w:t>Contribute to WHS processes changed from OHS to WHS unit</w:t>
            </w:r>
          </w:p>
        </w:tc>
      </w:tr>
    </w:tbl>
    <w:p w:rsidR="00E64A3C" w:rsidP="00C16E67">
      <w:pPr>
        <w:pStyle w:val="BodyText"/>
      </w:pPr>
    </w:p>
    <w:p w:rsidR="00E64A3C" w:rsidP="00C16E67">
      <w:pPr>
        <w:pStyle w:val="BodyText"/>
      </w:pPr>
    </w:p>
    <w:p w:rsidR="00000000" w:rsidRPr="00C16E67" w:rsidP="00C16E67">
      <w:pPr>
        <w:pStyle w:val="Heading1"/>
      </w:pPr>
      <w:bookmarkStart w:id="2" w:name="O_450802"/>
      <w:bookmarkEnd w:id="2"/>
      <w:r w:rsidRPr="00C16E67">
        <w:t>Description</w:t>
      </w:r>
    </w:p>
    <w:p w:rsidR="00000000" w:rsidRPr="00C16E67" w:rsidP="00C16E67">
      <w:pPr>
        <w:pStyle w:val="BodyText"/>
      </w:pPr>
      <w:r w:rsidRPr="00C16E67">
        <w:t xml:space="preserve">This qualification covers the skills and knowledge required by optical dispensers, to dispense and supply optical appliances as prescribed by optometrists and/or ophthalmologists in accordance with Australian Standards. </w:t>
      </w:r>
    </w:p>
    <w:p w:rsidR="00000000" w:rsidRPr="00C16E67" w:rsidP="00C16E67">
      <w:pPr>
        <w:pStyle w:val="BodyText"/>
      </w:pPr>
    </w:p>
    <w:p w:rsidR="00000000" w:rsidRPr="00C16E67" w:rsidP="00C16E67">
      <w:pPr>
        <w:pStyle w:val="BodyText"/>
      </w:pPr>
      <w:r w:rsidRPr="00C16E67">
        <w:t>The units of competency included i</w:t>
      </w:r>
      <w:r w:rsidRPr="00C16E67">
        <w:t>n this qualification contribute to the gaining of an optical dispenser's licence where this is required. Optical dispensers practice in a range of environments including optical dispensaries, optometric practices and laboratories. They may be self-employed</w:t>
      </w:r>
      <w:r w:rsidRPr="00C16E67">
        <w:t xml:space="preserve"> or employed by another optical dispenser, an optometrist, a major optical dispensing company or other retailers.</w:t>
      </w:r>
    </w:p>
    <w:p w:rsidR="00000000" w:rsidRPr="00C16E67" w:rsidP="00C16E67">
      <w:pPr>
        <w:pStyle w:val="BodyText"/>
      </w:pPr>
    </w:p>
    <w:p w:rsidR="00E64A3C" w:rsidP="00C16E67">
      <w:pPr>
        <w:pStyle w:val="BodyText"/>
      </w:pPr>
      <w:r w:rsidRPr="00C16E67">
        <w:t>This qualification is suited to Australian Apprenticeship pathways.</w:t>
      </w:r>
    </w:p>
    <w:p w:rsidR="00E64A3C" w:rsidP="00C16E67">
      <w:pPr>
        <w:pStyle w:val="BodyText"/>
      </w:pPr>
    </w:p>
    <w:p w:rsidR="00000000" w:rsidRPr="00C16E67" w:rsidP="00C16E67">
      <w:pPr>
        <w:pStyle w:val="Heading1"/>
      </w:pPr>
      <w:bookmarkStart w:id="3" w:name="O_450808"/>
      <w:bookmarkEnd w:id="3"/>
      <w:r w:rsidRPr="00C16E67">
        <w:t>Pathways Information</w:t>
      </w:r>
    </w:p>
    <w:p w:rsidR="00000000" w:rsidRPr="00C16E67" w:rsidP="00C16E67">
      <w:pPr>
        <w:pStyle w:val="BodyText"/>
      </w:pPr>
      <w:r w:rsidRPr="00C16E67">
        <w:t>Not Applicable</w:t>
      </w:r>
    </w:p>
    <w:p w:rsidR="00000000" w:rsidRPr="00C16E67" w:rsidP="00C16E67">
      <w:pPr>
        <w:pStyle w:val="AllowPageBreak"/>
      </w:pPr>
    </w:p>
    <w:p w:rsidR="00000000" w:rsidRPr="00C16E67" w:rsidP="00C16E67">
      <w:pPr>
        <w:pStyle w:val="Heading1"/>
      </w:pPr>
      <w:bookmarkStart w:id="4" w:name="O_450806"/>
      <w:bookmarkEnd w:id="4"/>
      <w:r w:rsidRPr="00C16E67">
        <w:t>Li</w:t>
      </w:r>
      <w:r w:rsidRPr="00C16E67">
        <w:t>censing/Regulatory Information</w:t>
      </w:r>
    </w:p>
    <w:p w:rsidR="00000000" w:rsidRPr="00C16E67" w:rsidP="00C16E67">
      <w:pPr>
        <w:pStyle w:val="BodyText"/>
      </w:pPr>
      <w:r w:rsidRPr="00C16E67">
        <w:t>Refer to Entry Requirements</w:t>
      </w:r>
    </w:p>
    <w:p w:rsidR="00000000" w:rsidRPr="00C16E67" w:rsidP="00C16E67">
      <w:pPr>
        <w:pStyle w:val="AllowPageBreak"/>
      </w:pPr>
    </w:p>
    <w:p w:rsidR="00000000" w:rsidRPr="00C16E67" w:rsidP="00C16E67">
      <w:pPr>
        <w:pStyle w:val="Heading1"/>
      </w:pPr>
      <w:bookmarkStart w:id="5" w:name="O_450804"/>
      <w:bookmarkEnd w:id="5"/>
      <w:r w:rsidRPr="00C16E67">
        <w:t>Entry Requirements</w:t>
      </w:r>
    </w:p>
    <w:p w:rsidR="00000000" w:rsidRPr="00C16E67" w:rsidP="00C16E67">
      <w:pPr>
        <w:pStyle w:val="BodyText"/>
      </w:pPr>
      <w:r w:rsidRPr="00C16E67">
        <w:rPr>
          <w:rStyle w:val="SpecialBold"/>
        </w:rPr>
        <w:t>Entry</w:t>
      </w:r>
      <w:r w:rsidRPr="00C16E67">
        <w:t>/</w:t>
      </w:r>
      <w:r w:rsidRPr="00C16E67">
        <w:rPr>
          <w:rStyle w:val="SpecialBold"/>
        </w:rPr>
        <w:t>licensing requirements</w:t>
      </w:r>
      <w:r w:rsidRPr="00C16E67">
        <w:t xml:space="preserve">: </w:t>
      </w:r>
    </w:p>
    <w:p w:rsidR="00000000" w:rsidRPr="00C16E67" w:rsidP="00C16E67">
      <w:pPr>
        <w:pStyle w:val="BodyText"/>
      </w:pPr>
      <w:r w:rsidRPr="00C16E67">
        <w:t>In some States/Territories:</w:t>
      </w:r>
    </w:p>
    <w:p w:rsidR="00000000" w:rsidRPr="00C16E67" w:rsidP="00C16E67">
      <w:pPr>
        <w:pStyle w:val="ListBullet"/>
      </w:pPr>
      <w:r w:rsidRPr="00C16E67">
        <w:t>Participants must have a licence to practise prior to placement in the workplace</w:t>
      </w:r>
    </w:p>
    <w:p w:rsidR="00000000" w:rsidRPr="00C16E67" w:rsidP="00C16E67">
      <w:pPr>
        <w:pStyle w:val="ListBullet"/>
      </w:pPr>
      <w:r w:rsidRPr="00C16E67">
        <w:t xml:space="preserve">Participants may need to undertake </w:t>
      </w:r>
      <w:r w:rsidRPr="00C16E67">
        <w:rPr>
          <w:rStyle w:val="Emphasis"/>
        </w:rPr>
        <w:t>HLTOPD402C Perform edging and fitting</w:t>
      </w:r>
      <w:r w:rsidRPr="00C16E67">
        <w:t xml:space="preserve"> in order to meet local licensing requirements</w:t>
      </w:r>
    </w:p>
    <w:p w:rsidR="00000000" w:rsidRPr="00C16E67" w:rsidP="00C16E67">
      <w:pPr>
        <w:pStyle w:val="BodyText"/>
      </w:pPr>
    </w:p>
    <w:p w:rsidR="00000000" w:rsidRPr="00C16E67" w:rsidP="00C16E67">
      <w:pPr>
        <w:pStyle w:val="BodyText"/>
      </w:pPr>
      <w:r w:rsidRPr="00C16E67">
        <w:t>Occupational titles for these workers may include:</w:t>
      </w:r>
    </w:p>
    <w:tbl>
      <w:tblPr>
        <w:tblW w:w="0" w:type="auto"/>
        <w:tblLayout w:type="fixed"/>
        <w:tblCellMar>
          <w:left w:w="62" w:type="dxa"/>
          <w:right w:w="62" w:type="dxa"/>
        </w:tblCellMar>
        <w:tblLook w:val="0000"/>
      </w:tblPr>
      <w:tblGrid>
        <w:gridCol w:w="4197"/>
        <w:gridCol w:w="4198"/>
      </w:tblGrid>
      <w:tr w:rsidTr="00E64A3C">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C16E67">
            <w:pPr>
              <w:pStyle w:val="ListBullet"/>
              <w:rPr>
                <w:lang w:val="en-NZ"/>
              </w:rPr>
            </w:pPr>
            <w:r w:rsidRPr="00C16E67">
              <w:t>Optical dispenser</w:t>
            </w:r>
          </w:p>
        </w:tc>
        <w:tc>
          <w:tcPr>
            <w:tcW w:w="4198" w:type="dxa"/>
            <w:tcBorders>
              <w:top w:val="nil"/>
              <w:left w:val="nil"/>
              <w:bottom w:val="nil"/>
              <w:right w:val="nil"/>
            </w:tcBorders>
            <w:tcMar>
              <w:top w:w="0" w:type="dxa"/>
              <w:left w:w="62" w:type="dxa"/>
              <w:bottom w:w="0" w:type="dxa"/>
              <w:right w:w="62" w:type="dxa"/>
            </w:tcMar>
          </w:tcPr>
          <w:p w:rsidR="00000000" w:rsidRPr="00C16E67" w:rsidP="00C16E67">
            <w:pPr>
              <w:pStyle w:val="ListBullet"/>
            </w:pPr>
            <w:r w:rsidRPr="00C16E67">
              <w:t>Dispensing optician (NZ)</w:t>
            </w:r>
          </w:p>
        </w:tc>
      </w:tr>
    </w:tbl>
    <w:p w:rsidR="00E64A3C" w:rsidP="00C16E67">
      <w:pPr>
        <w:pStyle w:val="BodyText"/>
      </w:pPr>
    </w:p>
    <w:p w:rsidR="00E64A3C" w:rsidP="00C16E67">
      <w:pPr>
        <w:pStyle w:val="BodyText"/>
      </w:pPr>
    </w:p>
    <w:p w:rsidR="00000000" w:rsidRPr="00C16E67" w:rsidP="00C16E67">
      <w:pPr>
        <w:pStyle w:val="Heading1"/>
      </w:pPr>
      <w:bookmarkStart w:id="6" w:name="O_450803"/>
      <w:bookmarkEnd w:id="6"/>
      <w:r w:rsidRPr="00C16E67">
        <w:t>Employability Skills Summary</w:t>
      </w:r>
    </w:p>
    <w:p w:rsidR="00000000" w:rsidRPr="00C16E67" w:rsidP="00C16E67">
      <w:pPr>
        <w:pStyle w:val="Heading4"/>
      </w:pPr>
      <w:r w:rsidRPr="00C16E67">
        <w:t>This qualification contains Employability Skills</w:t>
      </w:r>
    </w:p>
    <w:p w:rsidR="00000000" w:rsidRPr="00C16E67" w:rsidP="00C16E67">
      <w:pPr>
        <w:pStyle w:val="Heading1"/>
      </w:pPr>
      <w:bookmarkStart w:id="7" w:name="O_450807"/>
      <w:bookmarkEnd w:id="7"/>
      <w:r w:rsidRPr="00C16E67">
        <w:t>Packaging Rules</w:t>
      </w:r>
    </w:p>
    <w:tbl>
      <w:tblPr>
        <w:tblW w:w="0" w:type="auto"/>
        <w:tblLayout w:type="fixed"/>
        <w:tblCellMar>
          <w:left w:w="62" w:type="dxa"/>
          <w:right w:w="62" w:type="dxa"/>
        </w:tblCellMar>
        <w:tblLook w:val="0000"/>
      </w:tblPr>
      <w:tblGrid>
        <w:gridCol w:w="8522"/>
      </w:tblGrid>
      <w:tr w:rsidTr="00E64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E67" w:rsidP="00C16E67">
            <w:pPr>
              <w:pStyle w:val="BodyText"/>
            </w:pPr>
            <w:r w:rsidRPr="00C16E67">
              <w:rPr>
                <w:rStyle w:val="SpecialBold"/>
              </w:rPr>
              <w:t>PACKAGING RULES</w:t>
            </w:r>
          </w:p>
          <w:p w:rsidR="00000000" w:rsidRPr="00C16E67" w:rsidP="00C16E67">
            <w:pPr>
              <w:pStyle w:val="BodyText"/>
            </w:pPr>
            <w:r w:rsidRPr="00C16E67">
              <w:t>14 units of competency are required for award of this qualification, including:</w:t>
            </w:r>
          </w:p>
          <w:p w:rsidR="00000000" w:rsidRPr="00C16E67" w:rsidP="00C16E67">
            <w:pPr>
              <w:pStyle w:val="ListBullet"/>
            </w:pPr>
            <w:r w:rsidRPr="00C16E67">
              <w:t>9 core units</w:t>
            </w:r>
          </w:p>
          <w:p w:rsidR="00000000" w:rsidRPr="00C16E67" w:rsidP="00C16E67">
            <w:pPr>
              <w:pStyle w:val="ListBullet"/>
            </w:pPr>
            <w:r w:rsidRPr="00C16E67">
              <w:t xml:space="preserve">5 elective units </w:t>
            </w:r>
          </w:p>
          <w:p w:rsidR="00000000" w:rsidRPr="00C16E67" w:rsidP="00C16E67">
            <w:pPr>
              <w:pStyle w:val="BodyText"/>
            </w:pPr>
            <w:r w:rsidRPr="00C16E67">
              <w:t>A wide range of elective units is available, including:</w:t>
            </w:r>
          </w:p>
          <w:p w:rsidR="00000000" w:rsidRPr="00C16E67" w:rsidP="00C16E67">
            <w:pPr>
              <w:pStyle w:val="ListBullet2"/>
            </w:pPr>
            <w:r w:rsidRPr="00C16E67">
              <w:t>Group A electives which are recommended for culturally aware and respectful practice</w:t>
            </w:r>
          </w:p>
          <w:p w:rsidR="00000000" w:rsidRPr="00C16E67" w:rsidP="00C16E67">
            <w:pPr>
              <w:pStyle w:val="ListBullet2"/>
            </w:pPr>
            <w:r w:rsidRPr="00C16E67">
              <w:t>Other relevant electives listed below</w:t>
            </w:r>
          </w:p>
          <w:p w:rsidR="00000000" w:rsidRPr="00C16E67" w:rsidP="00C16E67">
            <w:pPr>
              <w:pStyle w:val="ListBullet2"/>
            </w:pPr>
            <w:r w:rsidRPr="00C16E67">
              <w:t>Units of competency to address workplace requirements and packaged at the le</w:t>
            </w:r>
            <w:r w:rsidRPr="00C16E67">
              <w:t>vel of this qualification or higher in Health and/or Community Services Training Packages</w:t>
            </w:r>
          </w:p>
          <w:p w:rsidR="00000000" w:rsidRPr="00C16E67" w:rsidP="00C16E67">
            <w:pPr>
              <w:pStyle w:val="ListBullet2"/>
            </w:pPr>
            <w:r w:rsidRPr="00C16E67">
              <w:t>Where appropriate, to address workplace requirements, up to 2 units of competency packaged at the level of this qualification or higher in other relevant Training Pac</w:t>
            </w:r>
            <w:r w:rsidRPr="00C16E67">
              <w:t xml:space="preserve">kages  </w:t>
            </w:r>
          </w:p>
        </w:tc>
      </w:tr>
    </w:tbl>
    <w:p w:rsidR="00000000" w:rsidRPr="00C16E67" w:rsidP="00C16E67">
      <w:pPr>
        <w:pStyle w:val="BodyText"/>
      </w:pPr>
      <w:r w:rsidRPr="00C16E67">
        <w:rPr>
          <w:rStyle w:val="SpecialBold"/>
        </w:rPr>
        <w:t>Core units</w:t>
      </w:r>
    </w:p>
    <w:p w:rsidR="00000000" w:rsidRPr="00C16E67" w:rsidP="00C16E67">
      <w:pPr>
        <w:pStyle w:val="BodyText"/>
      </w:pPr>
      <w:r w:rsidRPr="00C16E67">
        <w:t>HLTCOM301C Provide specific information to clients</w:t>
      </w:r>
    </w:p>
    <w:p w:rsidR="00000000" w:rsidRPr="00C16E67" w:rsidP="00C16E67">
      <w:pPr>
        <w:pStyle w:val="BodyText"/>
      </w:pPr>
      <w:r w:rsidRPr="00C16E67">
        <w:t>HLTCOM405D Administer a practice</w:t>
      </w:r>
    </w:p>
    <w:p w:rsidR="00000000" w:rsidRPr="00C16E67" w:rsidP="00C16E67">
      <w:pPr>
        <w:pStyle w:val="BodyText"/>
      </w:pPr>
      <w:r w:rsidRPr="00C16E67">
        <w:t>HLTHIR301B Communicate and work effectively in health</w:t>
      </w:r>
    </w:p>
    <w:p w:rsidR="00000000" w:rsidRPr="00C16E67" w:rsidP="00C16E67">
      <w:pPr>
        <w:pStyle w:val="BodyText"/>
      </w:pPr>
      <w:r w:rsidRPr="00C16E67">
        <w:t>HLTWHS300A Contribute to WHS processes</w:t>
      </w:r>
    </w:p>
    <w:p w:rsidR="00000000" w:rsidRPr="00C16E67" w:rsidP="00C16E67">
      <w:pPr>
        <w:pStyle w:val="BodyText"/>
      </w:pPr>
      <w:r w:rsidRPr="00C16E67">
        <w:t>HLTOPD401C Work effectively in the ophthalmic industry</w:t>
      </w:r>
    </w:p>
    <w:p w:rsidR="00000000" w:rsidRPr="00C16E67" w:rsidP="00C16E67">
      <w:pPr>
        <w:pStyle w:val="BodyText"/>
      </w:pPr>
      <w:r w:rsidRPr="00C16E67">
        <w:t xml:space="preserve">HLTOPD403C Dispense optical appliances and services(Note pre-requisite: </w:t>
      </w:r>
      <w:r w:rsidRPr="00C16E67">
        <w:rPr>
          <w:rStyle w:val="Emphasis"/>
        </w:rPr>
        <w:t>HLTOPD401C</w:t>
      </w:r>
      <w:r w:rsidRPr="00C16E67">
        <w:t>)</w:t>
      </w:r>
    </w:p>
    <w:p w:rsidR="00000000" w:rsidRPr="00C16E67" w:rsidP="00C16E67">
      <w:pPr>
        <w:pStyle w:val="BodyText"/>
      </w:pPr>
      <w:r w:rsidRPr="00C16E67">
        <w:t>HLTOPD404C</w:t>
      </w:r>
      <w:r w:rsidRPr="00C16E67">
        <w:tab/>
        <w:t>Dispense atypical prescriptions (Note pre-requs: HLTOPD401C, HLTOPD403C)</w:t>
      </w:r>
    </w:p>
    <w:p w:rsidR="00000000" w:rsidRPr="00C16E67" w:rsidP="00C16E67">
      <w:pPr>
        <w:pStyle w:val="BodyText"/>
      </w:pPr>
      <w:r w:rsidRPr="00C16E67">
        <w:t>HLTOPD407C</w:t>
      </w:r>
      <w:r w:rsidRPr="00C16E67">
        <w:tab/>
        <w:t xml:space="preserve">Perform workshop skills and place orders (Note pre-requisite: </w:t>
      </w:r>
      <w:r w:rsidRPr="00C16E67">
        <w:rPr>
          <w:rStyle w:val="Emphasis"/>
        </w:rPr>
        <w:t>HLTOPD401C</w:t>
      </w:r>
      <w:r w:rsidRPr="00C16E67">
        <w:t>)</w:t>
      </w:r>
    </w:p>
    <w:p w:rsidR="00000000" w:rsidRPr="00C16E67" w:rsidP="00C16E67">
      <w:pPr>
        <w:pStyle w:val="BodyText"/>
      </w:pPr>
      <w:r w:rsidRPr="00C16E67">
        <w:t>SIR</w:t>
      </w:r>
      <w:r w:rsidRPr="00C16E67">
        <w:t>XSLS001A</w:t>
      </w:r>
      <w:r w:rsidRPr="00C16E67">
        <w:tab/>
        <w:t>Sell products and services</w:t>
      </w:r>
    </w:p>
    <w:p w:rsidR="00000000" w:rsidRPr="00C16E67" w:rsidP="00C16E67">
      <w:pPr>
        <w:pStyle w:val="BodyText"/>
      </w:pPr>
    </w:p>
    <w:p w:rsidR="00000000" w:rsidRPr="00C16E67" w:rsidP="00C16E67">
      <w:pPr>
        <w:pStyle w:val="BodyText"/>
      </w:pPr>
      <w:r w:rsidRPr="00C16E67">
        <w:rPr>
          <w:rStyle w:val="SpecialBold"/>
        </w:rPr>
        <w:t>The importance of culturally aware and respectful practice</w:t>
      </w:r>
    </w:p>
    <w:p w:rsidR="00000000" w:rsidRPr="00C16E67" w:rsidP="00C16E67">
      <w:pPr>
        <w:pStyle w:val="BodyText"/>
      </w:pPr>
      <w:r w:rsidRPr="00C16E67">
        <w:t>All workers undertaking work in health need foundation knowledge to inform their work with Aboriginal and/or Torres Strait Islander clients and co-workers and w</w:t>
      </w:r>
      <w:r w:rsidRPr="00C16E67">
        <w:t>ith clients and co-workers from culturally and linguistically diverse backgrounds. This foundation must be provided and assessed as part of a holistic approach to delivery and assessment of this qualification. Specific guidelines for assessment of this asp</w:t>
      </w:r>
      <w:r w:rsidRPr="00C16E67">
        <w:t>ect of competency are provided in the Assessment Guidelines for the Health Training Package.</w:t>
      </w:r>
    </w:p>
    <w:p w:rsidR="00000000" w:rsidRPr="00C16E67" w:rsidP="00C16E67">
      <w:pPr>
        <w:pStyle w:val="BodyText"/>
      </w:pPr>
      <w:r w:rsidRPr="00C16E67">
        <w:rPr>
          <w:rStyle w:val="SpecialBold"/>
        </w:rPr>
        <w:t>Group A electives</w:t>
      </w:r>
      <w:r w:rsidRPr="00C16E67">
        <w:t xml:space="preserve"> - </w:t>
      </w:r>
      <w:r w:rsidRPr="00C16E67">
        <w:rPr>
          <w:rStyle w:val="SpecialBold"/>
        </w:rPr>
        <w:t>recommended for culturally aware and respectful practice</w:t>
      </w:r>
    </w:p>
    <w:p w:rsidR="00000000" w:rsidRPr="00C16E67" w:rsidP="00C16E67">
      <w:pPr>
        <w:pStyle w:val="BodyText"/>
      </w:pPr>
      <w:r w:rsidRPr="00C16E67">
        <w:t>Where work involves a specific focus on Aboriginal and/or Torres Strait Islander and/o</w:t>
      </w:r>
      <w:r w:rsidRPr="00C16E67">
        <w:t>r culturally diverse clients or communities, one or both of the following electives is recommended:</w:t>
      </w:r>
    </w:p>
    <w:p w:rsidR="00000000" w:rsidRPr="00C16E67" w:rsidP="00C16E67">
      <w:pPr>
        <w:pStyle w:val="BodyText"/>
      </w:pPr>
      <w:r w:rsidRPr="00C16E67">
        <w:t>HLTHIR403C Work effectively with culturally diverse clients and co-workers</w:t>
      </w:r>
    </w:p>
    <w:p w:rsidR="00000000" w:rsidRPr="00C16E67" w:rsidP="00C16E67">
      <w:pPr>
        <w:pStyle w:val="BodyText"/>
      </w:pPr>
      <w:r w:rsidRPr="00C16E67">
        <w:t>HLTHIR404D Work effectively with Aboriginal and/or Torres Strait Islander people</w:t>
      </w:r>
    </w:p>
    <w:p w:rsidR="00000000" w:rsidRPr="00C16E67" w:rsidP="00C16E67">
      <w:pPr>
        <w:pStyle w:val="BodyText"/>
      </w:pPr>
    </w:p>
    <w:p w:rsidR="00000000" w:rsidRPr="00C16E67" w:rsidP="00C16E67">
      <w:pPr>
        <w:pStyle w:val="BodyText"/>
      </w:pPr>
      <w:r w:rsidRPr="00C16E67">
        <w:rPr>
          <w:rStyle w:val="SpecialBold"/>
        </w:rPr>
        <w:t>Other relevant electives</w:t>
      </w:r>
    </w:p>
    <w:p w:rsidR="00000000" w:rsidRPr="00C16E67" w:rsidP="00C16E67">
      <w:pPr>
        <w:pStyle w:val="BodyText"/>
      </w:pPr>
      <w:r w:rsidRPr="00C16E67">
        <w:t>Other electives are to be selected in line with the specified Packaging Rules. The following electives may facilitate selection. Employers may specify that certain electives are required to address specific workplace needs.</w:t>
      </w:r>
    </w:p>
    <w:p w:rsidR="00000000" w:rsidRPr="00C16E67" w:rsidP="00C16E67">
      <w:pPr>
        <w:pStyle w:val="BodyText"/>
      </w:pPr>
      <w:r w:rsidRPr="00C16E67">
        <w:t>BSBCUS</w:t>
      </w:r>
      <w:r w:rsidRPr="00C16E67">
        <w:t>301B Deliver and monitor a service to customers</w:t>
      </w:r>
    </w:p>
    <w:p w:rsidR="00000000" w:rsidRPr="00C16E67" w:rsidP="00C16E67">
      <w:pPr>
        <w:pStyle w:val="BodyText"/>
      </w:pPr>
      <w:r w:rsidRPr="00C16E67">
        <w:t>or</w:t>
      </w:r>
    </w:p>
    <w:p w:rsidR="00000000" w:rsidRPr="00C16E67" w:rsidP="00C16E67">
      <w:pPr>
        <w:pStyle w:val="BodyText"/>
      </w:pPr>
      <w:r w:rsidRPr="00C16E67">
        <w:t>CHCCS311C Deliver and monitor services to clients</w:t>
      </w:r>
    </w:p>
    <w:p w:rsidR="00000000" w:rsidRPr="00C16E67" w:rsidP="00C16E67">
      <w:pPr>
        <w:pStyle w:val="BodyText"/>
      </w:pPr>
      <w:r w:rsidRPr="00C16E67">
        <w:t>BSBWOR301B Organise personal work priorities and development</w:t>
      </w:r>
    </w:p>
    <w:p w:rsidR="00000000" w:rsidRPr="00C16E67" w:rsidP="00C16E67">
      <w:pPr>
        <w:pStyle w:val="BodyText"/>
      </w:pPr>
      <w:r w:rsidRPr="00C16E67">
        <w:t>BSBWOR401A Establish effective workplace relationships</w:t>
      </w:r>
    </w:p>
    <w:p w:rsidR="00000000" w:rsidRPr="00C16E67" w:rsidP="00C16E67">
      <w:pPr>
        <w:pStyle w:val="BodyText"/>
      </w:pPr>
      <w:r w:rsidRPr="00C16E67">
        <w:t>BSBWOR402A Promote team effectiveness</w:t>
      </w:r>
    </w:p>
    <w:p w:rsidR="00000000" w:rsidRPr="00C16E67" w:rsidP="00C16E67">
      <w:pPr>
        <w:pStyle w:val="BodyText"/>
      </w:pPr>
      <w:r w:rsidRPr="00C16E67">
        <w:t>CHCORG607C Manage workplace issues</w:t>
      </w:r>
    </w:p>
    <w:p w:rsidR="00000000" w:rsidRPr="00C16E67" w:rsidP="00C16E67">
      <w:pPr>
        <w:pStyle w:val="BodyText"/>
      </w:pPr>
      <w:r w:rsidRPr="00C16E67">
        <w:t>HLTCOM503D Manage a practice</w:t>
      </w:r>
    </w:p>
    <w:p w:rsidR="00000000" w:rsidRPr="00C16E67" w:rsidP="00C16E67">
      <w:pPr>
        <w:pStyle w:val="BodyText"/>
      </w:pPr>
      <w:r w:rsidRPr="00C16E67">
        <w:t>HLTCSD306D Respond effectively to behaviours of concern</w:t>
      </w:r>
    </w:p>
    <w:p w:rsidR="00000000" w:rsidRPr="00C16E67" w:rsidP="00C16E67">
      <w:pPr>
        <w:pStyle w:val="BodyText"/>
      </w:pPr>
      <w:r w:rsidRPr="00C16E67">
        <w:t>HLTHIR505D Provide leadership in promoting effective work practices in health</w:t>
      </w:r>
    </w:p>
    <w:p w:rsidR="00000000" w:rsidRPr="00C16E67" w:rsidP="00C16E67">
      <w:pPr>
        <w:pStyle w:val="BodyText"/>
      </w:pPr>
      <w:r w:rsidRPr="00C16E67">
        <w:t>HLTIN301C Comply with infection control policies and proce</w:t>
      </w:r>
      <w:r w:rsidRPr="00C16E67">
        <w:t>dures</w:t>
      </w:r>
    </w:p>
    <w:p w:rsidR="00000000" w:rsidRPr="00C16E67" w:rsidP="00C16E67">
      <w:pPr>
        <w:pStyle w:val="BodyText"/>
      </w:pPr>
      <w:r w:rsidRPr="00C16E67">
        <w:t>HLTWHS401A Maintain workplace WHS processes</w:t>
      </w:r>
    </w:p>
    <w:p w:rsidR="00000000" w:rsidRPr="00C16E67" w:rsidP="00C16E67">
      <w:pPr>
        <w:pStyle w:val="BodyText"/>
      </w:pPr>
      <w:r w:rsidRPr="00C16E67">
        <w:t>HLTOPD402C Perform edging and fitting</w:t>
      </w:r>
    </w:p>
    <w:p w:rsidR="00E64A3C" w:rsidP="00C16E67">
      <w:pPr>
        <w:pStyle w:val="BodyText"/>
      </w:pPr>
      <w:r w:rsidRPr="00C16E67">
        <w:t>HLTOPD405C Market and promote optical products and services</w:t>
      </w:r>
    </w:p>
    <w:p w:rsidR="00E64A3C" w:rsidP="00C16E67">
      <w:pPr>
        <w:pStyle w:val="BodyText"/>
      </w:pPr>
    </w:p>
    <w:p w:rsidR="00000000" w:rsidRPr="00C16E67" w:rsidP="00C16E67"/>
    <w:sectPr w:rsidSect="00C16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A3C" w:rsidP="00E64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3C" w:rsidP="00C16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4A3C" w:rsidP="00C16E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64A3C" w:rsidP="00C16E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A3C" w:rsidP="00E64A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3C" w:rsidP="00C16E67">
    <w:pPr>
      <w:pStyle w:val="Header"/>
      <w:framePr w:wrap="around"/>
    </w:pPr>
    <w:r>
      <w:fldChar w:fldCharType="begin"/>
    </w:r>
    <w:r>
      <w:instrText xml:space="preserve"> TITLE   \* MERGEFORMAT </w:instrText>
    </w:r>
    <w:r>
      <w:fldChar w:fldCharType="separate"/>
    </w:r>
    <w:r>
      <w:t>HLT43512 Certificate IV in Optical Dispensing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4A3C" w:rsidP="00C16E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29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A8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01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E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6E67"/>
    <w:pPr>
      <w:spacing w:before="360" w:after="60"/>
      <w:outlineLvl w:val="0"/>
    </w:pPr>
    <w:rPr>
      <w:sz w:val="32"/>
    </w:rPr>
  </w:style>
  <w:style w:type="paragraph" w:styleId="Heading2">
    <w:name w:val="heading 2"/>
    <w:basedOn w:val="HeadingBase"/>
    <w:next w:val="BodyText"/>
    <w:link w:val="Heading2Char"/>
    <w:qFormat/>
    <w:rsid w:val="00C16E67"/>
    <w:pPr>
      <w:keepLines/>
      <w:spacing w:before="240" w:after="120"/>
      <w:outlineLvl w:val="1"/>
    </w:pPr>
    <w:rPr>
      <w:sz w:val="28"/>
      <w:szCs w:val="40"/>
    </w:rPr>
  </w:style>
  <w:style w:type="paragraph" w:styleId="Heading3">
    <w:name w:val="heading 3"/>
    <w:basedOn w:val="HeadingBase"/>
    <w:next w:val="BodyText"/>
    <w:link w:val="Heading3Char"/>
    <w:qFormat/>
    <w:rsid w:val="00C16E67"/>
    <w:pPr>
      <w:spacing w:before="180" w:after="120"/>
      <w:outlineLvl w:val="2"/>
    </w:pPr>
    <w:rPr>
      <w:spacing w:val="-10"/>
      <w:kern w:val="32"/>
    </w:rPr>
  </w:style>
  <w:style w:type="paragraph" w:styleId="Heading4">
    <w:name w:val="heading 4"/>
    <w:basedOn w:val="HeadingBase"/>
    <w:next w:val="BodyText"/>
    <w:link w:val="Heading4Char"/>
    <w:qFormat/>
    <w:rsid w:val="00C16E67"/>
    <w:pPr>
      <w:spacing w:before="160" w:after="120"/>
      <w:outlineLvl w:val="3"/>
    </w:pPr>
    <w:rPr>
      <w:sz w:val="22"/>
    </w:rPr>
  </w:style>
  <w:style w:type="paragraph" w:styleId="Heading5">
    <w:name w:val="heading 5"/>
    <w:basedOn w:val="HeadingBase"/>
    <w:next w:val="Normal"/>
    <w:link w:val="Heading5Char"/>
    <w:qFormat/>
    <w:rsid w:val="00C16E67"/>
    <w:pPr>
      <w:spacing w:before="80"/>
      <w:outlineLvl w:val="4"/>
    </w:pPr>
    <w:rPr>
      <w:color w:val="918585"/>
      <w:sz w:val="20"/>
    </w:rPr>
  </w:style>
  <w:style w:type="paragraph" w:styleId="Heading6">
    <w:name w:val="heading 6"/>
    <w:basedOn w:val="HeadingBase"/>
    <w:next w:val="Normal"/>
    <w:link w:val="Heading6Char"/>
    <w:qFormat/>
    <w:rsid w:val="00C16E67"/>
    <w:pPr>
      <w:spacing w:before="60"/>
      <w:outlineLvl w:val="5"/>
    </w:pPr>
    <w:rPr>
      <w:color w:val="918585"/>
      <w:sz w:val="20"/>
    </w:rPr>
  </w:style>
  <w:style w:type="paragraph" w:styleId="Heading7">
    <w:name w:val="heading 7"/>
    <w:basedOn w:val="Normal"/>
    <w:next w:val="Normal"/>
    <w:link w:val="Heading7Char"/>
    <w:qFormat/>
    <w:rsid w:val="00C16E67"/>
    <w:pPr>
      <w:ind w:left="720"/>
      <w:outlineLvl w:val="6"/>
    </w:pPr>
    <w:rPr>
      <w:i/>
    </w:rPr>
  </w:style>
  <w:style w:type="paragraph" w:styleId="Heading8">
    <w:name w:val="heading 8"/>
    <w:basedOn w:val="Normal"/>
    <w:next w:val="Normal"/>
    <w:link w:val="Heading8Char"/>
    <w:qFormat/>
    <w:rsid w:val="00C16E67"/>
    <w:pPr>
      <w:ind w:left="720"/>
      <w:outlineLvl w:val="7"/>
    </w:pPr>
    <w:rPr>
      <w:i/>
    </w:rPr>
  </w:style>
  <w:style w:type="paragraph" w:styleId="Heading9">
    <w:name w:val="heading 9"/>
    <w:basedOn w:val="Normal"/>
    <w:next w:val="Normal"/>
    <w:link w:val="Heading9Char"/>
    <w:qFormat/>
    <w:rsid w:val="00C16E67"/>
    <w:pPr>
      <w:ind w:left="720"/>
      <w:outlineLvl w:val="8"/>
    </w:pPr>
    <w:rPr>
      <w:i/>
    </w:rPr>
  </w:style>
  <w:style w:type="character" w:default="1" w:styleId="DefaultParagraphFont">
    <w:name w:val="Default Paragraph Font"/>
    <w:uiPriority w:val="1"/>
    <w:unhideWhenUsed/>
    <w:rsid w:val="00C16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E67"/>
  </w:style>
  <w:style w:type="character" w:customStyle="1" w:styleId="Heading1Char">
    <w:name w:val="Heading 1 Char"/>
    <w:basedOn w:val="DefaultParagraphFont"/>
    <w:link w:val="Heading1"/>
    <w:rsid w:val="00C16E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6E67"/>
    <w:rPr>
      <w:rFonts w:ascii="Times New Roman" w:eastAsia="Times New Roman" w:hAnsi="Times New Roman" w:cs="Times New Roman"/>
      <w:b/>
      <w:szCs w:val="20"/>
      <w:lang w:eastAsia="en-US"/>
    </w:rPr>
  </w:style>
  <w:style w:type="paragraph" w:styleId="BodyText">
    <w:name w:val="Body Text"/>
    <w:basedOn w:val="Normal"/>
    <w:link w:val="BodyTextChar"/>
    <w:rsid w:val="00C16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E67"/>
    <w:rPr>
      <w:rFonts w:ascii="Times New Roman" w:eastAsia="Times New Roman" w:hAnsi="Times New Roman" w:cs="Times New Roman"/>
      <w:sz w:val="24"/>
      <w:lang w:val="en-US" w:eastAsia="en-US"/>
    </w:rPr>
  </w:style>
  <w:style w:type="paragraph" w:styleId="Footer">
    <w:name w:val="footer"/>
    <w:basedOn w:val="Normal"/>
    <w:link w:val="FooterChar"/>
    <w:rsid w:val="00C16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E67"/>
    <w:rPr>
      <w:rFonts w:ascii="Times New Roman" w:eastAsia="Times New Roman" w:hAnsi="Times New Roman" w:cs="Times New Roman"/>
      <w:sz w:val="16"/>
      <w:lang w:val="en-US" w:eastAsia="en-US"/>
    </w:rPr>
  </w:style>
  <w:style w:type="paragraph" w:styleId="ListBullet">
    <w:name w:val="List Bullet"/>
    <w:basedOn w:val="List"/>
    <w:rsid w:val="00C16E67"/>
    <w:pPr>
      <w:numPr>
        <w:numId w:val="13"/>
      </w:numPr>
      <w:tabs>
        <w:tab w:val="clear" w:pos="340"/>
      </w:tabs>
      <w:spacing w:before="40" w:after="40"/>
    </w:pPr>
  </w:style>
  <w:style w:type="character" w:customStyle="1" w:styleId="SpecialBold">
    <w:name w:val="Special Bold"/>
    <w:basedOn w:val="DefaultParagraphFont"/>
    <w:rsid w:val="00C16E67"/>
    <w:rPr>
      <w:b/>
      <w:spacing w:val="0"/>
    </w:rPr>
  </w:style>
  <w:style w:type="paragraph" w:styleId="ListBullet2">
    <w:name w:val="List Bullet 2"/>
    <w:basedOn w:val="List2"/>
    <w:rsid w:val="00C16E67"/>
    <w:pPr>
      <w:numPr>
        <w:numId w:val="14"/>
      </w:numPr>
      <w:tabs>
        <w:tab w:val="clear" w:pos="680"/>
      </w:tabs>
    </w:pPr>
  </w:style>
  <w:style w:type="paragraph" w:styleId="Header">
    <w:name w:val="header"/>
    <w:basedOn w:val="Normal"/>
    <w:link w:val="HeaderChar"/>
    <w:rsid w:val="00C16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E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6E67"/>
    <w:rPr>
      <w:i/>
    </w:rPr>
  </w:style>
  <w:style w:type="paragraph" w:customStyle="1" w:styleId="SuperHeading">
    <w:name w:val="SuperHeading"/>
    <w:basedOn w:val="Normal"/>
    <w:rsid w:val="00C16E67"/>
    <w:pPr>
      <w:spacing w:before="240" w:after="120"/>
      <w:outlineLvl w:val="0"/>
    </w:pPr>
    <w:rPr>
      <w:rFonts w:ascii="Times New Roman" w:hAnsi="Times New Roman"/>
      <w:b/>
      <w:sz w:val="28"/>
    </w:rPr>
  </w:style>
  <w:style w:type="paragraph" w:customStyle="1" w:styleId="AllowPageBreak">
    <w:name w:val="AllowPageBreak"/>
    <w:rsid w:val="00C16E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E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6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E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6E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6E67"/>
    <w:rPr>
      <w:rFonts w:ascii="Courier New" w:eastAsia="Times New Roman" w:hAnsi="Courier New" w:cs="Times New Roman"/>
      <w:i/>
      <w:szCs w:val="20"/>
      <w:lang w:val="en-US" w:eastAsia="en-US"/>
    </w:rPr>
  </w:style>
  <w:style w:type="paragraph" w:customStyle="1" w:styleId="HeadingBase">
    <w:name w:val="Heading Base"/>
    <w:rsid w:val="00C16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E67"/>
    <w:pPr>
      <w:tabs>
        <w:tab w:val="right" w:leader="dot" w:pos="9072"/>
      </w:tabs>
      <w:ind w:left="567"/>
    </w:pPr>
    <w:rPr>
      <w:szCs w:val="22"/>
    </w:rPr>
  </w:style>
  <w:style w:type="paragraph" w:customStyle="1" w:styleId="TOCBase">
    <w:name w:val="TOC Base"/>
    <w:rsid w:val="00C16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E67"/>
    <w:pPr>
      <w:tabs>
        <w:tab w:val="right" w:leader="dot" w:pos="9072"/>
      </w:tabs>
      <w:spacing w:before="40" w:after="40"/>
      <w:ind w:left="284"/>
    </w:pPr>
    <w:rPr>
      <w:rFonts w:ascii="Times New Roman" w:hAnsi="Times New Roman"/>
    </w:rPr>
  </w:style>
  <w:style w:type="paragraph" w:styleId="TOC1">
    <w:name w:val="toc 1"/>
    <w:basedOn w:val="TOCBase"/>
    <w:next w:val="Normal"/>
    <w:rsid w:val="00C16E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E67"/>
    <w:pPr>
      <w:spacing w:before="5040"/>
      <w:jc w:val="center"/>
    </w:pPr>
    <w:rPr>
      <w:sz w:val="48"/>
      <w:szCs w:val="72"/>
      <w:lang w:val="en-US"/>
    </w:rPr>
  </w:style>
  <w:style w:type="character" w:customStyle="1" w:styleId="TitleChar">
    <w:name w:val="Title Char"/>
    <w:basedOn w:val="DefaultParagraphFont"/>
    <w:link w:val="Title"/>
    <w:rsid w:val="00C16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E67"/>
    <w:pPr>
      <w:tabs>
        <w:tab w:val="left" w:pos="3600"/>
        <w:tab w:val="left" w:pos="3958"/>
      </w:tabs>
    </w:pPr>
  </w:style>
  <w:style w:type="paragraph" w:styleId="List">
    <w:name w:val="List"/>
    <w:basedOn w:val="BodyText"/>
    <w:next w:val="BodyText"/>
    <w:rsid w:val="00C16E67"/>
    <w:pPr>
      <w:tabs>
        <w:tab w:val="left" w:pos="340"/>
      </w:tabs>
      <w:spacing w:before="60" w:after="60"/>
      <w:ind w:left="340" w:hanging="340"/>
    </w:pPr>
  </w:style>
  <w:style w:type="paragraph" w:customStyle="1" w:styleId="Note">
    <w:name w:val="Note"/>
    <w:basedOn w:val="BodyText"/>
    <w:rsid w:val="00C16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E67"/>
    <w:pPr>
      <w:framePr w:wrap="auto" w:hAnchor="text" w:y="6049"/>
    </w:pPr>
    <w:rPr>
      <w:color w:val="000000"/>
      <w:sz w:val="40"/>
    </w:rPr>
  </w:style>
  <w:style w:type="paragraph" w:customStyle="1" w:styleId="TOCTitle">
    <w:name w:val="TOCTitle"/>
    <w:basedOn w:val="Heading1"/>
    <w:rsid w:val="00C16E67"/>
    <w:pPr>
      <w:spacing w:after="240"/>
      <w:jc w:val="center"/>
      <w:outlineLvl w:val="9"/>
    </w:pPr>
    <w:rPr>
      <w:caps/>
    </w:rPr>
  </w:style>
  <w:style w:type="paragraph" w:customStyle="1" w:styleId="Version">
    <w:name w:val="Version"/>
    <w:rsid w:val="00C16E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E67"/>
    <w:pPr>
      <w:keepNext w:val="0"/>
      <w:tabs>
        <w:tab w:val="right" w:pos="4176"/>
      </w:tabs>
      <w:ind w:left="198" w:hanging="198"/>
    </w:pPr>
    <w:rPr>
      <w:rFonts w:ascii="Garamond" w:hAnsi="Garamond"/>
    </w:rPr>
  </w:style>
  <w:style w:type="paragraph" w:styleId="IndexHeading">
    <w:name w:val="index heading"/>
    <w:basedOn w:val="Normal"/>
    <w:next w:val="Index1"/>
    <w:semiHidden/>
    <w:rsid w:val="00C16E67"/>
    <w:pPr>
      <w:spacing w:before="120" w:after="120"/>
    </w:pPr>
    <w:rPr>
      <w:rFonts w:ascii="Arial" w:hAnsi="Arial"/>
      <w:b/>
      <w:color w:val="918585"/>
      <w:sz w:val="24"/>
    </w:rPr>
  </w:style>
  <w:style w:type="paragraph" w:customStyle="1" w:styleId="Chapter">
    <w:name w:val="Chapter"/>
    <w:basedOn w:val="Normal"/>
    <w:rsid w:val="00C16E67"/>
    <w:pPr>
      <w:spacing w:before="240"/>
    </w:pPr>
    <w:rPr>
      <w:rFonts w:ascii="Times New Roman" w:hAnsi="Times New Roman"/>
      <w:smallCaps/>
      <w:spacing w:val="80"/>
      <w:sz w:val="28"/>
    </w:rPr>
  </w:style>
  <w:style w:type="paragraph" w:customStyle="1" w:styleId="InChapter">
    <w:name w:val="InChapter"/>
    <w:basedOn w:val="Heading3"/>
    <w:rsid w:val="00C16E67"/>
    <w:pPr>
      <w:spacing w:after="240"/>
      <w:outlineLvl w:val="9"/>
    </w:pPr>
    <w:rPr>
      <w:noProof/>
    </w:rPr>
  </w:style>
  <w:style w:type="paragraph" w:styleId="Index2">
    <w:name w:val="index 2"/>
    <w:basedOn w:val="Normal"/>
    <w:next w:val="Normal"/>
    <w:semiHidden/>
    <w:rsid w:val="00C16E67"/>
    <w:pPr>
      <w:tabs>
        <w:tab w:val="right" w:pos="4176"/>
      </w:tabs>
      <w:ind w:left="568" w:hanging="284"/>
    </w:pPr>
    <w:rPr>
      <w:rFonts w:ascii="Garamond" w:hAnsi="Garamond"/>
    </w:rPr>
  </w:style>
  <w:style w:type="paragraph" w:customStyle="1" w:styleId="Byline">
    <w:name w:val="Byline"/>
    <w:rsid w:val="00C16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E67"/>
    <w:pPr>
      <w:tabs>
        <w:tab w:val="clear" w:pos="3600"/>
        <w:tab w:val="clear" w:pos="3958"/>
      </w:tabs>
      <w:jc w:val="right"/>
    </w:pPr>
  </w:style>
  <w:style w:type="paragraph" w:styleId="Caption">
    <w:name w:val="caption"/>
    <w:basedOn w:val="BodyText"/>
    <w:next w:val="Normal"/>
    <w:qFormat/>
    <w:rsid w:val="00C16E67"/>
    <w:pPr>
      <w:framePr w:w="2268" w:hSpace="181" w:vSpace="181" w:wrap="around" w:vAnchor="text" w:hAnchor="page" w:x="1135" w:y="285" w:anchorLock="1"/>
    </w:pPr>
    <w:rPr>
      <w:i/>
    </w:rPr>
  </w:style>
  <w:style w:type="paragraph" w:customStyle="1" w:styleId="MiniTOCTitle">
    <w:name w:val="MiniTOCTitle"/>
    <w:basedOn w:val="Heading4"/>
    <w:rsid w:val="00C16E67"/>
    <w:pPr>
      <w:spacing w:before="240"/>
      <w:outlineLvl w:val="9"/>
    </w:pPr>
    <w:rPr>
      <w:noProof/>
      <w:sz w:val="24"/>
    </w:rPr>
  </w:style>
  <w:style w:type="paragraph" w:customStyle="1" w:styleId="MiniTOCItem">
    <w:name w:val="MiniTOCItem"/>
    <w:basedOn w:val="ListBullet"/>
    <w:rsid w:val="00C16E67"/>
    <w:pPr>
      <w:numPr>
        <w:numId w:val="0"/>
      </w:numPr>
      <w:tabs>
        <w:tab w:val="right" w:leader="dot" w:pos="6521"/>
      </w:tabs>
      <w:spacing w:before="0" w:after="0"/>
    </w:pPr>
  </w:style>
  <w:style w:type="paragraph" w:customStyle="1" w:styleId="TOFTitle">
    <w:name w:val="TOFTitle"/>
    <w:basedOn w:val="TOCTitle"/>
    <w:rsid w:val="00C16E67"/>
  </w:style>
  <w:style w:type="paragraph" w:styleId="TableofFigures">
    <w:name w:val="table of figures"/>
    <w:basedOn w:val="Normal"/>
    <w:next w:val="Normal"/>
    <w:semiHidden/>
    <w:rsid w:val="00C16E67"/>
    <w:pPr>
      <w:tabs>
        <w:tab w:val="right" w:leader="dot" w:pos="9072"/>
      </w:tabs>
      <w:ind w:left="970" w:hanging="403"/>
    </w:pPr>
    <w:rPr>
      <w:rFonts w:ascii="Times New Roman" w:hAnsi="Times New Roman"/>
      <w:b/>
    </w:rPr>
  </w:style>
  <w:style w:type="paragraph" w:styleId="ListNumber">
    <w:name w:val="List Number"/>
    <w:basedOn w:val="List"/>
    <w:rsid w:val="00C16E67"/>
    <w:pPr>
      <w:numPr>
        <w:numId w:val="11"/>
      </w:numPr>
    </w:pPr>
  </w:style>
  <w:style w:type="character" w:customStyle="1" w:styleId="WingdingSymbols">
    <w:name w:val="Wingding Symbols"/>
    <w:rsid w:val="00C16E67"/>
    <w:rPr>
      <w:rFonts w:ascii="Wingdings" w:hAnsi="Wingdings"/>
    </w:rPr>
  </w:style>
  <w:style w:type="paragraph" w:customStyle="1" w:styleId="TableHeading">
    <w:name w:val="Table Heading"/>
    <w:basedOn w:val="HeadingBase"/>
    <w:rsid w:val="00C16E67"/>
    <w:pPr>
      <w:keepLines/>
      <w:pBdr>
        <w:bottom w:val="single" w:sz="6" w:space="1" w:color="918585"/>
      </w:pBdr>
      <w:spacing w:before="240"/>
    </w:pPr>
  </w:style>
  <w:style w:type="character" w:customStyle="1" w:styleId="HotSpot">
    <w:name w:val="HotSpot"/>
    <w:rsid w:val="00C16E67"/>
    <w:rPr>
      <w:color w:val="0033CC"/>
      <w:u w:val="none"/>
    </w:rPr>
  </w:style>
  <w:style w:type="paragraph" w:customStyle="1" w:styleId="BodyTextRight">
    <w:name w:val="Body Text Right"/>
    <w:basedOn w:val="BodyText"/>
    <w:rsid w:val="00C16E67"/>
    <w:pPr>
      <w:spacing w:before="0" w:after="0"/>
      <w:jc w:val="right"/>
    </w:pPr>
  </w:style>
  <w:style w:type="paragraph" w:styleId="Index3">
    <w:name w:val="index 3"/>
    <w:basedOn w:val="ListNumber2"/>
    <w:next w:val="Normal"/>
    <w:semiHidden/>
    <w:rsid w:val="00C16E67"/>
    <w:pPr>
      <w:numPr>
        <w:numId w:val="0"/>
      </w:numPr>
      <w:tabs>
        <w:tab w:val="right" w:leader="dot" w:pos="4176"/>
      </w:tabs>
    </w:pPr>
  </w:style>
  <w:style w:type="paragraph" w:styleId="ListNumber2">
    <w:name w:val="List Number 2"/>
    <w:basedOn w:val="List2"/>
    <w:rsid w:val="00C16E67"/>
    <w:pPr>
      <w:numPr>
        <w:numId w:val="10"/>
      </w:numPr>
      <w:tabs>
        <w:tab w:val="clear" w:pos="1060"/>
      </w:tabs>
    </w:pPr>
  </w:style>
  <w:style w:type="paragraph" w:customStyle="1" w:styleId="MarginNote">
    <w:name w:val="Margin Note"/>
    <w:basedOn w:val="BodyText"/>
    <w:rsid w:val="00C16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E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6E67"/>
    <w:rPr>
      <w:sz w:val="32"/>
    </w:rPr>
  </w:style>
  <w:style w:type="paragraph" w:customStyle="1" w:styleId="HeadingProcedure">
    <w:name w:val="Heading Procedure"/>
    <w:basedOn w:val="HeadingBase"/>
    <w:next w:val="Normal"/>
    <w:rsid w:val="00C16E67"/>
    <w:pPr>
      <w:tabs>
        <w:tab w:val="left" w:pos="0"/>
      </w:tabs>
      <w:spacing w:before="120" w:after="60"/>
    </w:pPr>
    <w:rPr>
      <w:i/>
      <w:color w:val="918585"/>
      <w:sz w:val="22"/>
    </w:rPr>
  </w:style>
  <w:style w:type="paragraph" w:customStyle="1" w:styleId="TableBodyText">
    <w:name w:val="Table Body Text"/>
    <w:basedOn w:val="BodyText"/>
    <w:rsid w:val="00C16E67"/>
    <w:pPr>
      <w:spacing w:before="60" w:after="60"/>
    </w:pPr>
  </w:style>
  <w:style w:type="paragraph" w:styleId="ListContinue">
    <w:name w:val="List Continue"/>
    <w:basedOn w:val="List"/>
    <w:rsid w:val="00C16E67"/>
    <w:pPr>
      <w:ind w:firstLine="0"/>
    </w:pPr>
  </w:style>
  <w:style w:type="paragraph" w:customStyle="1" w:styleId="ListNote">
    <w:name w:val="List Note"/>
    <w:basedOn w:val="List"/>
    <w:rsid w:val="00C16E67"/>
    <w:pPr>
      <w:pBdr>
        <w:top w:val="single" w:sz="6" w:space="2" w:color="918585"/>
        <w:bottom w:val="single" w:sz="6" w:space="2" w:color="918585"/>
      </w:pBdr>
      <w:tabs>
        <w:tab w:val="left" w:pos="1021"/>
      </w:tabs>
      <w:ind w:firstLine="0"/>
    </w:pPr>
  </w:style>
  <w:style w:type="paragraph" w:customStyle="1" w:styleId="Warning">
    <w:name w:val="Warning"/>
    <w:basedOn w:val="BodyText"/>
    <w:rsid w:val="00C16E67"/>
    <w:pPr>
      <w:shd w:val="clear" w:color="auto" w:fill="D9D9D9"/>
      <w:tabs>
        <w:tab w:val="left" w:pos="992"/>
      </w:tabs>
      <w:ind w:left="119" w:right="119"/>
    </w:pPr>
    <w:rPr>
      <w:sz w:val="20"/>
    </w:rPr>
  </w:style>
  <w:style w:type="paragraph" w:customStyle="1" w:styleId="MarginIcons">
    <w:name w:val="Margin Icons"/>
    <w:basedOn w:val="BodyText"/>
    <w:rsid w:val="00C16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E67"/>
    <w:rPr>
      <w:rFonts w:ascii="Courier New" w:hAnsi="Courier New"/>
    </w:rPr>
  </w:style>
  <w:style w:type="paragraph" w:customStyle="1" w:styleId="NoteBullet">
    <w:name w:val="Note Bullet"/>
    <w:basedOn w:val="Note"/>
    <w:rsid w:val="00C16E67"/>
    <w:pPr>
      <w:tabs>
        <w:tab w:val="clear" w:pos="680"/>
      </w:tabs>
      <w:spacing w:before="60" w:after="60"/>
    </w:pPr>
  </w:style>
  <w:style w:type="paragraph" w:customStyle="1" w:styleId="SubHeading2">
    <w:name w:val="SubHeading2"/>
    <w:basedOn w:val="HeadingBase"/>
    <w:rsid w:val="00C16E67"/>
    <w:pPr>
      <w:spacing w:before="240" w:after="60"/>
    </w:pPr>
    <w:rPr>
      <w:sz w:val="20"/>
    </w:rPr>
  </w:style>
  <w:style w:type="paragraph" w:customStyle="1" w:styleId="SubHeading1">
    <w:name w:val="SubHeading1"/>
    <w:basedOn w:val="HeadingBase"/>
    <w:rsid w:val="00C16E67"/>
    <w:pPr>
      <w:spacing w:before="240" w:after="60"/>
    </w:pPr>
    <w:rPr>
      <w:color w:val="918585"/>
      <w:sz w:val="22"/>
    </w:rPr>
  </w:style>
  <w:style w:type="paragraph" w:customStyle="1" w:styleId="SideHeading">
    <w:name w:val="Side Heading"/>
    <w:basedOn w:val="HeadingBase"/>
    <w:rsid w:val="00C16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E67"/>
    <w:pPr>
      <w:numPr>
        <w:numId w:val="12"/>
      </w:numPr>
    </w:pPr>
  </w:style>
  <w:style w:type="paragraph" w:styleId="PlainText">
    <w:name w:val="Plain Text"/>
    <w:basedOn w:val="Normal"/>
    <w:link w:val="PlainTextChar"/>
    <w:rsid w:val="00C16E67"/>
    <w:rPr>
      <w:sz w:val="20"/>
    </w:rPr>
  </w:style>
  <w:style w:type="character" w:customStyle="1" w:styleId="PlainTextChar">
    <w:name w:val="Plain Text Char"/>
    <w:basedOn w:val="DefaultParagraphFont"/>
    <w:link w:val="PlainText"/>
    <w:rsid w:val="00C16E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6E67"/>
    <w:rPr>
      <w:b/>
      <w:smallCaps/>
    </w:rPr>
  </w:style>
  <w:style w:type="paragraph" w:customStyle="1" w:styleId="TableListNumber">
    <w:name w:val="Table List Number"/>
    <w:basedOn w:val="ListNumber"/>
    <w:rsid w:val="00C16E67"/>
    <w:pPr>
      <w:numPr>
        <w:numId w:val="0"/>
      </w:numPr>
    </w:pPr>
  </w:style>
  <w:style w:type="paragraph" w:styleId="TOC4">
    <w:name w:val="toc 4"/>
    <w:basedOn w:val="TOCBase"/>
    <w:next w:val="Normal"/>
    <w:semiHidden/>
    <w:rsid w:val="00C16E67"/>
    <w:pPr>
      <w:tabs>
        <w:tab w:val="right" w:leader="dot" w:pos="9071"/>
      </w:tabs>
      <w:ind w:left="1701"/>
    </w:pPr>
  </w:style>
  <w:style w:type="paragraph" w:customStyle="1" w:styleId="ListAlpha">
    <w:name w:val="List Alpha"/>
    <w:basedOn w:val="List"/>
    <w:rsid w:val="00C16E67"/>
    <w:pPr>
      <w:numPr>
        <w:numId w:val="9"/>
      </w:numPr>
    </w:pPr>
  </w:style>
  <w:style w:type="paragraph" w:customStyle="1" w:styleId="ListAlpha2">
    <w:name w:val="List Alpha 2"/>
    <w:basedOn w:val="List2"/>
    <w:rsid w:val="00C16E67"/>
    <w:pPr>
      <w:numPr>
        <w:numId w:val="8"/>
      </w:numPr>
    </w:pPr>
  </w:style>
  <w:style w:type="paragraph" w:styleId="List2">
    <w:name w:val="List 2"/>
    <w:basedOn w:val="BodyText"/>
    <w:rsid w:val="00C16E67"/>
    <w:pPr>
      <w:tabs>
        <w:tab w:val="left" w:pos="680"/>
      </w:tabs>
      <w:spacing w:before="60" w:after="60"/>
      <w:ind w:left="680" w:hanging="340"/>
    </w:pPr>
  </w:style>
  <w:style w:type="paragraph" w:styleId="List3">
    <w:name w:val="List 3"/>
    <w:basedOn w:val="BodyText"/>
    <w:rsid w:val="00C16E67"/>
    <w:pPr>
      <w:tabs>
        <w:tab w:val="left" w:pos="1021"/>
      </w:tabs>
      <w:spacing w:before="60" w:after="60"/>
      <w:ind w:left="1020" w:hanging="340"/>
    </w:pPr>
  </w:style>
  <w:style w:type="paragraph" w:styleId="List4">
    <w:name w:val="List 4"/>
    <w:basedOn w:val="BodyText"/>
    <w:rsid w:val="00C16E67"/>
    <w:pPr>
      <w:tabs>
        <w:tab w:val="left" w:pos="1361"/>
      </w:tabs>
      <w:spacing w:before="60" w:after="60"/>
      <w:ind w:left="1361" w:hanging="340"/>
    </w:pPr>
  </w:style>
  <w:style w:type="paragraph" w:styleId="List5">
    <w:name w:val="List 5"/>
    <w:basedOn w:val="BodyText"/>
    <w:rsid w:val="00C16E67"/>
    <w:pPr>
      <w:tabs>
        <w:tab w:val="left" w:pos="1701"/>
      </w:tabs>
      <w:spacing w:before="60" w:after="60"/>
      <w:ind w:left="1701" w:hanging="340"/>
    </w:pPr>
  </w:style>
  <w:style w:type="paragraph" w:styleId="ListBullet3">
    <w:name w:val="List Bullet 3"/>
    <w:basedOn w:val="List3"/>
    <w:rsid w:val="00C16E67"/>
    <w:pPr>
      <w:numPr>
        <w:numId w:val="15"/>
      </w:numPr>
      <w:tabs>
        <w:tab w:val="clear" w:pos="1021"/>
      </w:tabs>
      <w:ind w:left="1037" w:hanging="357"/>
    </w:pPr>
  </w:style>
  <w:style w:type="paragraph" w:styleId="ListBullet4">
    <w:name w:val="List Bullet 4"/>
    <w:basedOn w:val="List4"/>
    <w:rsid w:val="00C16E67"/>
    <w:pPr>
      <w:numPr>
        <w:numId w:val="3"/>
      </w:numPr>
    </w:pPr>
  </w:style>
  <w:style w:type="paragraph" w:styleId="ListBullet5">
    <w:name w:val="List Bullet 5"/>
    <w:basedOn w:val="List5"/>
    <w:rsid w:val="00C16E67"/>
    <w:pPr>
      <w:numPr>
        <w:numId w:val="4"/>
      </w:numPr>
    </w:pPr>
  </w:style>
  <w:style w:type="paragraph" w:styleId="ListContinue2">
    <w:name w:val="List Continue 2"/>
    <w:basedOn w:val="List2"/>
    <w:rsid w:val="00C16E67"/>
    <w:pPr>
      <w:ind w:firstLine="0"/>
    </w:pPr>
  </w:style>
  <w:style w:type="paragraph" w:styleId="ListContinue3">
    <w:name w:val="List Continue 3"/>
    <w:basedOn w:val="List3"/>
    <w:rsid w:val="00C16E67"/>
    <w:pPr>
      <w:ind w:left="1021" w:firstLine="0"/>
    </w:pPr>
  </w:style>
  <w:style w:type="paragraph" w:styleId="ListContinue4">
    <w:name w:val="List Continue 4"/>
    <w:basedOn w:val="List4"/>
    <w:rsid w:val="00C16E67"/>
    <w:pPr>
      <w:ind w:firstLine="0"/>
    </w:pPr>
  </w:style>
  <w:style w:type="paragraph" w:styleId="ListContinue5">
    <w:name w:val="List Continue 5"/>
    <w:basedOn w:val="List5"/>
    <w:rsid w:val="00C16E67"/>
    <w:pPr>
      <w:ind w:firstLine="0"/>
    </w:pPr>
  </w:style>
  <w:style w:type="paragraph" w:styleId="ListNumber3">
    <w:name w:val="List Number 3"/>
    <w:basedOn w:val="List3"/>
    <w:rsid w:val="00C16E67"/>
    <w:pPr>
      <w:numPr>
        <w:numId w:val="5"/>
      </w:numPr>
    </w:pPr>
  </w:style>
  <w:style w:type="paragraph" w:styleId="ListNumber4">
    <w:name w:val="List Number 4"/>
    <w:basedOn w:val="List4"/>
    <w:rsid w:val="00C16E67"/>
    <w:pPr>
      <w:numPr>
        <w:numId w:val="6"/>
      </w:numPr>
    </w:pPr>
  </w:style>
  <w:style w:type="paragraph" w:styleId="ListNumber5">
    <w:name w:val="List Number 5"/>
    <w:basedOn w:val="List5"/>
    <w:rsid w:val="00C16E67"/>
    <w:pPr>
      <w:numPr>
        <w:numId w:val="7"/>
      </w:numPr>
    </w:pPr>
  </w:style>
  <w:style w:type="paragraph" w:styleId="BlockText">
    <w:name w:val="Block Text"/>
    <w:basedOn w:val="Normal"/>
    <w:rsid w:val="00C16E67"/>
    <w:pPr>
      <w:spacing w:after="120"/>
      <w:ind w:left="1440" w:right="1440"/>
    </w:pPr>
  </w:style>
  <w:style w:type="character" w:customStyle="1" w:styleId="Subscript">
    <w:name w:val="Subscript"/>
    <w:basedOn w:val="DefaultParagraphFont"/>
    <w:rsid w:val="00C16E67"/>
    <w:rPr>
      <w:sz w:val="16"/>
      <w:vertAlign w:val="subscript"/>
    </w:rPr>
  </w:style>
  <w:style w:type="character" w:customStyle="1" w:styleId="Superscript">
    <w:name w:val="Superscript"/>
    <w:basedOn w:val="DefaultParagraphFont"/>
    <w:rsid w:val="00C16E67"/>
    <w:rPr>
      <w:sz w:val="16"/>
      <w:vertAlign w:val="superscript"/>
    </w:rPr>
  </w:style>
  <w:style w:type="character" w:customStyle="1" w:styleId="Symbols">
    <w:name w:val="Symbols"/>
    <w:basedOn w:val="DefaultParagraphFont"/>
    <w:rsid w:val="00C16E67"/>
    <w:rPr>
      <w:rFonts w:ascii="Symbol" w:hAnsi="Symbol"/>
    </w:rPr>
  </w:style>
  <w:style w:type="character" w:customStyle="1" w:styleId="MenuOptions">
    <w:name w:val="Menu Options"/>
    <w:basedOn w:val="DefaultParagraphFont"/>
    <w:rsid w:val="00C16E67"/>
    <w:rPr>
      <w:rFonts w:ascii="Arial Narrow" w:hAnsi="Arial Narrow"/>
      <w:smallCaps/>
    </w:rPr>
  </w:style>
  <w:style w:type="character" w:customStyle="1" w:styleId="Buttons">
    <w:name w:val="Buttons"/>
    <w:basedOn w:val="DefaultParagraphFont"/>
    <w:rsid w:val="00C16E67"/>
    <w:rPr>
      <w:b/>
    </w:rPr>
  </w:style>
  <w:style w:type="character" w:customStyle="1" w:styleId="Underlined">
    <w:name w:val="Underlined"/>
    <w:basedOn w:val="DefaultParagraphFont"/>
    <w:rsid w:val="00C16E67"/>
    <w:rPr>
      <w:u w:val="single"/>
    </w:rPr>
  </w:style>
  <w:style w:type="paragraph" w:customStyle="1" w:styleId="TableBodyTextRight">
    <w:name w:val="Table Body Text Right"/>
    <w:basedOn w:val="TableBodyText"/>
    <w:rsid w:val="00C16E67"/>
    <w:pPr>
      <w:widowControl w:val="0"/>
      <w:autoSpaceDE w:val="0"/>
      <w:autoSpaceDN w:val="0"/>
      <w:adjustRightInd w:val="0"/>
      <w:jc w:val="right"/>
    </w:pPr>
    <w:rPr>
      <w:rFonts w:cs="Arial"/>
      <w:szCs w:val="18"/>
    </w:rPr>
  </w:style>
  <w:style w:type="paragraph" w:customStyle="1" w:styleId="CopyrightText">
    <w:name w:val="Copyright Text"/>
    <w:basedOn w:val="BodyText"/>
    <w:rsid w:val="00C16E67"/>
    <w:rPr>
      <w:sz w:val="18"/>
    </w:rPr>
  </w:style>
  <w:style w:type="paragraph" w:customStyle="1" w:styleId="BodySmallRight">
    <w:name w:val="Body Small Right"/>
    <w:basedOn w:val="BodyTextRight"/>
    <w:rsid w:val="00C16E67"/>
    <w:rPr>
      <w:sz w:val="18"/>
      <w:szCs w:val="18"/>
    </w:rPr>
  </w:style>
  <w:style w:type="paragraph" w:customStyle="1" w:styleId="MarginEdition">
    <w:name w:val="Margin Edition"/>
    <w:basedOn w:val="MarginNote"/>
    <w:rsid w:val="00C16E67"/>
    <w:pPr>
      <w:spacing w:before="0" w:after="0"/>
    </w:pPr>
    <w:rPr>
      <w:rFonts w:ascii="Times New Roman" w:hAnsi="Times New Roman"/>
      <w:color w:val="999999"/>
    </w:rPr>
  </w:style>
  <w:style w:type="paragraph" w:customStyle="1" w:styleId="Spacer">
    <w:name w:val="Spacer"/>
    <w:basedOn w:val="Normal"/>
    <w:rsid w:val="00C16E67"/>
    <w:rPr>
      <w:sz w:val="2"/>
      <w:szCs w:val="2"/>
    </w:rPr>
  </w:style>
  <w:style w:type="character" w:customStyle="1" w:styleId="Small">
    <w:name w:val="Small"/>
    <w:basedOn w:val="DefaultParagraphFont"/>
    <w:rsid w:val="00C16E67"/>
    <w:rPr>
      <w:sz w:val="16"/>
    </w:rPr>
  </w:style>
  <w:style w:type="paragraph" w:customStyle="1" w:styleId="WideTable">
    <w:name w:val="Wide Table"/>
    <w:basedOn w:val="Normal"/>
    <w:rsid w:val="00C16E67"/>
    <w:pPr>
      <w:ind w:left="-1418"/>
    </w:pPr>
    <w:rPr>
      <w:sz w:val="2"/>
      <w:szCs w:val="2"/>
    </w:rPr>
  </w:style>
  <w:style w:type="character" w:styleId="PageNumber">
    <w:name w:val="page number"/>
    <w:basedOn w:val="DefaultParagraphFont"/>
    <w:rsid w:val="00C16E67"/>
  </w:style>
  <w:style w:type="paragraph" w:styleId="Quote">
    <w:name w:val="Quote"/>
    <w:basedOn w:val="Heading1"/>
    <w:link w:val="QuoteChar"/>
    <w:qFormat/>
    <w:rsid w:val="00C16E67"/>
    <w:rPr>
      <w:b w:val="0"/>
      <w:sz w:val="72"/>
      <w:szCs w:val="72"/>
      <w:lang w:val="en-NZ"/>
    </w:rPr>
  </w:style>
  <w:style w:type="character" w:customStyle="1" w:styleId="QuoteChar">
    <w:name w:val="Quote Char"/>
    <w:basedOn w:val="DefaultParagraphFont"/>
    <w:link w:val="Quote"/>
    <w:rsid w:val="00C16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E67"/>
    <w:pPr>
      <w:pageBreakBefore/>
    </w:pPr>
  </w:style>
  <w:style w:type="paragraph" w:customStyle="1" w:styleId="Border">
    <w:name w:val="Border"/>
    <w:basedOn w:val="Normal"/>
    <w:qFormat/>
    <w:rsid w:val="00C16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E67"/>
    <w:rPr>
      <w:b/>
      <w:bCs/>
      <w:i/>
      <w:iCs/>
      <w:color w:val="auto"/>
    </w:rPr>
  </w:style>
  <w:style w:type="paragraph" w:styleId="IntenseQuote">
    <w:name w:val="Intense Quote"/>
    <w:basedOn w:val="Normal"/>
    <w:next w:val="Normal"/>
    <w:link w:val="IntenseQuoteChar"/>
    <w:uiPriority w:val="30"/>
    <w:qFormat/>
    <w:rsid w:val="00C16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E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6E67"/>
    <w:rPr>
      <w:smallCaps/>
      <w:color w:val="auto"/>
      <w:u w:val="single"/>
    </w:rPr>
  </w:style>
  <w:style w:type="character" w:styleId="IntenseReference">
    <w:name w:val="Intense Reference"/>
    <w:basedOn w:val="DefaultParagraphFont"/>
    <w:uiPriority w:val="32"/>
    <w:qFormat/>
    <w:rsid w:val="00C16E67"/>
    <w:rPr>
      <w:b/>
      <w:bCs/>
      <w:smallCaps/>
      <w:color w:val="auto"/>
      <w:spacing w:val="5"/>
      <w:u w:val="single"/>
    </w:rPr>
  </w:style>
  <w:style w:type="paragraph" w:customStyle="1" w:styleId="2ColumnHeading">
    <w:name w:val="2Column Heading"/>
    <w:basedOn w:val="BodyText"/>
    <w:qFormat/>
    <w:rsid w:val="00C16E67"/>
    <w:pPr>
      <w:spacing w:after="60"/>
      <w:ind w:left="-2268"/>
    </w:pPr>
    <w:rPr>
      <w:b/>
    </w:rPr>
  </w:style>
  <w:style w:type="paragraph" w:customStyle="1" w:styleId="Heading1TOC">
    <w:name w:val="Heading1 TOC"/>
    <w:basedOn w:val="Normal"/>
    <w:qFormat/>
    <w:rsid w:val="00C16E67"/>
    <w:pPr>
      <w:spacing w:before="240" w:after="120"/>
    </w:pPr>
    <w:rPr>
      <w:rFonts w:ascii="Times New Roman" w:hAnsi="Times New Roman"/>
      <w:b/>
      <w:sz w:val="32"/>
    </w:rPr>
  </w:style>
  <w:style w:type="paragraph" w:customStyle="1" w:styleId="Heading2TOC">
    <w:name w:val="Heading2 TOC"/>
    <w:basedOn w:val="Normal"/>
    <w:qFormat/>
    <w:rsid w:val="00C16E67"/>
    <w:pPr>
      <w:spacing w:before="240" w:after="60"/>
    </w:pPr>
    <w:rPr>
      <w:rFonts w:ascii="Times New Roman" w:hAnsi="Times New Roman"/>
      <w:b/>
      <w:sz w:val="28"/>
    </w:rPr>
  </w:style>
  <w:style w:type="character" w:customStyle="1" w:styleId="Underline">
    <w:name w:val="Underline"/>
    <w:basedOn w:val="DefaultParagraphFont"/>
    <w:qFormat/>
    <w:rsid w:val="00C16E67"/>
    <w:rPr>
      <w:u w:val="single"/>
    </w:rPr>
  </w:style>
  <w:style w:type="character" w:customStyle="1" w:styleId="BoldandItalics">
    <w:name w:val="Bold and Italics"/>
    <w:qFormat/>
    <w:rsid w:val="00C16E67"/>
    <w:rPr>
      <w:b/>
      <w:i/>
      <w:u w:val="none"/>
    </w:rPr>
  </w:style>
  <w:style w:type="paragraph" w:styleId="BalloonText">
    <w:name w:val="Balloon Text"/>
    <w:basedOn w:val="Normal"/>
    <w:link w:val="BalloonTextChar"/>
    <w:rsid w:val="00C16E67"/>
    <w:rPr>
      <w:rFonts w:ascii="Tahoma" w:hAnsi="Tahoma" w:cs="Tahoma"/>
      <w:sz w:val="16"/>
      <w:szCs w:val="16"/>
    </w:rPr>
  </w:style>
  <w:style w:type="character" w:customStyle="1" w:styleId="BalloonTextChar">
    <w:name w:val="Balloon Text Char"/>
    <w:basedOn w:val="DefaultParagraphFont"/>
    <w:link w:val="BalloonText"/>
    <w:rsid w:val="00C16E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6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E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4136</Characters>
  <Application>Microsoft Office Word</Application>
  <DocSecurity>0</DocSecurity>
  <Lines>118</Lines>
  <Paragraphs>71</Paragraphs>
  <ScaleCrop>false</ScaleCrop>
  <Company>Author-it Software Corporation Ltd.</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HLT43512 Certificate IV in Optical Dispensing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2012-05-27T05:56:00Z</dcterms:created>
  <dcterms:modified xsi:type="dcterms:W3CDTF">2012-05-27T05:56:00Z</dcterms:modified>
</cp:coreProperties>
</file>