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9F4" w:rsidP="004C29F4">
      <w:pPr>
        <w:pStyle w:val="Title"/>
      </w:pPr>
      <w:bookmarkStart w:id="0" w:name="_GoBack"/>
      <w:bookmarkEnd w:id="0"/>
      <w:r>
        <w:fldChar w:fldCharType="begin"/>
      </w:r>
      <w:r>
        <w:instrText xml:space="preserve"> TITLE   \* MERGEFORMAT </w:instrText>
      </w:r>
      <w:r>
        <w:fldChar w:fldCharType="separate"/>
      </w:r>
      <w:r>
        <w:t>HLT32012 Certificate III in Mortuary Theatre Practice</w:t>
      </w:r>
      <w:r>
        <w:fldChar w:fldCharType="end"/>
      </w:r>
    </w:p>
    <w:p w:rsidR="004C29F4" w:rsidP="004C29F4">
      <w:pPr>
        <w:pStyle w:val="Version"/>
        <w:sectPr w:rsidSect="00B27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237" w:rsidP="00B27237">
      <w:pPr>
        <w:pStyle w:val="SuperHeading"/>
      </w:pPr>
      <w:r w:rsidRPr="00B27237">
        <w:t>HLT32012 Certificate III in Mortuary Theatre Practice</w:t>
      </w:r>
    </w:p>
    <w:p w:rsidR="00000000" w:rsidRPr="00B27237" w:rsidP="00B27237">
      <w:pPr>
        <w:pStyle w:val="Heading1"/>
      </w:pPr>
      <w:bookmarkStart w:id="1" w:name="O_455320"/>
      <w:bookmarkEnd w:id="1"/>
      <w:r w:rsidRPr="00B27237">
        <w:t>Modification History</w:t>
      </w:r>
    </w:p>
    <w:tbl>
      <w:tblPr>
        <w:tblW w:w="0" w:type="auto"/>
        <w:tblCellMar>
          <w:left w:w="62" w:type="dxa"/>
          <w:right w:w="62" w:type="dxa"/>
        </w:tblCellMar>
        <w:tblLook w:val="0000"/>
      </w:tblPr>
      <w:tblGrid>
        <w:gridCol w:w="3065"/>
        <w:gridCol w:w="3065"/>
        <w:gridCol w:w="3066"/>
      </w:tblGrid>
      <w:tr w:rsidTr="004C29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27237">
            <w:pPr>
              <w:pStyle w:val="BodyText"/>
              <w:rPr>
                <w:lang w:val="en-NZ"/>
              </w:rPr>
            </w:pPr>
            <w:r w:rsidRPr="00B27237">
              <w:t xml:space="preserve">HLT07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27237">
            <w:pPr>
              <w:pStyle w:val="BodyText"/>
              <w:rPr>
                <w:lang w:val="en-NZ"/>
              </w:rPr>
            </w:pPr>
            <w:r w:rsidRPr="00B27237">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27237">
            <w:pPr>
              <w:pStyle w:val="BodyText"/>
              <w:rPr>
                <w:lang w:val="en-NZ"/>
              </w:rPr>
            </w:pPr>
            <w:r w:rsidRPr="00B27237">
              <w:t xml:space="preserve">Comments </w:t>
            </w:r>
          </w:p>
        </w:tc>
      </w:tr>
      <w:tr w:rsidTr="004C29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27237">
            <w:pPr>
              <w:pStyle w:val="BodyText"/>
              <w:rPr>
                <w:lang w:val="en-NZ"/>
              </w:rPr>
            </w:pPr>
            <w:r w:rsidRPr="00B27237">
              <w:t>HLT32007 Certificate III in Mor</w:t>
            </w:r>
            <w:r w:rsidRPr="00B27237">
              <w:t xml:space="preserve">tuary Theatre Practice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27237">
            <w:pPr>
              <w:pStyle w:val="BodyText"/>
              <w:rPr>
                <w:lang w:val="en-NZ"/>
              </w:rPr>
            </w:pPr>
            <w:r w:rsidRPr="00B27237">
              <w:t xml:space="preserve">HLT32007 Certificate III in Mortuary Theatre Practice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27237" w:rsidP="00B27237">
            <w:pPr>
              <w:pStyle w:val="BodyText"/>
            </w:pPr>
            <w:r w:rsidRPr="00B27237">
              <w:t>ISC upgrade</w:t>
            </w:r>
          </w:p>
          <w:p w:rsidR="00000000" w:rsidRPr="00B27237" w:rsidP="00B27237">
            <w:pPr>
              <w:pStyle w:val="BodyText"/>
            </w:pPr>
            <w:r w:rsidRPr="00B27237">
              <w:t>HLTWHS300A</w:t>
            </w:r>
            <w:r w:rsidRPr="00B27237">
              <w:tab/>
              <w:t>Contribute to WHS processes changed from OHS to WHS in the core units</w:t>
            </w:r>
          </w:p>
        </w:tc>
      </w:tr>
    </w:tbl>
    <w:p w:rsidR="00000000" w:rsidRPr="00B27237" w:rsidP="00B27237">
      <w:pPr>
        <w:pStyle w:val="BodyText"/>
      </w:pPr>
    </w:p>
    <w:p w:rsidR="00000000" w:rsidRPr="00B27237" w:rsidP="00B27237">
      <w:pPr>
        <w:pStyle w:val="AllowPageBreak"/>
      </w:pPr>
    </w:p>
    <w:p w:rsidR="00000000" w:rsidRPr="00B27237" w:rsidP="00B27237">
      <w:pPr>
        <w:pStyle w:val="Heading1"/>
      </w:pPr>
      <w:bookmarkStart w:id="2" w:name="O_455312"/>
      <w:bookmarkEnd w:id="2"/>
      <w:r w:rsidRPr="00B27237">
        <w:t>Description</w:t>
      </w:r>
    </w:p>
    <w:p w:rsidR="00000000" w:rsidRPr="00B27237" w:rsidP="00B27237">
      <w:pPr>
        <w:pStyle w:val="BodyText"/>
      </w:pPr>
      <w:r w:rsidRPr="00B27237">
        <w:t xml:space="preserve">This qualification covers workers who maintain a mortuary service and assist in autopsies in a hospital or forensic mortuary. Some workers may also be involved in receiving and storing tissues as part of a Tissue Bank role. </w:t>
      </w:r>
    </w:p>
    <w:p w:rsidR="00000000" w:rsidRPr="00B27237" w:rsidP="00B27237">
      <w:pPr>
        <w:pStyle w:val="BodyText"/>
      </w:pPr>
      <w:r w:rsidRPr="00B27237">
        <w:t>This qualification is suited to</w:t>
      </w:r>
      <w:r w:rsidRPr="00B27237">
        <w:t xml:space="preserve"> Australian Apprenticeships pathways.</w:t>
      </w:r>
    </w:p>
    <w:p w:rsidR="00000000" w:rsidRPr="00B27237" w:rsidP="00B27237">
      <w:pPr>
        <w:pStyle w:val="BodyText"/>
      </w:pPr>
      <w:r w:rsidRPr="00B27237">
        <w:t>Occupational titles for these workers may include:</w:t>
      </w:r>
    </w:p>
    <w:tbl>
      <w:tblPr>
        <w:tblW w:w="0" w:type="auto"/>
        <w:tblLayout w:type="fixed"/>
        <w:tblCellMar>
          <w:left w:w="62" w:type="dxa"/>
          <w:right w:w="62" w:type="dxa"/>
        </w:tblCellMar>
        <w:tblLook w:val="0000"/>
      </w:tblPr>
      <w:tblGrid>
        <w:gridCol w:w="4197"/>
        <w:gridCol w:w="4198"/>
      </w:tblGrid>
      <w:tr w:rsidTr="004C29F4">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B27237">
            <w:pPr>
              <w:pStyle w:val="ListBullet"/>
              <w:rPr>
                <w:lang w:val="en-NZ"/>
              </w:rPr>
            </w:pPr>
            <w:r w:rsidRPr="00B27237">
              <w:t>Mortuary technician</w:t>
            </w:r>
          </w:p>
        </w:tc>
        <w:tc>
          <w:tcPr>
            <w:tcW w:w="4198" w:type="dxa"/>
            <w:tcBorders>
              <w:top w:val="nil"/>
              <w:left w:val="nil"/>
              <w:bottom w:val="nil"/>
              <w:right w:val="nil"/>
            </w:tcBorders>
            <w:tcMar>
              <w:top w:w="0" w:type="dxa"/>
              <w:left w:w="62" w:type="dxa"/>
              <w:bottom w:w="0" w:type="dxa"/>
              <w:right w:w="62" w:type="dxa"/>
            </w:tcMar>
          </w:tcPr>
          <w:p w:rsidR="00000000" w:rsidP="00B27237">
            <w:pPr>
              <w:pStyle w:val="ListBullet"/>
              <w:rPr>
                <w:lang w:val="en-NZ"/>
              </w:rPr>
            </w:pPr>
            <w:r w:rsidRPr="00B27237">
              <w:t>Mortuary assistant</w:t>
            </w:r>
          </w:p>
        </w:tc>
      </w:tr>
      <w:tr w:rsidTr="004C29F4">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B27237">
            <w:pPr>
              <w:pStyle w:val="ListBullet"/>
              <w:rPr>
                <w:lang w:val="en-NZ"/>
              </w:rPr>
            </w:pPr>
            <w:r w:rsidRPr="00B27237">
              <w:t>Pathology technician</w:t>
            </w:r>
          </w:p>
        </w:tc>
        <w:tc>
          <w:tcPr>
            <w:tcW w:w="4198" w:type="dxa"/>
            <w:tcBorders>
              <w:top w:val="nil"/>
              <w:left w:val="nil"/>
              <w:bottom w:val="nil"/>
              <w:right w:val="nil"/>
            </w:tcBorders>
            <w:tcMar>
              <w:top w:w="0" w:type="dxa"/>
              <w:left w:w="62" w:type="dxa"/>
              <w:bottom w:w="0" w:type="dxa"/>
              <w:right w:w="62" w:type="dxa"/>
            </w:tcMar>
          </w:tcPr>
          <w:p w:rsidR="00000000" w:rsidP="00B27237">
            <w:pPr>
              <w:pStyle w:val="ListBullet"/>
              <w:rPr>
                <w:lang w:val="en-NZ"/>
              </w:rPr>
            </w:pPr>
            <w:r w:rsidRPr="00B27237">
              <w:t>Post mortem assistant</w:t>
            </w:r>
          </w:p>
        </w:tc>
      </w:tr>
      <w:tr w:rsidTr="004C29F4">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B27237">
            <w:pPr>
              <w:pStyle w:val="ListBullet"/>
              <w:rPr>
                <w:lang w:val="en-NZ"/>
              </w:rPr>
            </w:pPr>
            <w:r w:rsidRPr="00B27237">
              <w:t>Mortuary attendant</w:t>
            </w:r>
          </w:p>
        </w:tc>
        <w:tc>
          <w:tcPr>
            <w:tcW w:w="4198" w:type="dxa"/>
            <w:tcBorders>
              <w:top w:val="nil"/>
              <w:left w:val="nil"/>
              <w:bottom w:val="nil"/>
              <w:right w:val="nil"/>
            </w:tcBorders>
            <w:tcMar>
              <w:top w:w="0" w:type="dxa"/>
              <w:left w:w="62" w:type="dxa"/>
              <w:bottom w:w="0" w:type="dxa"/>
              <w:right w:w="62" w:type="dxa"/>
            </w:tcMar>
          </w:tcPr>
          <w:p w:rsidR="00000000" w:rsidRPr="00B27237" w:rsidP="00B27237">
            <w:pPr>
              <w:pStyle w:val="BodyText"/>
            </w:pPr>
          </w:p>
        </w:tc>
      </w:tr>
    </w:tbl>
    <w:p w:rsidR="004C29F4" w:rsidP="00B27237">
      <w:pPr>
        <w:pStyle w:val="BodyText"/>
      </w:pPr>
    </w:p>
    <w:p w:rsidR="004C29F4" w:rsidP="00B27237">
      <w:pPr>
        <w:pStyle w:val="BodyText"/>
      </w:pPr>
    </w:p>
    <w:p w:rsidR="00000000" w:rsidRPr="00B27237" w:rsidP="00B27237">
      <w:pPr>
        <w:pStyle w:val="Heading1"/>
      </w:pPr>
      <w:bookmarkStart w:id="3" w:name="O_455318"/>
      <w:bookmarkEnd w:id="3"/>
      <w:r w:rsidRPr="00B27237">
        <w:t>Pathways Information</w:t>
      </w:r>
    </w:p>
    <w:p w:rsidR="00000000" w:rsidRPr="00B27237" w:rsidP="00B27237">
      <w:pPr>
        <w:pStyle w:val="BodyText"/>
      </w:pPr>
      <w:r w:rsidRPr="00B27237">
        <w:t>Not Applicable</w:t>
      </w:r>
    </w:p>
    <w:p w:rsidR="00000000" w:rsidRPr="00B27237" w:rsidP="00B27237">
      <w:pPr>
        <w:pStyle w:val="AllowPageBreak"/>
      </w:pPr>
    </w:p>
    <w:p w:rsidR="00000000" w:rsidRPr="00B27237" w:rsidP="00B27237">
      <w:pPr>
        <w:pStyle w:val="Heading1"/>
      </w:pPr>
      <w:bookmarkStart w:id="4" w:name="O_455316"/>
      <w:bookmarkEnd w:id="4"/>
      <w:r w:rsidRPr="00B27237">
        <w:t>Licensing/Regulatory Information</w:t>
      </w:r>
    </w:p>
    <w:p w:rsidR="00000000" w:rsidRPr="00B27237" w:rsidP="00B27237">
      <w:pPr>
        <w:pStyle w:val="BodyText"/>
      </w:pPr>
      <w:r w:rsidRPr="00B27237">
        <w:t>Not Applicable</w:t>
      </w:r>
    </w:p>
    <w:p w:rsidR="00000000" w:rsidRPr="00B27237" w:rsidP="00B27237">
      <w:pPr>
        <w:pStyle w:val="AllowPageBreak"/>
      </w:pPr>
    </w:p>
    <w:p w:rsidR="00000000" w:rsidRPr="00B27237" w:rsidP="00B27237">
      <w:pPr>
        <w:pStyle w:val="Heading1"/>
      </w:pPr>
      <w:bookmarkStart w:id="5" w:name="O_455314"/>
      <w:bookmarkEnd w:id="5"/>
      <w:r w:rsidRPr="00B27237">
        <w:t>Entry Requirements</w:t>
      </w:r>
    </w:p>
    <w:p w:rsidR="00000000" w:rsidRPr="00B27237" w:rsidP="00B27237">
      <w:pPr>
        <w:pStyle w:val="BodyText"/>
      </w:pPr>
      <w:r w:rsidRPr="00B27237">
        <w:t>Not Applicable</w:t>
      </w:r>
    </w:p>
    <w:p w:rsidR="00000000" w:rsidRPr="00B27237" w:rsidP="00B27237">
      <w:pPr>
        <w:pStyle w:val="AllowPageBreak"/>
      </w:pPr>
    </w:p>
    <w:p w:rsidR="00000000" w:rsidRPr="00B27237" w:rsidP="00B27237">
      <w:pPr>
        <w:pStyle w:val="Heading1"/>
      </w:pPr>
      <w:bookmarkStart w:id="6" w:name="O_455313"/>
      <w:bookmarkEnd w:id="6"/>
      <w:r w:rsidRPr="00B27237">
        <w:t>Employability Skills Summary</w:t>
      </w:r>
    </w:p>
    <w:p w:rsidR="00000000" w:rsidRPr="00B27237" w:rsidP="00B27237">
      <w:pPr>
        <w:pStyle w:val="Heading4"/>
      </w:pPr>
      <w:r w:rsidRPr="00B27237">
        <w:t>Refer to the Topic: Introduction to the Employability Skills Qualification Summaries</w:t>
      </w:r>
    </w:p>
    <w:p w:rsidR="00000000" w:rsidRPr="00B27237" w:rsidP="00B27237">
      <w:pPr>
        <w:pStyle w:val="Heading1"/>
      </w:pPr>
      <w:bookmarkStart w:id="7" w:name="O_455317"/>
      <w:bookmarkEnd w:id="7"/>
      <w:r w:rsidRPr="00B27237">
        <w:t>Packaging Rules</w:t>
      </w:r>
    </w:p>
    <w:tbl>
      <w:tblPr>
        <w:tblW w:w="0" w:type="auto"/>
        <w:tblLayout w:type="fixed"/>
        <w:tblCellMar>
          <w:left w:w="62" w:type="dxa"/>
          <w:right w:w="62" w:type="dxa"/>
        </w:tblCellMar>
        <w:tblLook w:val="0000"/>
      </w:tblPr>
      <w:tblGrid>
        <w:gridCol w:w="8522"/>
      </w:tblGrid>
      <w:tr w:rsidTr="004C29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37" w:rsidP="00B27237">
            <w:pPr>
              <w:pStyle w:val="BodyText"/>
            </w:pPr>
            <w:r w:rsidRPr="00B27237">
              <w:rPr>
                <w:rStyle w:val="SpecialBold"/>
              </w:rPr>
              <w:t>PACKAGING RULES</w:t>
            </w:r>
          </w:p>
          <w:p w:rsidR="00000000" w:rsidRPr="00B27237" w:rsidP="00B27237">
            <w:pPr>
              <w:pStyle w:val="BodyText"/>
            </w:pPr>
            <w:r w:rsidRPr="00B27237">
              <w:t>15 units of competency are required for award of this qualification, including:</w:t>
            </w:r>
          </w:p>
          <w:p w:rsidR="00000000" w:rsidRPr="00B27237" w:rsidP="00B27237">
            <w:pPr>
              <w:pStyle w:val="ListBullet"/>
            </w:pPr>
            <w:r w:rsidRPr="00B27237">
              <w:t>10 core units</w:t>
            </w:r>
          </w:p>
          <w:p w:rsidR="00000000" w:rsidRPr="00B27237" w:rsidP="00B27237">
            <w:pPr>
              <w:pStyle w:val="ListBullet"/>
            </w:pPr>
            <w:r w:rsidRPr="00B27237">
              <w:t xml:space="preserve">5 elective units </w:t>
            </w:r>
          </w:p>
          <w:p w:rsidR="00000000" w:rsidRPr="00B27237" w:rsidP="00B27237">
            <w:pPr>
              <w:pStyle w:val="BodyText"/>
            </w:pPr>
            <w:r w:rsidRPr="00B27237">
              <w:t>A wide range of elective units is available, including:</w:t>
            </w:r>
          </w:p>
          <w:p w:rsidR="00000000" w:rsidRPr="00B27237" w:rsidP="00B27237">
            <w:pPr>
              <w:pStyle w:val="ListBullet2"/>
            </w:pPr>
            <w:r w:rsidRPr="00B27237">
              <w:t xml:space="preserve">Group A electives for culturally aware and respectful practice - at least one unit required </w:t>
            </w:r>
          </w:p>
          <w:p w:rsidR="00000000" w:rsidRPr="00B27237" w:rsidP="00B27237">
            <w:pPr>
              <w:pStyle w:val="ListBullet2"/>
            </w:pPr>
            <w:r w:rsidRPr="00B27237">
              <w:t>Group B electives which are required for work in mortuary theatre practice</w:t>
            </w:r>
          </w:p>
          <w:p w:rsidR="00000000" w:rsidRPr="00B27237" w:rsidP="00B27237">
            <w:pPr>
              <w:pStyle w:val="ListBullet2"/>
            </w:pPr>
            <w:r w:rsidRPr="00B27237">
              <w:t>Group C elective which is recommended for mortuary technicians with pathology museum dut</w:t>
            </w:r>
            <w:r w:rsidRPr="00B27237">
              <w:t>ies</w:t>
            </w:r>
          </w:p>
          <w:p w:rsidR="00000000" w:rsidRPr="00B27237" w:rsidP="00B27237">
            <w:pPr>
              <w:pStyle w:val="ListBullet2"/>
            </w:pPr>
            <w:r w:rsidRPr="00B27237">
              <w:t>Group D elective which is recommended for mortuary technicians who need to operate sterilisers</w:t>
            </w:r>
          </w:p>
          <w:p w:rsidR="00000000" w:rsidRPr="00B27237" w:rsidP="00B27237">
            <w:pPr>
              <w:pStyle w:val="ListBullet2"/>
            </w:pPr>
            <w:r w:rsidRPr="00B27237">
              <w:t>Other relevant electives listed below</w:t>
            </w:r>
          </w:p>
          <w:p w:rsidR="00000000" w:rsidRPr="00B27237" w:rsidP="00B27237">
            <w:pPr>
              <w:pStyle w:val="ListBullet2"/>
            </w:pPr>
            <w:r w:rsidRPr="00B27237">
              <w:t>Units of competency to address workplace requirements and packaged at the level of this qualification or higher in Heal</w:t>
            </w:r>
            <w:r w:rsidRPr="00B27237">
              <w:t>th and/or Community Services Training Packages</w:t>
            </w:r>
          </w:p>
          <w:p w:rsidR="00000000" w:rsidRPr="00B27237" w:rsidP="00B27237">
            <w:pPr>
              <w:pStyle w:val="ListBullet2"/>
            </w:pPr>
            <w:r w:rsidRPr="00B27237">
              <w:t>Where appropriate, to address workplace requirements, up to 2 units of competency packaged at the level of this qualification or higher in other relevant Training Packages or accredited courses where the detai</w:t>
            </w:r>
            <w:r w:rsidRPr="00B27237">
              <w:t xml:space="preserve">ls of those courses are available on the TGA or other public listing </w:t>
            </w:r>
          </w:p>
        </w:tc>
      </w:tr>
    </w:tbl>
    <w:p w:rsidR="00000000" w:rsidRPr="00B27237" w:rsidP="00B27237">
      <w:pPr>
        <w:pStyle w:val="BodyText"/>
      </w:pPr>
      <w:r w:rsidRPr="00B27237">
        <w:rPr>
          <w:rStyle w:val="SpecialBold"/>
        </w:rPr>
        <w:t>Core units</w:t>
      </w:r>
    </w:p>
    <w:p w:rsidR="00000000" w:rsidRPr="00B27237" w:rsidP="00B27237">
      <w:pPr>
        <w:pStyle w:val="BodyText"/>
      </w:pPr>
      <w:r w:rsidRPr="00B27237">
        <w:t>HLTAP301B</w:t>
      </w:r>
      <w:r w:rsidRPr="00B27237">
        <w:tab/>
        <w:t>Recognise healthy body systems in a health care context</w:t>
      </w:r>
    </w:p>
    <w:p w:rsidR="00000000" w:rsidRPr="00B27237" w:rsidP="00B27237">
      <w:pPr>
        <w:pStyle w:val="BodyText"/>
      </w:pPr>
      <w:r w:rsidRPr="00B27237">
        <w:t>HLTHIR301C</w:t>
      </w:r>
      <w:r w:rsidRPr="00B27237">
        <w:tab/>
        <w:t>Communicate and work effectively in health</w:t>
      </w:r>
    </w:p>
    <w:p w:rsidR="00000000" w:rsidRPr="00B27237" w:rsidP="00B27237">
      <w:pPr>
        <w:pStyle w:val="BodyText"/>
      </w:pPr>
      <w:r w:rsidRPr="00B27237">
        <w:t>HLTIN301C</w:t>
      </w:r>
      <w:r w:rsidRPr="00B27237">
        <w:tab/>
      </w:r>
      <w:r w:rsidRPr="00B27237">
        <w:t>Comply with infection control policies and procedures</w:t>
      </w:r>
    </w:p>
    <w:p w:rsidR="00000000" w:rsidRPr="00B27237" w:rsidP="00B27237">
      <w:pPr>
        <w:pStyle w:val="BodyText"/>
      </w:pPr>
      <w:r w:rsidRPr="00B27237">
        <w:t>HLTMS208D</w:t>
      </w:r>
      <w:r w:rsidRPr="00B27237">
        <w:tab/>
        <w:t>Handle waste in a health care environment</w:t>
      </w:r>
    </w:p>
    <w:p w:rsidR="00000000" w:rsidRPr="00B27237" w:rsidP="00B27237">
      <w:pPr>
        <w:pStyle w:val="BodyText"/>
      </w:pPr>
      <w:r w:rsidRPr="00B27237">
        <w:t>HLTMT303D</w:t>
      </w:r>
      <w:r w:rsidRPr="00B27237">
        <w:tab/>
        <w:t>Maintain a mortuary service</w:t>
      </w:r>
    </w:p>
    <w:p w:rsidR="00000000" w:rsidRPr="00B27237" w:rsidP="00B27237">
      <w:pPr>
        <w:pStyle w:val="BodyText"/>
      </w:pPr>
      <w:r w:rsidRPr="00B27237">
        <w:t>HLTMT304D</w:t>
      </w:r>
      <w:r w:rsidRPr="00B27237">
        <w:tab/>
        <w:t>Assist with autopsy</w:t>
      </w:r>
    </w:p>
    <w:p w:rsidR="00000000" w:rsidRPr="00B27237" w:rsidP="00B27237">
      <w:pPr>
        <w:pStyle w:val="BodyText"/>
      </w:pPr>
      <w:r w:rsidRPr="00B27237">
        <w:t>HLTMT306D</w:t>
      </w:r>
      <w:r w:rsidRPr="00B27237">
        <w:tab/>
        <w:t>Maintain, clean and store autopsy equipment</w:t>
      </w:r>
    </w:p>
    <w:p w:rsidR="00000000" w:rsidRPr="00B27237" w:rsidP="00B27237">
      <w:pPr>
        <w:pStyle w:val="BodyText"/>
      </w:pPr>
      <w:r w:rsidRPr="00B27237">
        <w:t>HLTMT307B</w:t>
      </w:r>
      <w:r w:rsidRPr="00B27237">
        <w:tab/>
        <w:t xml:space="preserve">Clean location to </w:t>
      </w:r>
      <w:r w:rsidRPr="00B27237">
        <w:t>achieve low bacteria status</w:t>
      </w:r>
    </w:p>
    <w:p w:rsidR="00000000" w:rsidRPr="00B27237" w:rsidP="00B27237">
      <w:pPr>
        <w:pStyle w:val="BodyText"/>
      </w:pPr>
      <w:r w:rsidRPr="00B27237">
        <w:t>HLTMT310D</w:t>
      </w:r>
      <w:r w:rsidRPr="00B27237">
        <w:tab/>
        <w:t>Collect, preserve and store post mortem samples</w:t>
      </w:r>
    </w:p>
    <w:p w:rsidR="00000000" w:rsidRPr="00B27237" w:rsidP="00B27237">
      <w:pPr>
        <w:pStyle w:val="BodyText"/>
      </w:pPr>
      <w:r w:rsidRPr="00B27237">
        <w:t>HLTWHS300A</w:t>
      </w:r>
      <w:r w:rsidRPr="00B27237">
        <w:tab/>
        <w:t>Contribute to WHS processes</w:t>
      </w:r>
    </w:p>
    <w:p w:rsidR="00000000" w:rsidRPr="00B27237" w:rsidP="00B27237">
      <w:pPr>
        <w:pStyle w:val="BodyText"/>
      </w:pPr>
    </w:p>
    <w:p w:rsidR="00000000" w:rsidRPr="00B27237" w:rsidP="00B27237">
      <w:pPr>
        <w:pStyle w:val="BodyText"/>
      </w:pPr>
      <w:r w:rsidRPr="00B27237">
        <w:rPr>
          <w:rStyle w:val="SpecialBold"/>
        </w:rPr>
        <w:t>The importance of culturally aware and respectful practice</w:t>
      </w:r>
    </w:p>
    <w:p w:rsidR="00000000" w:rsidRPr="00B27237" w:rsidP="00B27237">
      <w:pPr>
        <w:pStyle w:val="BodyText"/>
      </w:pPr>
      <w:r w:rsidRPr="00B27237">
        <w:t>All workers undertaking work in health need foundation knowledge to inf</w:t>
      </w:r>
      <w:r w:rsidRPr="00B27237">
        <w:t>orm their work with Aboriginal and/or Torres Strait Islander clients and co-workers and with clients and co-workers from culturally and linguistically diverse backgrounds. This foundation must be provided and assessed as part of a holistic approach to deli</w:t>
      </w:r>
      <w:r w:rsidRPr="00B27237">
        <w:t>very and assessment of this qualification. Specific guidelines for assessment of this aspect of competency are provided in the Assessment Guidelines for the Health Training Package.</w:t>
      </w:r>
    </w:p>
    <w:p w:rsidR="00000000" w:rsidRPr="00B27237" w:rsidP="00B27237">
      <w:pPr>
        <w:pStyle w:val="BodyText"/>
      </w:pPr>
      <w:r w:rsidRPr="00B27237">
        <w:rPr>
          <w:rStyle w:val="SpecialBold"/>
        </w:rPr>
        <w:t>Group A electives</w:t>
      </w:r>
      <w:r w:rsidRPr="00B27237">
        <w:t xml:space="preserve"> - </w:t>
      </w:r>
      <w:r w:rsidRPr="00B27237">
        <w:rPr>
          <w:rStyle w:val="SpecialBold"/>
        </w:rPr>
        <w:t>at least one unit required for culturally aware and re</w:t>
      </w:r>
      <w:r w:rsidRPr="00B27237">
        <w:rPr>
          <w:rStyle w:val="SpecialBold"/>
        </w:rPr>
        <w:t>spectful practice</w:t>
      </w:r>
    </w:p>
    <w:p w:rsidR="00000000" w:rsidRPr="00B27237" w:rsidP="00B27237">
      <w:pPr>
        <w:pStyle w:val="BodyText"/>
      </w:pPr>
      <w:r w:rsidRPr="00B27237">
        <w:t>At least one of the following units is required for this qualification. Where work involves a specific focus on Aboriginal and/or Torres Strait Islander and/or culturally diverse clients or communities, both units are recommended.</w:t>
      </w:r>
    </w:p>
    <w:p w:rsidR="00000000" w:rsidRPr="00B27237" w:rsidP="00B27237">
      <w:pPr>
        <w:pStyle w:val="BodyText"/>
      </w:pPr>
      <w:r w:rsidRPr="00B27237">
        <w:t>HLTHIR4</w:t>
      </w:r>
      <w:r w:rsidRPr="00B27237">
        <w:t>03C</w:t>
      </w:r>
      <w:r w:rsidRPr="00B27237">
        <w:tab/>
        <w:t>Work effectively with culturally diverse clients and co-workers</w:t>
      </w:r>
    </w:p>
    <w:p w:rsidR="00000000" w:rsidRPr="00B27237" w:rsidP="00B27237">
      <w:pPr>
        <w:pStyle w:val="BodyText"/>
      </w:pPr>
      <w:r w:rsidRPr="00B27237">
        <w:t>HLTHIR404D</w:t>
      </w:r>
      <w:r w:rsidRPr="00B27237">
        <w:tab/>
        <w:t>Work effectively with Aboriginal and/or Torres Strait Islander people</w:t>
      </w:r>
    </w:p>
    <w:p w:rsidR="00000000" w:rsidRPr="00B27237" w:rsidP="00B27237">
      <w:pPr>
        <w:pStyle w:val="BodyText"/>
      </w:pPr>
      <w:r w:rsidRPr="00B27237">
        <w:rPr>
          <w:rStyle w:val="SpecialBold"/>
        </w:rPr>
        <w:t>Group B electives</w:t>
      </w:r>
      <w:r w:rsidRPr="00B27237">
        <w:t xml:space="preserve"> - </w:t>
      </w:r>
      <w:r w:rsidRPr="00B27237">
        <w:rPr>
          <w:rStyle w:val="SpecialBold"/>
        </w:rPr>
        <w:t>required for work in mortuary theatre practice</w:t>
      </w:r>
    </w:p>
    <w:p w:rsidR="00000000" w:rsidRPr="00B27237" w:rsidP="00B27237">
      <w:pPr>
        <w:pStyle w:val="BodyText"/>
      </w:pPr>
      <w:r w:rsidRPr="00B27237">
        <w:t>The following units or units with equiva</w:t>
      </w:r>
      <w:r w:rsidRPr="00B27237">
        <w:t>lent competency outcomes are required to work in mortuary theatre practice.</w:t>
      </w:r>
    </w:p>
    <w:p w:rsidR="00000000" w:rsidRPr="00B27237" w:rsidP="00B27237">
      <w:pPr>
        <w:pStyle w:val="BodyText"/>
      </w:pPr>
      <w:r w:rsidRPr="00B27237">
        <w:t>BSBFLM303C</w:t>
      </w:r>
      <w:r w:rsidRPr="00B27237">
        <w:tab/>
        <w:t>Contribute to effective workplace relationships</w:t>
      </w:r>
    </w:p>
    <w:p w:rsidR="00000000" w:rsidRPr="00B27237" w:rsidP="00B27237">
      <w:pPr>
        <w:pStyle w:val="BodyText"/>
      </w:pPr>
      <w:r w:rsidRPr="00B27237">
        <w:t>HLTAMBPD401C</w:t>
      </w:r>
      <w:r w:rsidRPr="00B27237">
        <w:tab/>
        <w:t>Manage personal stressors in the work environment</w:t>
      </w:r>
    </w:p>
    <w:p w:rsidR="00000000" w:rsidRPr="00B27237" w:rsidP="00B27237">
      <w:pPr>
        <w:pStyle w:val="BodyText"/>
      </w:pPr>
      <w:r w:rsidRPr="00B27237">
        <w:rPr>
          <w:rStyle w:val="SpecialBold"/>
        </w:rPr>
        <w:t>Group C elective</w:t>
      </w:r>
      <w:r w:rsidRPr="00B27237">
        <w:t xml:space="preserve"> - </w:t>
      </w:r>
      <w:r w:rsidRPr="00B27237">
        <w:rPr>
          <w:rStyle w:val="SpecialBold"/>
        </w:rPr>
        <w:t>recommended for mortuary technicians wi</w:t>
      </w:r>
      <w:r w:rsidRPr="00B27237">
        <w:rPr>
          <w:rStyle w:val="SpecialBold"/>
        </w:rPr>
        <w:t>th pathology museum duties</w:t>
      </w:r>
    </w:p>
    <w:p w:rsidR="00000000" w:rsidRPr="00B27237" w:rsidP="00B27237">
      <w:pPr>
        <w:pStyle w:val="BodyText"/>
      </w:pPr>
      <w:r w:rsidRPr="00B27237">
        <w:t>The following unit is recommended for mortuary technicians who are required to undertake pathology museum duties.</w:t>
      </w:r>
    </w:p>
    <w:p w:rsidR="00000000" w:rsidRPr="00B27237" w:rsidP="00B27237">
      <w:pPr>
        <w:pStyle w:val="BodyText"/>
      </w:pPr>
      <w:r w:rsidRPr="00B27237">
        <w:t>HLTMT305D</w:t>
      </w:r>
      <w:r w:rsidRPr="00B27237">
        <w:tab/>
        <w:t>Maintain and record tissue sample collection</w:t>
      </w:r>
    </w:p>
    <w:p w:rsidR="00000000" w:rsidRPr="00B27237" w:rsidP="00B27237">
      <w:pPr>
        <w:pStyle w:val="BodyText"/>
      </w:pPr>
      <w:r w:rsidRPr="00B27237">
        <w:rPr>
          <w:rStyle w:val="SpecialBold"/>
        </w:rPr>
        <w:t>Group D elective</w:t>
      </w:r>
      <w:r w:rsidRPr="00B27237">
        <w:t xml:space="preserve"> - </w:t>
      </w:r>
      <w:r w:rsidRPr="00B27237">
        <w:rPr>
          <w:rStyle w:val="SpecialBold"/>
        </w:rPr>
        <w:t>recommended for mortuary technicians who operate sterilisers</w:t>
      </w:r>
    </w:p>
    <w:p w:rsidR="00000000" w:rsidRPr="00B27237" w:rsidP="00B27237">
      <w:pPr>
        <w:pStyle w:val="BodyText"/>
      </w:pPr>
      <w:r w:rsidRPr="00B27237">
        <w:t>The following unit is recommended for mortuary technicians who are required to operate sterilisers.</w:t>
      </w:r>
    </w:p>
    <w:p w:rsidR="00000000" w:rsidRPr="00B27237" w:rsidP="00B27237">
      <w:pPr>
        <w:pStyle w:val="BodyText"/>
      </w:pPr>
      <w:r w:rsidRPr="00B27237">
        <w:t>SIFMWK003A</w:t>
      </w:r>
      <w:r w:rsidRPr="00B27237">
        <w:tab/>
        <w:t>Clean and sterilise mortuary items and equipment</w:t>
      </w:r>
    </w:p>
    <w:p w:rsidR="00000000" w:rsidRPr="00B27237" w:rsidP="00B27237">
      <w:pPr>
        <w:pStyle w:val="BodyText"/>
      </w:pPr>
    </w:p>
    <w:p w:rsidR="00000000" w:rsidRPr="00B27237" w:rsidP="00B27237">
      <w:pPr>
        <w:pStyle w:val="BodyText"/>
      </w:pPr>
      <w:r w:rsidRPr="00B27237">
        <w:rPr>
          <w:rStyle w:val="SpecialBold"/>
        </w:rPr>
        <w:t>Other relevant electives</w:t>
      </w:r>
      <w:r w:rsidRPr="00B27237">
        <w:t xml:space="preserve"> </w:t>
      </w:r>
    </w:p>
    <w:p w:rsidR="00000000" w:rsidRPr="00B27237" w:rsidP="00B27237">
      <w:pPr>
        <w:pStyle w:val="BodyText"/>
      </w:pPr>
      <w:r w:rsidRPr="00B27237">
        <w:t>Elective</w:t>
      </w:r>
      <w:r w:rsidRPr="00B27237">
        <w:t>s are to be selected in line with the specified Packaging Rules. Employers may specify that certain electives are required to address identified workplace needs. Relevant electives may also be identified in the Health, Laboratory Operations, Funeral Servic</w:t>
      </w:r>
      <w:r w:rsidRPr="00B27237">
        <w:t>es, Business Services and/or Public Sector Training Packages.</w:t>
      </w:r>
    </w:p>
    <w:p w:rsidR="00000000" w:rsidRPr="00B27237" w:rsidP="00B27237">
      <w:pPr>
        <w:pStyle w:val="BodyText"/>
      </w:pPr>
      <w:r w:rsidRPr="00B27237">
        <w:t>HLTMT411C</w:t>
      </w:r>
      <w:r w:rsidRPr="00B27237">
        <w:tab/>
        <w:t>Screen tissue donors</w:t>
      </w:r>
    </w:p>
    <w:p w:rsidR="00000000" w:rsidRPr="00B27237" w:rsidP="00B27237">
      <w:pPr>
        <w:pStyle w:val="BodyText"/>
      </w:pPr>
      <w:r w:rsidRPr="00B27237">
        <w:t>HLTMT412B</w:t>
      </w:r>
      <w:r w:rsidRPr="00B27237">
        <w:tab/>
        <w:t>Receive, store and track evidence</w:t>
      </w:r>
    </w:p>
    <w:p w:rsidR="00000000" w:rsidRPr="00B27237" w:rsidP="00B27237">
      <w:pPr>
        <w:pStyle w:val="BodyText"/>
      </w:pPr>
      <w:r w:rsidRPr="00B27237">
        <w:t>HLTPAT302D</w:t>
      </w:r>
      <w:r w:rsidRPr="00B27237">
        <w:tab/>
        <w:t>Assist with microbiology testing</w:t>
      </w:r>
    </w:p>
    <w:p w:rsidR="00000000" w:rsidRPr="00B27237" w:rsidP="00B27237">
      <w:pPr>
        <w:pStyle w:val="BodyText"/>
      </w:pPr>
      <w:r w:rsidRPr="00B27237">
        <w:t>HLTPAT303D</w:t>
      </w:r>
      <w:r w:rsidRPr="00B27237">
        <w:tab/>
        <w:t>Transport specimens and blood products</w:t>
      </w:r>
    </w:p>
    <w:p w:rsidR="00000000" w:rsidRPr="00B27237" w:rsidP="00B27237">
      <w:pPr>
        <w:pStyle w:val="BodyText"/>
      </w:pPr>
      <w:r w:rsidRPr="00B27237">
        <w:t>MSL973004A</w:t>
      </w:r>
      <w:r w:rsidRPr="00B27237">
        <w:tab/>
        <w:t>Perform asepti</w:t>
      </w:r>
      <w:r w:rsidRPr="00B27237">
        <w:t>c techniques</w:t>
      </w:r>
    </w:p>
    <w:p w:rsidR="00000000" w:rsidRPr="00B27237" w:rsidP="00B27237">
      <w:pPr>
        <w:pStyle w:val="BodyText"/>
      </w:pPr>
      <w:r w:rsidRPr="00B27237">
        <w:t>MSL973007A</w:t>
      </w:r>
      <w:r w:rsidRPr="00B27237">
        <w:tab/>
        <w:t>Perform microscopic examination</w:t>
      </w:r>
    </w:p>
    <w:p w:rsidR="00000000" w:rsidRPr="00B27237" w:rsidP="00B27237">
      <w:pPr>
        <w:pStyle w:val="BodyText"/>
      </w:pPr>
      <w:r w:rsidRPr="00B27237">
        <w:t>MSL974006A</w:t>
      </w:r>
      <w:r w:rsidRPr="00B27237">
        <w:tab/>
        <w:t>Perform biological procedures</w:t>
      </w:r>
    </w:p>
    <w:p w:rsidR="00000000" w:rsidRPr="00B27237" w:rsidP="00B27237">
      <w:pPr>
        <w:pStyle w:val="BodyText"/>
      </w:pPr>
      <w:r w:rsidRPr="00B27237">
        <w:t>(Note pre-requs: MSL973004A and MSL973007A)</w:t>
      </w:r>
    </w:p>
    <w:p w:rsidR="004C29F4" w:rsidP="00B27237">
      <w:pPr>
        <w:pStyle w:val="BodyText"/>
      </w:pPr>
      <w:r w:rsidRPr="00B27237">
        <w:t>MSL974011A</w:t>
      </w:r>
      <w:r w:rsidRPr="00B27237">
        <w:tab/>
        <w:t>Prepare tissue and cell cultures</w:t>
      </w:r>
    </w:p>
    <w:p w:rsidR="004C29F4" w:rsidP="00B27237">
      <w:pPr>
        <w:pStyle w:val="BodyText"/>
      </w:pPr>
    </w:p>
    <w:p w:rsidR="00000000" w:rsidRPr="00B27237" w:rsidP="00B27237"/>
    <w:sectPr w:rsidSect="00B27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9F4" w:rsidP="004C29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F4" w:rsidP="00B272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29F4" w:rsidP="00B27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29F4" w:rsidP="00B27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37" w:rsidRPr="004C29F4" w:rsidP="004C29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F4" w:rsidRPr="002D2AF8" w:rsidP="00B27237">
    <w:pPr>
      <w:pStyle w:val="Header"/>
      <w:framePr w:wrap="around"/>
    </w:pPr>
    <w:r>
      <w:fldChar w:fldCharType="begin"/>
    </w:r>
    <w:r>
      <w:instrText xml:space="preserve"> TITLE   \* MERGEFORMAT </w:instrText>
    </w:r>
    <w:r>
      <w:fldChar w:fldCharType="separate"/>
    </w:r>
    <w:r>
      <w:t>HLT32012 Certificate III in Mortuary Theatre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4C29F4" w:rsidP="00B27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98B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09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6B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237"/>
    <w:pPr>
      <w:spacing w:before="360" w:after="60"/>
      <w:outlineLvl w:val="0"/>
    </w:pPr>
    <w:rPr>
      <w:sz w:val="32"/>
    </w:rPr>
  </w:style>
  <w:style w:type="paragraph" w:styleId="Heading2">
    <w:name w:val="heading 2"/>
    <w:basedOn w:val="HeadingBase"/>
    <w:next w:val="BodyText"/>
    <w:link w:val="Heading2Char"/>
    <w:qFormat/>
    <w:rsid w:val="00B27237"/>
    <w:pPr>
      <w:keepLines/>
      <w:spacing w:before="240" w:after="120"/>
      <w:outlineLvl w:val="1"/>
    </w:pPr>
    <w:rPr>
      <w:sz w:val="28"/>
      <w:szCs w:val="40"/>
    </w:rPr>
  </w:style>
  <w:style w:type="paragraph" w:styleId="Heading3">
    <w:name w:val="heading 3"/>
    <w:basedOn w:val="HeadingBase"/>
    <w:next w:val="BodyText"/>
    <w:link w:val="Heading3Char"/>
    <w:qFormat/>
    <w:rsid w:val="00B27237"/>
    <w:pPr>
      <w:spacing w:before="180" w:after="120"/>
      <w:outlineLvl w:val="2"/>
    </w:pPr>
    <w:rPr>
      <w:spacing w:val="-10"/>
      <w:kern w:val="32"/>
    </w:rPr>
  </w:style>
  <w:style w:type="paragraph" w:styleId="Heading4">
    <w:name w:val="heading 4"/>
    <w:basedOn w:val="HeadingBase"/>
    <w:next w:val="BodyText"/>
    <w:link w:val="Heading4Char"/>
    <w:qFormat/>
    <w:rsid w:val="00B27237"/>
    <w:pPr>
      <w:spacing w:before="160" w:after="120"/>
      <w:outlineLvl w:val="3"/>
    </w:pPr>
    <w:rPr>
      <w:sz w:val="22"/>
    </w:rPr>
  </w:style>
  <w:style w:type="paragraph" w:styleId="Heading5">
    <w:name w:val="heading 5"/>
    <w:basedOn w:val="HeadingBase"/>
    <w:next w:val="Normal"/>
    <w:link w:val="Heading5Char"/>
    <w:qFormat/>
    <w:rsid w:val="00B27237"/>
    <w:pPr>
      <w:spacing w:before="80"/>
      <w:outlineLvl w:val="4"/>
    </w:pPr>
    <w:rPr>
      <w:color w:val="918585"/>
      <w:sz w:val="20"/>
    </w:rPr>
  </w:style>
  <w:style w:type="paragraph" w:styleId="Heading6">
    <w:name w:val="heading 6"/>
    <w:basedOn w:val="HeadingBase"/>
    <w:next w:val="Normal"/>
    <w:link w:val="Heading6Char"/>
    <w:qFormat/>
    <w:rsid w:val="00B27237"/>
    <w:pPr>
      <w:spacing w:before="60"/>
      <w:outlineLvl w:val="5"/>
    </w:pPr>
    <w:rPr>
      <w:color w:val="918585"/>
      <w:sz w:val="20"/>
    </w:rPr>
  </w:style>
  <w:style w:type="paragraph" w:styleId="Heading7">
    <w:name w:val="heading 7"/>
    <w:basedOn w:val="Normal"/>
    <w:next w:val="Normal"/>
    <w:link w:val="Heading7Char"/>
    <w:qFormat/>
    <w:rsid w:val="00B27237"/>
    <w:pPr>
      <w:ind w:left="720"/>
      <w:outlineLvl w:val="6"/>
    </w:pPr>
    <w:rPr>
      <w:i/>
    </w:rPr>
  </w:style>
  <w:style w:type="paragraph" w:styleId="Heading8">
    <w:name w:val="heading 8"/>
    <w:basedOn w:val="Normal"/>
    <w:next w:val="Normal"/>
    <w:link w:val="Heading8Char"/>
    <w:qFormat/>
    <w:rsid w:val="00B27237"/>
    <w:pPr>
      <w:ind w:left="720"/>
      <w:outlineLvl w:val="7"/>
    </w:pPr>
    <w:rPr>
      <w:i/>
    </w:rPr>
  </w:style>
  <w:style w:type="paragraph" w:styleId="Heading9">
    <w:name w:val="heading 9"/>
    <w:basedOn w:val="Normal"/>
    <w:next w:val="Normal"/>
    <w:link w:val="Heading9Char"/>
    <w:qFormat/>
    <w:rsid w:val="00B27237"/>
    <w:pPr>
      <w:ind w:left="720"/>
      <w:outlineLvl w:val="8"/>
    </w:pPr>
    <w:rPr>
      <w:i/>
    </w:rPr>
  </w:style>
  <w:style w:type="character" w:default="1" w:styleId="DefaultParagraphFont">
    <w:name w:val="Default Paragraph Font"/>
    <w:uiPriority w:val="1"/>
    <w:unhideWhenUsed/>
    <w:rsid w:val="00B27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237"/>
  </w:style>
  <w:style w:type="character" w:customStyle="1" w:styleId="Heading1Char">
    <w:name w:val="Heading 1 Char"/>
    <w:basedOn w:val="DefaultParagraphFont"/>
    <w:link w:val="Heading1"/>
    <w:rsid w:val="00B2723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7237"/>
    <w:rPr>
      <w:rFonts w:ascii="Times New Roman" w:eastAsia="Times New Roman" w:hAnsi="Times New Roman" w:cs="Times New Roman"/>
      <w:b/>
      <w:szCs w:val="20"/>
      <w:lang w:eastAsia="en-US"/>
    </w:rPr>
  </w:style>
  <w:style w:type="paragraph" w:styleId="BodyText">
    <w:name w:val="Body Text"/>
    <w:basedOn w:val="Normal"/>
    <w:link w:val="BodyTextChar"/>
    <w:rsid w:val="00B27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237"/>
    <w:rPr>
      <w:rFonts w:ascii="Times New Roman" w:eastAsia="Times New Roman" w:hAnsi="Times New Roman" w:cs="Times New Roman"/>
      <w:sz w:val="24"/>
      <w:lang w:eastAsia="en-US"/>
    </w:rPr>
  </w:style>
  <w:style w:type="paragraph" w:styleId="Footer">
    <w:name w:val="footer"/>
    <w:basedOn w:val="Normal"/>
    <w:link w:val="FooterChar"/>
    <w:rsid w:val="00B27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237"/>
    <w:rPr>
      <w:rFonts w:ascii="Times New Roman" w:eastAsia="Times New Roman" w:hAnsi="Times New Roman" w:cs="Times New Roman"/>
      <w:sz w:val="16"/>
      <w:lang w:eastAsia="en-US"/>
    </w:rPr>
  </w:style>
  <w:style w:type="paragraph" w:styleId="ListBullet">
    <w:name w:val="List Bullet"/>
    <w:basedOn w:val="List"/>
    <w:rsid w:val="00B27237"/>
    <w:pPr>
      <w:numPr>
        <w:numId w:val="13"/>
      </w:numPr>
      <w:tabs>
        <w:tab w:val="clear" w:pos="340"/>
      </w:tabs>
      <w:spacing w:before="40" w:after="40"/>
    </w:pPr>
  </w:style>
  <w:style w:type="character" w:customStyle="1" w:styleId="SpecialBold">
    <w:name w:val="Special Bold"/>
    <w:basedOn w:val="DefaultParagraphFont"/>
    <w:rsid w:val="00B27237"/>
    <w:rPr>
      <w:b/>
      <w:spacing w:val="0"/>
    </w:rPr>
  </w:style>
  <w:style w:type="paragraph" w:styleId="ListBullet2">
    <w:name w:val="List Bullet 2"/>
    <w:basedOn w:val="List2"/>
    <w:rsid w:val="00B27237"/>
    <w:pPr>
      <w:numPr>
        <w:numId w:val="14"/>
      </w:numPr>
      <w:tabs>
        <w:tab w:val="clear" w:pos="680"/>
      </w:tabs>
    </w:pPr>
  </w:style>
  <w:style w:type="paragraph" w:customStyle="1" w:styleId="SuperHeading">
    <w:name w:val="SuperHeading"/>
    <w:basedOn w:val="Normal"/>
    <w:rsid w:val="00B27237"/>
    <w:pPr>
      <w:spacing w:before="240" w:after="120"/>
      <w:outlineLvl w:val="0"/>
    </w:pPr>
    <w:rPr>
      <w:rFonts w:ascii="Times New Roman" w:hAnsi="Times New Roman"/>
      <w:b/>
      <w:sz w:val="28"/>
    </w:rPr>
  </w:style>
  <w:style w:type="paragraph" w:customStyle="1" w:styleId="AllowPageBreak">
    <w:name w:val="AllowPageBreak"/>
    <w:rsid w:val="00B27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23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7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237"/>
    <w:rPr>
      <w:rFonts w:ascii="Courier New" w:eastAsia="Times New Roman" w:hAnsi="Courier New" w:cs="Times New Roman"/>
      <w:i/>
      <w:szCs w:val="20"/>
      <w:lang w:eastAsia="en-US"/>
    </w:rPr>
  </w:style>
  <w:style w:type="paragraph" w:customStyle="1" w:styleId="HeadingBase">
    <w:name w:val="Heading Base"/>
    <w:rsid w:val="00B27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237"/>
    <w:pPr>
      <w:tabs>
        <w:tab w:val="right" w:leader="dot" w:pos="9072"/>
      </w:tabs>
      <w:ind w:left="567"/>
    </w:pPr>
    <w:rPr>
      <w:szCs w:val="22"/>
    </w:rPr>
  </w:style>
  <w:style w:type="paragraph" w:customStyle="1" w:styleId="TOCBase">
    <w:name w:val="TOC Base"/>
    <w:rsid w:val="00B27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237"/>
    <w:pPr>
      <w:tabs>
        <w:tab w:val="right" w:leader="dot" w:pos="9072"/>
      </w:tabs>
      <w:spacing w:before="40" w:after="40"/>
      <w:ind w:left="284"/>
    </w:pPr>
    <w:rPr>
      <w:rFonts w:ascii="Times New Roman" w:hAnsi="Times New Roman"/>
    </w:rPr>
  </w:style>
  <w:style w:type="paragraph" w:styleId="TOC1">
    <w:name w:val="toc 1"/>
    <w:basedOn w:val="TOCBase"/>
    <w:next w:val="Normal"/>
    <w:rsid w:val="00B27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237"/>
    <w:pPr>
      <w:spacing w:before="5040"/>
      <w:jc w:val="center"/>
    </w:pPr>
    <w:rPr>
      <w:sz w:val="48"/>
      <w:szCs w:val="72"/>
      <w:lang w:val="en-US"/>
    </w:rPr>
  </w:style>
  <w:style w:type="character" w:customStyle="1" w:styleId="TitleChar">
    <w:name w:val="Title Char"/>
    <w:basedOn w:val="DefaultParagraphFont"/>
    <w:link w:val="Title"/>
    <w:rsid w:val="00B27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237"/>
    <w:pPr>
      <w:tabs>
        <w:tab w:val="left" w:pos="3600"/>
        <w:tab w:val="left" w:pos="3958"/>
      </w:tabs>
    </w:pPr>
  </w:style>
  <w:style w:type="paragraph" w:styleId="List">
    <w:name w:val="List"/>
    <w:basedOn w:val="BodyText"/>
    <w:next w:val="BodyText"/>
    <w:rsid w:val="00B27237"/>
    <w:pPr>
      <w:tabs>
        <w:tab w:val="left" w:pos="340"/>
      </w:tabs>
      <w:spacing w:before="60" w:after="60"/>
      <w:ind w:left="340" w:hanging="340"/>
    </w:pPr>
  </w:style>
  <w:style w:type="paragraph" w:customStyle="1" w:styleId="Note">
    <w:name w:val="Note"/>
    <w:basedOn w:val="BodyText"/>
    <w:rsid w:val="00B27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237"/>
    <w:pPr>
      <w:framePr w:wrap="auto" w:hAnchor="text" w:y="6049"/>
    </w:pPr>
    <w:rPr>
      <w:color w:val="000000"/>
      <w:sz w:val="40"/>
    </w:rPr>
  </w:style>
  <w:style w:type="paragraph" w:customStyle="1" w:styleId="TOCTitle">
    <w:name w:val="TOCTitle"/>
    <w:basedOn w:val="Heading1"/>
    <w:rsid w:val="00B27237"/>
    <w:pPr>
      <w:spacing w:after="240"/>
      <w:jc w:val="center"/>
      <w:outlineLvl w:val="9"/>
    </w:pPr>
    <w:rPr>
      <w:caps/>
    </w:rPr>
  </w:style>
  <w:style w:type="paragraph" w:customStyle="1" w:styleId="Version">
    <w:name w:val="Version"/>
    <w:rsid w:val="00B272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237"/>
    <w:pPr>
      <w:keepNext w:val="0"/>
      <w:tabs>
        <w:tab w:val="right" w:pos="4176"/>
      </w:tabs>
      <w:ind w:left="198" w:hanging="198"/>
    </w:pPr>
    <w:rPr>
      <w:rFonts w:ascii="Garamond" w:hAnsi="Garamond"/>
    </w:rPr>
  </w:style>
  <w:style w:type="paragraph" w:styleId="IndexHeading">
    <w:name w:val="index heading"/>
    <w:basedOn w:val="Normal"/>
    <w:next w:val="Index1"/>
    <w:semiHidden/>
    <w:rsid w:val="00B27237"/>
    <w:pPr>
      <w:spacing w:before="120" w:after="120"/>
    </w:pPr>
    <w:rPr>
      <w:rFonts w:ascii="Arial" w:hAnsi="Arial"/>
      <w:b/>
      <w:color w:val="918585"/>
      <w:sz w:val="24"/>
    </w:rPr>
  </w:style>
  <w:style w:type="paragraph" w:styleId="Header">
    <w:name w:val="header"/>
    <w:basedOn w:val="Normal"/>
    <w:link w:val="HeaderChar"/>
    <w:rsid w:val="00B27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237"/>
    <w:rPr>
      <w:rFonts w:ascii="Times New Roman" w:eastAsia="Times New Roman" w:hAnsi="Times New Roman" w:cs="Times New Roman"/>
      <w:sz w:val="16"/>
      <w:szCs w:val="20"/>
      <w:lang w:val="en-GB" w:eastAsia="en-US"/>
    </w:rPr>
  </w:style>
  <w:style w:type="paragraph" w:customStyle="1" w:styleId="Chapter">
    <w:name w:val="Chapter"/>
    <w:basedOn w:val="Normal"/>
    <w:rsid w:val="00B27237"/>
    <w:pPr>
      <w:spacing w:before="240"/>
    </w:pPr>
    <w:rPr>
      <w:rFonts w:ascii="Times New Roman" w:hAnsi="Times New Roman"/>
      <w:smallCaps/>
      <w:spacing w:val="80"/>
      <w:sz w:val="28"/>
    </w:rPr>
  </w:style>
  <w:style w:type="paragraph" w:customStyle="1" w:styleId="InChapter">
    <w:name w:val="InChapter"/>
    <w:basedOn w:val="Heading3"/>
    <w:rsid w:val="00B27237"/>
    <w:pPr>
      <w:spacing w:after="240"/>
      <w:outlineLvl w:val="9"/>
    </w:pPr>
    <w:rPr>
      <w:noProof/>
    </w:rPr>
  </w:style>
  <w:style w:type="paragraph" w:styleId="Index2">
    <w:name w:val="index 2"/>
    <w:basedOn w:val="Normal"/>
    <w:next w:val="Normal"/>
    <w:semiHidden/>
    <w:rsid w:val="00B27237"/>
    <w:pPr>
      <w:tabs>
        <w:tab w:val="right" w:pos="4176"/>
      </w:tabs>
      <w:ind w:left="568" w:hanging="284"/>
    </w:pPr>
    <w:rPr>
      <w:rFonts w:ascii="Garamond" w:hAnsi="Garamond"/>
    </w:rPr>
  </w:style>
  <w:style w:type="paragraph" w:customStyle="1" w:styleId="Byline">
    <w:name w:val="Byline"/>
    <w:rsid w:val="00B27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237"/>
    <w:pPr>
      <w:tabs>
        <w:tab w:val="clear" w:pos="3600"/>
        <w:tab w:val="clear" w:pos="3958"/>
      </w:tabs>
      <w:jc w:val="right"/>
    </w:pPr>
  </w:style>
  <w:style w:type="character" w:styleId="Emphasis">
    <w:name w:val="Emphasis"/>
    <w:basedOn w:val="DefaultParagraphFont"/>
    <w:qFormat/>
    <w:rsid w:val="00B27237"/>
    <w:rPr>
      <w:i/>
    </w:rPr>
  </w:style>
  <w:style w:type="paragraph" w:styleId="Caption">
    <w:name w:val="caption"/>
    <w:basedOn w:val="BodyText"/>
    <w:next w:val="Normal"/>
    <w:qFormat/>
    <w:rsid w:val="00B27237"/>
    <w:pPr>
      <w:framePr w:w="2268" w:hSpace="181" w:vSpace="181" w:wrap="around" w:vAnchor="text" w:hAnchor="page" w:x="1135" w:y="285" w:anchorLock="1"/>
    </w:pPr>
    <w:rPr>
      <w:i/>
    </w:rPr>
  </w:style>
  <w:style w:type="paragraph" w:customStyle="1" w:styleId="MiniTOCTitle">
    <w:name w:val="MiniTOCTitle"/>
    <w:basedOn w:val="Heading4"/>
    <w:rsid w:val="00B27237"/>
    <w:pPr>
      <w:spacing w:before="240"/>
      <w:outlineLvl w:val="9"/>
    </w:pPr>
    <w:rPr>
      <w:noProof/>
      <w:sz w:val="24"/>
    </w:rPr>
  </w:style>
  <w:style w:type="paragraph" w:customStyle="1" w:styleId="MiniTOCItem">
    <w:name w:val="MiniTOCItem"/>
    <w:basedOn w:val="ListBullet"/>
    <w:rsid w:val="00B27237"/>
    <w:pPr>
      <w:numPr>
        <w:numId w:val="0"/>
      </w:numPr>
      <w:tabs>
        <w:tab w:val="right" w:leader="dot" w:pos="6521"/>
      </w:tabs>
      <w:spacing w:before="0" w:after="0"/>
    </w:pPr>
  </w:style>
  <w:style w:type="paragraph" w:customStyle="1" w:styleId="TOFTitle">
    <w:name w:val="TOFTitle"/>
    <w:basedOn w:val="TOCTitle"/>
    <w:rsid w:val="00B27237"/>
  </w:style>
  <w:style w:type="paragraph" w:styleId="TableofFigures">
    <w:name w:val="table of figures"/>
    <w:basedOn w:val="Normal"/>
    <w:next w:val="Normal"/>
    <w:semiHidden/>
    <w:rsid w:val="00B27237"/>
    <w:pPr>
      <w:tabs>
        <w:tab w:val="right" w:leader="dot" w:pos="9072"/>
      </w:tabs>
      <w:ind w:left="970" w:hanging="403"/>
    </w:pPr>
    <w:rPr>
      <w:rFonts w:ascii="Times New Roman" w:hAnsi="Times New Roman"/>
      <w:b/>
    </w:rPr>
  </w:style>
  <w:style w:type="paragraph" w:styleId="ListNumber">
    <w:name w:val="List Number"/>
    <w:basedOn w:val="List"/>
    <w:rsid w:val="00B27237"/>
    <w:pPr>
      <w:numPr>
        <w:numId w:val="11"/>
      </w:numPr>
    </w:pPr>
  </w:style>
  <w:style w:type="character" w:customStyle="1" w:styleId="WingdingSymbols">
    <w:name w:val="Wingding Symbols"/>
    <w:rsid w:val="00B27237"/>
    <w:rPr>
      <w:rFonts w:ascii="Wingdings" w:hAnsi="Wingdings"/>
    </w:rPr>
  </w:style>
  <w:style w:type="paragraph" w:customStyle="1" w:styleId="TableHeading">
    <w:name w:val="Table Heading"/>
    <w:basedOn w:val="HeadingBase"/>
    <w:rsid w:val="00B27237"/>
    <w:pPr>
      <w:keepLines/>
      <w:pBdr>
        <w:bottom w:val="single" w:sz="6" w:space="1" w:color="918585"/>
      </w:pBdr>
      <w:spacing w:before="240"/>
    </w:pPr>
  </w:style>
  <w:style w:type="character" w:customStyle="1" w:styleId="HotSpot">
    <w:name w:val="HotSpot"/>
    <w:rsid w:val="00B27237"/>
    <w:rPr>
      <w:color w:val="0033CC"/>
      <w:u w:val="none"/>
    </w:rPr>
  </w:style>
  <w:style w:type="paragraph" w:customStyle="1" w:styleId="BodyTextRight">
    <w:name w:val="Body Text Right"/>
    <w:basedOn w:val="BodyText"/>
    <w:rsid w:val="00B27237"/>
    <w:pPr>
      <w:spacing w:before="0" w:after="0"/>
      <w:jc w:val="right"/>
    </w:pPr>
  </w:style>
  <w:style w:type="paragraph" w:styleId="Index3">
    <w:name w:val="index 3"/>
    <w:basedOn w:val="ListNumber2"/>
    <w:next w:val="Normal"/>
    <w:semiHidden/>
    <w:rsid w:val="00B27237"/>
    <w:pPr>
      <w:numPr>
        <w:numId w:val="0"/>
      </w:numPr>
      <w:tabs>
        <w:tab w:val="right" w:leader="dot" w:pos="4176"/>
      </w:tabs>
    </w:pPr>
  </w:style>
  <w:style w:type="paragraph" w:styleId="ListNumber2">
    <w:name w:val="List Number 2"/>
    <w:basedOn w:val="List2"/>
    <w:rsid w:val="00B27237"/>
    <w:pPr>
      <w:numPr>
        <w:numId w:val="10"/>
      </w:numPr>
      <w:tabs>
        <w:tab w:val="clear" w:pos="1060"/>
      </w:tabs>
    </w:pPr>
  </w:style>
  <w:style w:type="paragraph" w:customStyle="1" w:styleId="MarginNote">
    <w:name w:val="Margin Note"/>
    <w:basedOn w:val="BodyText"/>
    <w:rsid w:val="00B27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237"/>
    <w:rPr>
      <w:sz w:val="32"/>
    </w:rPr>
  </w:style>
  <w:style w:type="paragraph" w:customStyle="1" w:styleId="HeadingProcedure">
    <w:name w:val="Heading Procedure"/>
    <w:basedOn w:val="HeadingBase"/>
    <w:next w:val="Normal"/>
    <w:rsid w:val="00B27237"/>
    <w:pPr>
      <w:tabs>
        <w:tab w:val="left" w:pos="0"/>
      </w:tabs>
      <w:spacing w:before="120" w:after="60"/>
    </w:pPr>
    <w:rPr>
      <w:i/>
      <w:color w:val="918585"/>
      <w:sz w:val="22"/>
    </w:rPr>
  </w:style>
  <w:style w:type="paragraph" w:customStyle="1" w:styleId="TableBodyText">
    <w:name w:val="Table Body Text"/>
    <w:basedOn w:val="BodyText"/>
    <w:rsid w:val="00B27237"/>
    <w:pPr>
      <w:spacing w:before="60" w:after="60"/>
    </w:pPr>
  </w:style>
  <w:style w:type="paragraph" w:styleId="ListContinue">
    <w:name w:val="List Continue"/>
    <w:basedOn w:val="List"/>
    <w:rsid w:val="00B27237"/>
    <w:pPr>
      <w:ind w:firstLine="0"/>
    </w:pPr>
  </w:style>
  <w:style w:type="paragraph" w:customStyle="1" w:styleId="ListNote">
    <w:name w:val="List Note"/>
    <w:basedOn w:val="List"/>
    <w:rsid w:val="00B27237"/>
    <w:pPr>
      <w:pBdr>
        <w:top w:val="single" w:sz="6" w:space="2" w:color="918585"/>
        <w:bottom w:val="single" w:sz="6" w:space="2" w:color="918585"/>
      </w:pBdr>
      <w:tabs>
        <w:tab w:val="left" w:pos="1021"/>
      </w:tabs>
      <w:ind w:firstLine="0"/>
    </w:pPr>
  </w:style>
  <w:style w:type="paragraph" w:customStyle="1" w:styleId="Warning">
    <w:name w:val="Warning"/>
    <w:basedOn w:val="BodyText"/>
    <w:rsid w:val="00B27237"/>
    <w:pPr>
      <w:shd w:val="clear" w:color="auto" w:fill="D9D9D9"/>
      <w:tabs>
        <w:tab w:val="left" w:pos="992"/>
      </w:tabs>
      <w:ind w:left="119" w:right="119"/>
    </w:pPr>
    <w:rPr>
      <w:sz w:val="20"/>
    </w:rPr>
  </w:style>
  <w:style w:type="paragraph" w:customStyle="1" w:styleId="MarginIcons">
    <w:name w:val="Margin Icons"/>
    <w:basedOn w:val="BodyText"/>
    <w:rsid w:val="00B27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237"/>
    <w:rPr>
      <w:rFonts w:ascii="Courier New" w:hAnsi="Courier New"/>
    </w:rPr>
  </w:style>
  <w:style w:type="paragraph" w:customStyle="1" w:styleId="NoteBullet">
    <w:name w:val="Note Bullet"/>
    <w:basedOn w:val="Note"/>
    <w:rsid w:val="00B27237"/>
    <w:pPr>
      <w:tabs>
        <w:tab w:val="clear" w:pos="680"/>
      </w:tabs>
      <w:spacing w:before="60" w:after="60"/>
    </w:pPr>
  </w:style>
  <w:style w:type="paragraph" w:customStyle="1" w:styleId="SubHeading2">
    <w:name w:val="SubHeading2"/>
    <w:basedOn w:val="HeadingBase"/>
    <w:rsid w:val="00B27237"/>
    <w:pPr>
      <w:spacing w:before="240" w:after="60"/>
    </w:pPr>
    <w:rPr>
      <w:sz w:val="20"/>
    </w:rPr>
  </w:style>
  <w:style w:type="paragraph" w:customStyle="1" w:styleId="SubHeading1">
    <w:name w:val="SubHeading1"/>
    <w:basedOn w:val="HeadingBase"/>
    <w:rsid w:val="00B27237"/>
    <w:pPr>
      <w:spacing w:before="240" w:after="60"/>
    </w:pPr>
    <w:rPr>
      <w:color w:val="918585"/>
      <w:sz w:val="22"/>
    </w:rPr>
  </w:style>
  <w:style w:type="paragraph" w:customStyle="1" w:styleId="SideHeading">
    <w:name w:val="Side Heading"/>
    <w:basedOn w:val="HeadingBase"/>
    <w:rsid w:val="00B27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237"/>
    <w:pPr>
      <w:numPr>
        <w:numId w:val="12"/>
      </w:numPr>
    </w:pPr>
  </w:style>
  <w:style w:type="paragraph" w:styleId="PlainText">
    <w:name w:val="Plain Text"/>
    <w:basedOn w:val="Normal"/>
    <w:link w:val="PlainTextChar"/>
    <w:rsid w:val="00B27237"/>
    <w:rPr>
      <w:sz w:val="20"/>
    </w:rPr>
  </w:style>
  <w:style w:type="character" w:customStyle="1" w:styleId="PlainTextChar">
    <w:name w:val="Plain Text Char"/>
    <w:basedOn w:val="DefaultParagraphFont"/>
    <w:link w:val="PlainText"/>
    <w:rsid w:val="00B27237"/>
    <w:rPr>
      <w:rFonts w:ascii="Courier New" w:eastAsia="Times New Roman" w:hAnsi="Courier New" w:cs="Times New Roman"/>
      <w:sz w:val="20"/>
      <w:szCs w:val="20"/>
      <w:lang w:eastAsia="en-US"/>
    </w:rPr>
  </w:style>
  <w:style w:type="character" w:customStyle="1" w:styleId="MenuOption">
    <w:name w:val="Menu Option"/>
    <w:basedOn w:val="DefaultParagraphFont"/>
    <w:rsid w:val="00B27237"/>
    <w:rPr>
      <w:b/>
      <w:smallCaps/>
    </w:rPr>
  </w:style>
  <w:style w:type="paragraph" w:customStyle="1" w:styleId="TableListNumber">
    <w:name w:val="Table List Number"/>
    <w:basedOn w:val="ListNumber"/>
    <w:rsid w:val="00B27237"/>
    <w:pPr>
      <w:numPr>
        <w:numId w:val="0"/>
      </w:numPr>
    </w:pPr>
  </w:style>
  <w:style w:type="paragraph" w:styleId="TOC4">
    <w:name w:val="toc 4"/>
    <w:basedOn w:val="TOCBase"/>
    <w:next w:val="Normal"/>
    <w:semiHidden/>
    <w:rsid w:val="00B27237"/>
    <w:pPr>
      <w:tabs>
        <w:tab w:val="right" w:leader="dot" w:pos="9071"/>
      </w:tabs>
      <w:ind w:left="1701"/>
    </w:pPr>
  </w:style>
  <w:style w:type="paragraph" w:customStyle="1" w:styleId="ListAlpha">
    <w:name w:val="List Alpha"/>
    <w:basedOn w:val="List"/>
    <w:rsid w:val="00B27237"/>
    <w:pPr>
      <w:numPr>
        <w:numId w:val="9"/>
      </w:numPr>
    </w:pPr>
  </w:style>
  <w:style w:type="paragraph" w:customStyle="1" w:styleId="ListAlpha2">
    <w:name w:val="List Alpha 2"/>
    <w:basedOn w:val="List2"/>
    <w:rsid w:val="00B27237"/>
    <w:pPr>
      <w:numPr>
        <w:numId w:val="8"/>
      </w:numPr>
    </w:pPr>
  </w:style>
  <w:style w:type="paragraph" w:styleId="List2">
    <w:name w:val="List 2"/>
    <w:basedOn w:val="BodyText"/>
    <w:rsid w:val="00B27237"/>
    <w:pPr>
      <w:tabs>
        <w:tab w:val="left" w:pos="680"/>
      </w:tabs>
      <w:spacing w:before="60" w:after="60"/>
      <w:ind w:left="680" w:hanging="340"/>
    </w:pPr>
  </w:style>
  <w:style w:type="paragraph" w:styleId="List3">
    <w:name w:val="List 3"/>
    <w:basedOn w:val="BodyText"/>
    <w:rsid w:val="00B27237"/>
    <w:pPr>
      <w:tabs>
        <w:tab w:val="left" w:pos="1021"/>
      </w:tabs>
      <w:spacing w:before="60" w:after="60"/>
      <w:ind w:left="1020" w:hanging="340"/>
    </w:pPr>
  </w:style>
  <w:style w:type="paragraph" w:styleId="List4">
    <w:name w:val="List 4"/>
    <w:basedOn w:val="BodyText"/>
    <w:rsid w:val="00B27237"/>
    <w:pPr>
      <w:tabs>
        <w:tab w:val="left" w:pos="1361"/>
      </w:tabs>
      <w:spacing w:before="60" w:after="60"/>
      <w:ind w:left="1361" w:hanging="340"/>
    </w:pPr>
  </w:style>
  <w:style w:type="paragraph" w:styleId="List5">
    <w:name w:val="List 5"/>
    <w:basedOn w:val="BodyText"/>
    <w:rsid w:val="00B27237"/>
    <w:pPr>
      <w:tabs>
        <w:tab w:val="left" w:pos="1701"/>
      </w:tabs>
      <w:spacing w:before="60" w:after="60"/>
      <w:ind w:left="1701" w:hanging="340"/>
    </w:pPr>
  </w:style>
  <w:style w:type="paragraph" w:styleId="ListBullet3">
    <w:name w:val="List Bullet 3"/>
    <w:basedOn w:val="List3"/>
    <w:rsid w:val="00B27237"/>
    <w:pPr>
      <w:numPr>
        <w:numId w:val="15"/>
      </w:numPr>
      <w:tabs>
        <w:tab w:val="clear" w:pos="1021"/>
      </w:tabs>
      <w:ind w:left="1037" w:hanging="357"/>
    </w:pPr>
  </w:style>
  <w:style w:type="paragraph" w:styleId="ListBullet4">
    <w:name w:val="List Bullet 4"/>
    <w:basedOn w:val="List4"/>
    <w:rsid w:val="00B27237"/>
    <w:pPr>
      <w:numPr>
        <w:numId w:val="3"/>
      </w:numPr>
    </w:pPr>
  </w:style>
  <w:style w:type="paragraph" w:styleId="ListBullet5">
    <w:name w:val="List Bullet 5"/>
    <w:basedOn w:val="List5"/>
    <w:rsid w:val="00B27237"/>
    <w:pPr>
      <w:numPr>
        <w:numId w:val="4"/>
      </w:numPr>
    </w:pPr>
  </w:style>
  <w:style w:type="paragraph" w:styleId="ListContinue2">
    <w:name w:val="List Continue 2"/>
    <w:basedOn w:val="List2"/>
    <w:rsid w:val="00B27237"/>
    <w:pPr>
      <w:ind w:firstLine="0"/>
    </w:pPr>
  </w:style>
  <w:style w:type="paragraph" w:styleId="ListContinue3">
    <w:name w:val="List Continue 3"/>
    <w:basedOn w:val="List3"/>
    <w:rsid w:val="00B27237"/>
    <w:pPr>
      <w:ind w:left="1021" w:firstLine="0"/>
    </w:pPr>
  </w:style>
  <w:style w:type="paragraph" w:styleId="ListContinue4">
    <w:name w:val="List Continue 4"/>
    <w:basedOn w:val="List4"/>
    <w:rsid w:val="00B27237"/>
    <w:pPr>
      <w:ind w:firstLine="0"/>
    </w:pPr>
  </w:style>
  <w:style w:type="paragraph" w:styleId="ListContinue5">
    <w:name w:val="List Continue 5"/>
    <w:basedOn w:val="List5"/>
    <w:rsid w:val="00B27237"/>
    <w:pPr>
      <w:ind w:firstLine="0"/>
    </w:pPr>
  </w:style>
  <w:style w:type="paragraph" w:styleId="ListNumber3">
    <w:name w:val="List Number 3"/>
    <w:basedOn w:val="List3"/>
    <w:rsid w:val="00B27237"/>
    <w:pPr>
      <w:numPr>
        <w:numId w:val="5"/>
      </w:numPr>
    </w:pPr>
  </w:style>
  <w:style w:type="paragraph" w:styleId="ListNumber4">
    <w:name w:val="List Number 4"/>
    <w:basedOn w:val="List4"/>
    <w:rsid w:val="00B27237"/>
    <w:pPr>
      <w:numPr>
        <w:numId w:val="6"/>
      </w:numPr>
    </w:pPr>
  </w:style>
  <w:style w:type="paragraph" w:styleId="ListNumber5">
    <w:name w:val="List Number 5"/>
    <w:basedOn w:val="List5"/>
    <w:rsid w:val="00B27237"/>
    <w:pPr>
      <w:numPr>
        <w:numId w:val="7"/>
      </w:numPr>
    </w:pPr>
  </w:style>
  <w:style w:type="paragraph" w:styleId="BlockText">
    <w:name w:val="Block Text"/>
    <w:basedOn w:val="Normal"/>
    <w:rsid w:val="00B27237"/>
    <w:pPr>
      <w:spacing w:after="120"/>
      <w:ind w:left="1440" w:right="1440"/>
    </w:pPr>
  </w:style>
  <w:style w:type="character" w:customStyle="1" w:styleId="Subscript">
    <w:name w:val="Subscript"/>
    <w:basedOn w:val="DefaultParagraphFont"/>
    <w:rsid w:val="00B27237"/>
    <w:rPr>
      <w:sz w:val="16"/>
      <w:vertAlign w:val="subscript"/>
    </w:rPr>
  </w:style>
  <w:style w:type="character" w:customStyle="1" w:styleId="Superscript">
    <w:name w:val="Superscript"/>
    <w:basedOn w:val="DefaultParagraphFont"/>
    <w:rsid w:val="00B27237"/>
    <w:rPr>
      <w:sz w:val="16"/>
      <w:vertAlign w:val="superscript"/>
    </w:rPr>
  </w:style>
  <w:style w:type="character" w:customStyle="1" w:styleId="Symbols">
    <w:name w:val="Symbols"/>
    <w:basedOn w:val="DefaultParagraphFont"/>
    <w:rsid w:val="00B27237"/>
    <w:rPr>
      <w:rFonts w:ascii="Symbol" w:hAnsi="Symbol"/>
    </w:rPr>
  </w:style>
  <w:style w:type="character" w:customStyle="1" w:styleId="MenuOptions">
    <w:name w:val="Menu Options"/>
    <w:basedOn w:val="DefaultParagraphFont"/>
    <w:rsid w:val="00B27237"/>
    <w:rPr>
      <w:rFonts w:ascii="Arial Narrow" w:hAnsi="Arial Narrow"/>
      <w:smallCaps/>
    </w:rPr>
  </w:style>
  <w:style w:type="character" w:customStyle="1" w:styleId="Buttons">
    <w:name w:val="Buttons"/>
    <w:basedOn w:val="DefaultParagraphFont"/>
    <w:rsid w:val="00B27237"/>
    <w:rPr>
      <w:b/>
    </w:rPr>
  </w:style>
  <w:style w:type="character" w:customStyle="1" w:styleId="Underlined">
    <w:name w:val="Underlined"/>
    <w:basedOn w:val="DefaultParagraphFont"/>
    <w:rsid w:val="00B27237"/>
    <w:rPr>
      <w:u w:val="single"/>
    </w:rPr>
  </w:style>
  <w:style w:type="paragraph" w:customStyle="1" w:styleId="TableBodyTextRight">
    <w:name w:val="Table Body Text Right"/>
    <w:basedOn w:val="TableBodyText"/>
    <w:rsid w:val="00B27237"/>
    <w:pPr>
      <w:widowControl w:val="0"/>
      <w:autoSpaceDE w:val="0"/>
      <w:autoSpaceDN w:val="0"/>
      <w:adjustRightInd w:val="0"/>
      <w:jc w:val="right"/>
    </w:pPr>
    <w:rPr>
      <w:rFonts w:cs="Arial"/>
      <w:szCs w:val="18"/>
    </w:rPr>
  </w:style>
  <w:style w:type="paragraph" w:customStyle="1" w:styleId="CopyrightText">
    <w:name w:val="Copyright Text"/>
    <w:basedOn w:val="BodyText"/>
    <w:rsid w:val="00B27237"/>
    <w:rPr>
      <w:sz w:val="18"/>
    </w:rPr>
  </w:style>
  <w:style w:type="paragraph" w:customStyle="1" w:styleId="BodySmallRight">
    <w:name w:val="Body Small Right"/>
    <w:basedOn w:val="BodyTextRight"/>
    <w:rsid w:val="00B27237"/>
    <w:rPr>
      <w:sz w:val="18"/>
      <w:szCs w:val="18"/>
    </w:rPr>
  </w:style>
  <w:style w:type="paragraph" w:customStyle="1" w:styleId="MarginEdition">
    <w:name w:val="Margin Edition"/>
    <w:basedOn w:val="MarginNote"/>
    <w:rsid w:val="00B27237"/>
    <w:pPr>
      <w:spacing w:before="0" w:after="0"/>
    </w:pPr>
    <w:rPr>
      <w:rFonts w:ascii="Times New Roman" w:hAnsi="Times New Roman"/>
      <w:color w:val="999999"/>
    </w:rPr>
  </w:style>
  <w:style w:type="paragraph" w:customStyle="1" w:styleId="Spacer">
    <w:name w:val="Spacer"/>
    <w:basedOn w:val="Normal"/>
    <w:rsid w:val="00B27237"/>
    <w:rPr>
      <w:sz w:val="2"/>
      <w:szCs w:val="2"/>
    </w:rPr>
  </w:style>
  <w:style w:type="character" w:customStyle="1" w:styleId="Small">
    <w:name w:val="Small"/>
    <w:basedOn w:val="DefaultParagraphFont"/>
    <w:rsid w:val="00B27237"/>
    <w:rPr>
      <w:sz w:val="16"/>
    </w:rPr>
  </w:style>
  <w:style w:type="paragraph" w:customStyle="1" w:styleId="WideTable">
    <w:name w:val="Wide Table"/>
    <w:basedOn w:val="Normal"/>
    <w:rsid w:val="00B27237"/>
    <w:pPr>
      <w:ind w:left="-1418"/>
    </w:pPr>
    <w:rPr>
      <w:sz w:val="2"/>
      <w:szCs w:val="2"/>
    </w:rPr>
  </w:style>
  <w:style w:type="character" w:styleId="PageNumber">
    <w:name w:val="page number"/>
    <w:basedOn w:val="DefaultParagraphFont"/>
    <w:rsid w:val="00B27237"/>
  </w:style>
  <w:style w:type="paragraph" w:styleId="Quote">
    <w:name w:val="Quote"/>
    <w:basedOn w:val="Heading1"/>
    <w:link w:val="QuoteChar"/>
    <w:qFormat/>
    <w:rsid w:val="00B27237"/>
    <w:rPr>
      <w:b w:val="0"/>
      <w:sz w:val="72"/>
      <w:szCs w:val="72"/>
      <w:lang w:val="en-NZ"/>
    </w:rPr>
  </w:style>
  <w:style w:type="character" w:customStyle="1" w:styleId="QuoteChar">
    <w:name w:val="Quote Char"/>
    <w:basedOn w:val="DefaultParagraphFont"/>
    <w:link w:val="Quote"/>
    <w:rsid w:val="00B27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237"/>
    <w:pPr>
      <w:pageBreakBefore/>
    </w:pPr>
  </w:style>
  <w:style w:type="paragraph" w:customStyle="1" w:styleId="Border">
    <w:name w:val="Border"/>
    <w:basedOn w:val="Normal"/>
    <w:qFormat/>
    <w:rsid w:val="00B27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237"/>
    <w:rPr>
      <w:b/>
      <w:bCs/>
      <w:i/>
      <w:iCs/>
      <w:color w:val="auto"/>
    </w:rPr>
  </w:style>
  <w:style w:type="paragraph" w:styleId="IntenseQuote">
    <w:name w:val="Intense Quote"/>
    <w:basedOn w:val="Normal"/>
    <w:next w:val="Normal"/>
    <w:link w:val="IntenseQuoteChar"/>
    <w:uiPriority w:val="30"/>
    <w:qFormat/>
    <w:rsid w:val="00B27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237"/>
    <w:rPr>
      <w:smallCaps/>
      <w:color w:val="auto"/>
      <w:u w:val="single"/>
    </w:rPr>
  </w:style>
  <w:style w:type="character" w:styleId="IntenseReference">
    <w:name w:val="Intense Reference"/>
    <w:basedOn w:val="DefaultParagraphFont"/>
    <w:uiPriority w:val="32"/>
    <w:qFormat/>
    <w:rsid w:val="00B27237"/>
    <w:rPr>
      <w:b/>
      <w:bCs/>
      <w:smallCaps/>
      <w:color w:val="auto"/>
      <w:spacing w:val="5"/>
      <w:u w:val="single"/>
    </w:rPr>
  </w:style>
  <w:style w:type="paragraph" w:customStyle="1" w:styleId="2ColumnHeading">
    <w:name w:val="2Column Heading"/>
    <w:basedOn w:val="BodyText"/>
    <w:qFormat/>
    <w:rsid w:val="00B27237"/>
    <w:pPr>
      <w:spacing w:after="60"/>
      <w:ind w:left="-2268"/>
    </w:pPr>
    <w:rPr>
      <w:b/>
    </w:rPr>
  </w:style>
  <w:style w:type="paragraph" w:customStyle="1" w:styleId="Heading1TOC">
    <w:name w:val="Heading1 TOC"/>
    <w:basedOn w:val="Normal"/>
    <w:qFormat/>
    <w:rsid w:val="00B27237"/>
    <w:pPr>
      <w:spacing w:before="240" w:after="120"/>
    </w:pPr>
    <w:rPr>
      <w:rFonts w:ascii="Times New Roman" w:hAnsi="Times New Roman"/>
      <w:b/>
      <w:sz w:val="32"/>
    </w:rPr>
  </w:style>
  <w:style w:type="paragraph" w:customStyle="1" w:styleId="Heading2TOC">
    <w:name w:val="Heading2 TOC"/>
    <w:basedOn w:val="Normal"/>
    <w:qFormat/>
    <w:rsid w:val="00B27237"/>
    <w:pPr>
      <w:spacing w:before="240" w:after="60"/>
    </w:pPr>
    <w:rPr>
      <w:rFonts w:ascii="Times New Roman" w:hAnsi="Times New Roman"/>
      <w:b/>
      <w:sz w:val="28"/>
    </w:rPr>
  </w:style>
  <w:style w:type="character" w:customStyle="1" w:styleId="Underline">
    <w:name w:val="Underline"/>
    <w:basedOn w:val="DefaultParagraphFont"/>
    <w:qFormat/>
    <w:rsid w:val="00B27237"/>
    <w:rPr>
      <w:u w:val="single"/>
    </w:rPr>
  </w:style>
  <w:style w:type="character" w:customStyle="1" w:styleId="BoldandItalics">
    <w:name w:val="Bold and Italics"/>
    <w:qFormat/>
    <w:rsid w:val="00B27237"/>
    <w:rPr>
      <w:b/>
      <w:i/>
      <w:u w:val="none"/>
    </w:rPr>
  </w:style>
  <w:style w:type="paragraph" w:styleId="BalloonText">
    <w:name w:val="Balloon Text"/>
    <w:basedOn w:val="Normal"/>
    <w:link w:val="BalloonTextChar"/>
    <w:rsid w:val="00B27237"/>
    <w:rPr>
      <w:rFonts w:ascii="Tahoma" w:hAnsi="Tahoma" w:cs="Tahoma"/>
      <w:sz w:val="16"/>
      <w:szCs w:val="16"/>
    </w:rPr>
  </w:style>
  <w:style w:type="character" w:customStyle="1" w:styleId="BalloonTextChar">
    <w:name w:val="Balloon Text Char"/>
    <w:basedOn w:val="DefaultParagraphFont"/>
    <w:link w:val="BalloonText"/>
    <w:rsid w:val="00B27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237"/>
    <w:rPr>
      <w:b/>
      <w:color w:val="660033"/>
      <w:spacing w:val="0"/>
    </w:rPr>
  </w:style>
  <w:style w:type="paragraph" w:customStyle="1" w:styleId="Nameditemlist">
    <w:name w:val="Named item list"/>
    <w:basedOn w:val="BodyText"/>
    <w:qFormat/>
    <w:rsid w:val="00B272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4492</Characters>
  <Application>Microsoft Office Word</Application>
  <DocSecurity>0</DocSecurity>
  <Lines>121</Lines>
  <Paragraphs>79</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HLT32012 Certificate III in Mortuary Theatre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2012-09-24T07:42:00Z</dcterms:created>
  <dcterms:modified xsi:type="dcterms:W3CDTF">2012-09-24T07:42:00Z</dcterms:modified>
</cp:coreProperties>
</file>