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AC6" w:rsidP="00134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HLTOPD401A Work effectively in the ophthalmic industry</w:t>
      </w:r>
      <w:r>
        <w:fldChar w:fldCharType="end"/>
      </w:r>
    </w:p>
    <w:p w:rsidR="00134AC6" w:rsidP="00134AC6">
      <w:pPr>
        <w:pStyle w:val="Version"/>
        <w:sectPr w:rsidSect="007075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5C7" w:rsidP="007075C7">
      <w:pPr>
        <w:pStyle w:val="SuperHeading"/>
      </w:pPr>
      <w:r w:rsidRPr="007075C7">
        <w:t>HLTOPD401A Work effectively in the ophthalmic industry</w:t>
      </w:r>
    </w:p>
    <w:p w:rsidR="00000000" w:rsidRPr="007075C7" w:rsidP="007075C7">
      <w:pPr>
        <w:pStyle w:val="Heading1"/>
      </w:pPr>
      <w:bookmarkStart w:id="1" w:name="O_311563"/>
      <w:bookmarkEnd w:id="1"/>
      <w:r w:rsidRPr="007075C7">
        <w:t>Modification History</w:t>
      </w:r>
    </w:p>
    <w:p w:rsidR="00000000" w:rsidRPr="007075C7" w:rsidP="007075C7">
      <w:pPr>
        <w:pStyle w:val="Heading1"/>
      </w:pPr>
      <w:bookmarkStart w:id="2" w:name="O_311560"/>
      <w:bookmarkEnd w:id="2"/>
      <w:r w:rsidRPr="007075C7">
        <w:t>Unit Descriptor</w:t>
      </w:r>
    </w:p>
    <w:p w:rsidR="00000000" w:rsidRPr="007075C7" w:rsidP="007075C7">
      <w:pPr>
        <w:pStyle w:val="BodyText"/>
      </w:pPr>
      <w:r w:rsidRPr="007075C7">
        <w:t>This unit of competency describes the skills and knowledge required by workers in the Ophthalmic Industry to perform work that r</w:t>
      </w:r>
      <w:r w:rsidRPr="007075C7">
        <w:t>eflects an understanding of the structure and profile of the industry, the roles and relationships within and across the industry and key issues facing the industry</w:t>
      </w: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3" w:name="O_311559"/>
      <w:bookmarkEnd w:id="3"/>
      <w:r w:rsidRPr="007075C7">
        <w:t>Application of the Unit</w:t>
      </w:r>
    </w:p>
    <w:p w:rsidR="00000000" w:rsidRPr="007075C7" w:rsidP="007075C7">
      <w:pPr>
        <w:pStyle w:val="BodyText"/>
      </w:pPr>
      <w:r w:rsidRPr="007075C7">
        <w:t xml:space="preserve">The application of knowledge and skills described </w:t>
      </w:r>
      <w:r w:rsidRPr="007075C7">
        <w:t xml:space="preserve">in this competency unit may relate to functions necessary for working within the ophthalmic industry </w:t>
      </w:r>
    </w:p>
    <w:p w:rsidR="00000000" w:rsidRPr="007075C7" w:rsidP="007075C7">
      <w:pPr>
        <w:pStyle w:val="BodyText"/>
      </w:pPr>
      <w:r w:rsidRPr="007075C7">
        <w:t>Work at this level may be undertaken independently or under guidance and/or supervision</w:t>
      </w: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4" w:name="O_311558"/>
      <w:bookmarkEnd w:id="4"/>
      <w:r w:rsidRPr="007075C7">
        <w:t>Licensing/Regulatory Information</w:t>
      </w:r>
    </w:p>
    <w:p w:rsidR="00000000" w:rsidRPr="007075C7" w:rsidP="007075C7">
      <w:pPr>
        <w:pStyle w:val="Heading1"/>
      </w:pPr>
      <w:bookmarkStart w:id="5" w:name="O_311557"/>
      <w:bookmarkEnd w:id="5"/>
      <w:r w:rsidRPr="007075C7">
        <w:t>Pre-Requisites</w:t>
      </w:r>
    </w:p>
    <w:p w:rsidR="00000000" w:rsidRPr="007075C7" w:rsidP="007075C7">
      <w:pPr>
        <w:pStyle w:val="BodyText"/>
      </w:pPr>
      <w:r w:rsidRPr="007075C7">
        <w:t xml:space="preserve">In some states/territories participants must have a licence to practise prior to placement in the workplace </w:t>
      </w: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6" w:name="O_311556"/>
      <w:bookmarkEnd w:id="6"/>
      <w:r w:rsidRPr="007075C7">
        <w:t>Employability Skills Information</w:t>
      </w:r>
    </w:p>
    <w:p w:rsidR="00000000" w:rsidRPr="007075C7" w:rsidP="007075C7">
      <w:pPr>
        <w:pStyle w:val="BodyText"/>
      </w:pPr>
      <w:r w:rsidRPr="007075C7">
        <w:t>The required outcomes described in this unit of competency contain applicable facets of Employability Skills</w:t>
      </w:r>
    </w:p>
    <w:p w:rsidR="00000000" w:rsidRPr="007075C7" w:rsidP="007075C7">
      <w:pPr>
        <w:pStyle w:val="BodyText"/>
      </w:pPr>
      <w:r w:rsidRPr="007075C7">
        <w:t>The Employability Skills Summary of the qualification in which this unit of competency is packaged will assist in identifying Employability Skill r</w:t>
      </w:r>
      <w:r w:rsidRPr="007075C7">
        <w:t>equirements</w:t>
      </w: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7" w:name="O_311561"/>
      <w:bookmarkEnd w:id="7"/>
      <w:r w:rsidRPr="007075C7">
        <w:t>Elements and Performance Criteria Pre-Content</w:t>
      </w:r>
    </w:p>
    <w:p w:rsidR="00000000" w:rsidRPr="007075C7" w:rsidP="007075C7">
      <w:pPr>
        <w:pStyle w:val="BodyText"/>
      </w:pPr>
      <w:r w:rsidRPr="007075C7">
        <w:t>Elements define the essential outcomes of a unit of competency.</w:t>
      </w:r>
    </w:p>
    <w:p w:rsidR="00000000" w:rsidRPr="007075C7" w:rsidP="007075C7">
      <w:pPr>
        <w:pStyle w:val="BodyText"/>
      </w:pPr>
      <w:r w:rsidRPr="007075C7">
        <w:t>The Performance Criteria specify the level of performance required to demonstrate achievement of the Element. Terms i</w:t>
      </w:r>
      <w:r w:rsidRPr="007075C7">
        <w:t xml:space="preserve">n italics are elaborated in the Range Statement. </w:t>
      </w: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8" w:name="O_311567"/>
      <w:bookmarkEnd w:id="8"/>
      <w:r w:rsidRPr="007075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Elements and Performance Criteria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Performance Criteria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Demonstrate an understanding of the structure and profile of the optical industry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Describe the organisation of the optical industry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Explain the </w:t>
            </w:r>
            <w:r w:rsidRPr="007075C7">
              <w:rPr>
                <w:rStyle w:val="SpecialBold"/>
              </w:rPr>
              <w:t xml:space="preserve">relationships between the different occupations </w:t>
            </w:r>
            <w:r w:rsidRPr="007075C7">
              <w:t xml:space="preserve">and </w:t>
            </w:r>
            <w:r w:rsidRPr="007075C7">
              <w:rPr>
                <w:rStyle w:val="SpecialBold"/>
              </w:rPr>
              <w:t xml:space="preserve">modes of practice </w:t>
            </w:r>
            <w:r w:rsidRPr="007075C7">
              <w:t>within the optical industry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Describe and illustrate the operation of a typical laboratory or dispensary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Identify </w:t>
            </w:r>
            <w:r w:rsidRPr="007075C7">
              <w:rPr>
                <w:rStyle w:val="SpecialBold"/>
              </w:rPr>
              <w:t xml:space="preserve">current legislation </w:t>
            </w:r>
            <w:r w:rsidRPr="007075C7">
              <w:t xml:space="preserve">that impacts on the optical industry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Develop a knowledge of the structure of the eye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Use accepted terminology to describe the normal structure, function and location of the eye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Describe the main defects of vision which can occur in the human eye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List and describe the major components of the eye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Use accepted terminology to identify and describe the various types of ophthalmic lenses and spectacle frames available within </w:t>
            </w:r>
            <w:r w:rsidRPr="007075C7">
              <w:t>the industry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Identify the different categories of ophthalmic lenses and spectacle frames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Describe the main characteristics of each of the general types of ophthalmic lenses and spectacle frames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Demonstrate the appropriate use of ophthalmic terminology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Recognise variations from normal functioning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Describe common problems associated with the eye and its components using terms and concepts relevant to the ophthalmic industry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Describe methods of correcting defects of vision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Outline potential sources of infection relevant to the workplace and services provided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Document client information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Use accepted protocols to document information in line with organisation requirements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Use appropriate terminology to document identified problems related to application of health </w:t>
            </w:r>
            <w:r w:rsidRPr="007075C7">
              <w:t>care services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Document variations to the normal visual function</w:t>
            </w:r>
            <w:r w:rsidRPr="007075C7">
              <w:t>s in line with accepted standards and notation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6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Work within organisation policies and procedures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6.1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Access and follow organisation guidelines, policies and procedures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6.2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Follow organisation administrative practices and procedures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6.3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Access and follow legal and regulatory guidelines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6.4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>Document relevant information/records</w:t>
            </w:r>
          </w:p>
        </w:tc>
      </w:tr>
    </w:tbl>
    <w:p w:rsidR="00000000" w:rsidRPr="007075C7" w:rsidP="007075C7">
      <w:pPr>
        <w:pStyle w:val="BodyText"/>
      </w:pP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9" w:name="O_311564"/>
      <w:bookmarkEnd w:id="9"/>
      <w:r w:rsidRPr="007075C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This describes the essential skills and knowledge and their level required for this unit.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rPr>
                <w:rStyle w:val="SpecialBold"/>
              </w:rPr>
              <w:t>E</w:t>
            </w:r>
            <w:r w:rsidRPr="007075C7">
              <w:rPr>
                <w:rStyle w:val="SpecialBold"/>
              </w:rPr>
              <w:t>ssential knowledge</w:t>
            </w:r>
            <w:r w:rsidRPr="007075C7">
              <w:t xml:space="preserve">:    </w:t>
            </w:r>
          </w:p>
          <w:p w:rsidR="00000000" w:rsidRPr="007075C7" w:rsidP="007075C7">
            <w:pPr>
              <w:pStyle w:val="BodyText"/>
            </w:pPr>
            <w:r w:rsidRPr="007075C7">
              <w:t>Knowledge of basic anatomy and physiology specifically relating to the eye</w:t>
            </w:r>
          </w:p>
          <w:p w:rsidR="00000000" w:rsidRPr="007075C7" w:rsidP="007075C7">
            <w:pPr>
              <w:pStyle w:val="BodyText"/>
            </w:pPr>
            <w:r w:rsidRPr="007075C7">
              <w:t>Knowledge of procedures involved in referral</w:t>
            </w:r>
          </w:p>
          <w:p w:rsidR="00000000" w:rsidRPr="007075C7" w:rsidP="007075C7">
            <w:pPr>
              <w:pStyle w:val="BodyText"/>
            </w:pPr>
            <w:r w:rsidRPr="007075C7">
              <w:t>Knowledge of the roles of different eye care professionals within the ophthalmic industry</w:t>
            </w:r>
          </w:p>
          <w:p w:rsidR="00000000" w:rsidRPr="007075C7" w:rsidP="007075C7">
            <w:pPr>
              <w:pStyle w:val="BodyText"/>
            </w:pPr>
            <w:r w:rsidRPr="007075C7">
              <w:t>Knowledge of the relat</w:t>
            </w:r>
            <w:r w:rsidRPr="007075C7">
              <w:t>ionships between the various occupations within the ophthalmic industry</w:t>
            </w:r>
          </w:p>
          <w:p w:rsidR="00000000" w:rsidRPr="007075C7" w:rsidP="007075C7">
            <w:pPr>
              <w:pStyle w:val="BodyText"/>
            </w:pPr>
            <w:r w:rsidRPr="007075C7">
              <w:t>Knowledge of the different modes of practice including retail practices, small and large practices, labs and wholesalers</w:t>
            </w:r>
          </w:p>
          <w:p w:rsidR="00000000" w:rsidRPr="007075C7" w:rsidP="007075C7">
            <w:pPr>
              <w:pStyle w:val="BodyText"/>
            </w:pPr>
            <w:r w:rsidRPr="007075C7">
              <w:t>Knowledge of terminology used within the Ophthalmic industry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Kn</w:t>
            </w:r>
            <w:r w:rsidRPr="007075C7">
              <w:t xml:space="preserve">owledge of terminology used in relation to the anatomy and physiology of the eye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rPr>
                <w:rStyle w:val="SpecialBold"/>
              </w:rPr>
              <w:t>Essential skills</w:t>
            </w:r>
            <w:r w:rsidRPr="007075C7">
              <w:t>:</w:t>
            </w:r>
          </w:p>
          <w:p w:rsidR="00000000" w:rsidRPr="007075C7" w:rsidP="007075C7">
            <w:pPr>
              <w:pStyle w:val="BodyText"/>
            </w:pPr>
            <w:r w:rsidRPr="007075C7">
              <w:t>Ability to:</w:t>
            </w:r>
          </w:p>
          <w:p w:rsidR="00000000" w:rsidRPr="007075C7" w:rsidP="007075C7">
            <w:pPr>
              <w:pStyle w:val="BodyText"/>
            </w:pPr>
            <w:r w:rsidRPr="007075C7">
              <w:t>Locate and use organisation policies, procedures and guidelines</w:t>
            </w:r>
          </w:p>
          <w:p w:rsidR="00000000" w:rsidRPr="007075C7" w:rsidP="007075C7">
            <w:pPr>
              <w:pStyle w:val="BodyText"/>
            </w:pPr>
            <w:r w:rsidRPr="007075C7">
              <w:t>Collect, analyse and organise ideas and information</w:t>
            </w:r>
          </w:p>
          <w:p w:rsidR="00000000" w:rsidRPr="007075C7" w:rsidP="007075C7">
            <w:pPr>
              <w:pStyle w:val="BodyText"/>
            </w:pPr>
            <w:r w:rsidRPr="007075C7">
              <w:t>Communicate ideas and inf</w:t>
            </w:r>
            <w:r w:rsidRPr="007075C7">
              <w:t>ormation</w:t>
            </w:r>
          </w:p>
          <w:p w:rsidR="00000000" w:rsidRPr="007075C7" w:rsidP="007075C7">
            <w:pPr>
              <w:pStyle w:val="BodyText"/>
            </w:pPr>
            <w:r w:rsidRPr="007075C7">
              <w:t xml:space="preserve">Identify and find solutions to problems </w:t>
            </w:r>
          </w:p>
        </w:tc>
      </w:tr>
    </w:tbl>
    <w:p w:rsidR="00000000" w:rsidRPr="007075C7" w:rsidP="007075C7">
      <w:pPr>
        <w:pStyle w:val="BodyText"/>
      </w:pP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10" w:name="O_311566"/>
      <w:bookmarkEnd w:id="10"/>
      <w:r w:rsidRPr="007075C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The evidence guide provides advice on assessment and must be read in conjunction with the Performance Criteria, Required Skills and Knowledge, </w:t>
            </w:r>
            <w:r w:rsidRPr="007075C7">
              <w:t xml:space="preserve">the Range Statement and the Assessment Guidelines for this Training Package.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Critical aspects for assessment and evidence required to demonstrate this competency unit</w:t>
            </w:r>
            <w:r w:rsidRPr="007075C7">
              <w:t xml:space="preserve">:  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 xml:space="preserve">The assessee must provide evidence of specified essential knowledge as well as </w:t>
            </w:r>
            <w:r w:rsidRPr="007075C7">
              <w:t>skills</w:t>
            </w:r>
          </w:p>
          <w:p w:rsidR="00000000" w:rsidRPr="007075C7" w:rsidP="007075C7">
            <w:pPr>
              <w:pStyle w:val="BodyText"/>
            </w:pPr>
            <w:r w:rsidRPr="007075C7">
              <w:t>Observation of actual or simulated workplace performance is essential for assessment of this unit</w:t>
            </w:r>
          </w:p>
          <w:p w:rsidR="00000000" w:rsidRPr="007075C7" w:rsidP="007075C7">
            <w:pPr>
              <w:pStyle w:val="BodyText"/>
            </w:pPr>
            <w:r w:rsidRPr="007075C7">
              <w:t>Consistency of performance should be demonstrated over the required range of situations relevant to the workplace</w:t>
            </w:r>
          </w:p>
          <w:p w:rsidR="00000000" w:rsidRPr="007075C7" w:rsidP="007075C7">
            <w:pPr>
              <w:pStyle w:val="BodyText"/>
            </w:pPr>
            <w:r w:rsidRPr="007075C7">
              <w:t xml:space="preserve">Where, for reasons of safety, space, </w:t>
            </w:r>
            <w:r w:rsidRPr="007075C7">
              <w:t>or access to equipment and resources, assessment takes place away from the workplace, the assessment environment should represent workplace conditions as closely as possible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In some States/Territories participants must have a licence to practice prior to p</w:t>
            </w:r>
            <w:r w:rsidRPr="007075C7">
              <w:t xml:space="preserve">lacement in the workplace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Context of and specific resources for assessment</w:t>
            </w:r>
            <w:r w:rsidRPr="007075C7">
              <w:t xml:space="preserve">:  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 xml:space="preserve">Resources essential for assessment include:   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access to a retail optical practice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>Observation in the workplace (if possible)</w:t>
            </w:r>
          </w:p>
          <w:p w:rsidR="00000000" w:rsidRPr="007075C7" w:rsidP="007075C7">
            <w:pPr>
              <w:pStyle w:val="BodyText"/>
            </w:pPr>
            <w:r w:rsidRPr="007075C7">
              <w:t>Written assignments/projects or questioning should be used to assess knowledge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Case study and scenario as a basis for discussion of issues and strategies to contribute to best practice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Access and equity considerations</w:t>
            </w:r>
            <w:r w:rsidRPr="007075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>All workers in the health indus</w:t>
            </w:r>
            <w:r w:rsidRPr="007075C7">
              <w:t>try should be aware of access and equity issues in relation to their own area of work</w:t>
            </w:r>
          </w:p>
          <w:p w:rsidR="00000000" w:rsidRPr="007075C7" w:rsidP="007075C7">
            <w:pPr>
              <w:pStyle w:val="BodyText"/>
            </w:pPr>
            <w:r w:rsidRPr="007075C7">
              <w:t xml:space="preserve">All workers should develop their ability to work in a culturally diverse environment </w:t>
            </w:r>
          </w:p>
          <w:p w:rsidR="00000000" w:rsidRPr="007075C7" w:rsidP="007075C7">
            <w:pPr>
              <w:pStyle w:val="BodyText"/>
            </w:pPr>
            <w:r w:rsidRPr="007075C7">
              <w:t>In recognition of particular health issues facing Aboriginal and Torres Strait Islan</w:t>
            </w:r>
            <w:r w:rsidRPr="007075C7">
              <w:t>der communities, workers should be aware of cultural, historical and current issues impacting on health of Aboriginal and Torres Strait Islander people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Assessors and trainers must take into account relevant access and equity issues, in particular relating </w:t>
            </w:r>
            <w:r w:rsidRPr="007075C7">
              <w:t xml:space="preserve">to factors impacting on health of Aboriginal and/or Torres Strait Islander clients and communities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</w:p>
        </w:tc>
      </w:tr>
    </w:tbl>
    <w:p w:rsidR="00000000" w:rsidRPr="007075C7" w:rsidP="007075C7">
      <w:pPr>
        <w:pStyle w:val="BodyText"/>
      </w:pP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11" w:name="O_311565"/>
      <w:bookmarkEnd w:id="11"/>
      <w:r w:rsidRPr="007075C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RANGE STATEMENT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7075C7">
              <w:t xml:space="preserve"> work situation, needs of the candidate, accessibility of the item, and local industry and regional contexts.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Relationships between the different occupations within the optical industry may include</w:t>
            </w:r>
            <w:r w:rsidRPr="007075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Roles of different eye care professions, their interrelationship and the legal standing of each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Modes of practice may include</w:t>
            </w:r>
            <w:r w:rsidRPr="007075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 xml:space="preserve">Optical dispensing practice </w:t>
            </w:r>
          </w:p>
          <w:p w:rsidR="00000000" w:rsidRPr="007075C7" w:rsidP="007075C7">
            <w:pPr>
              <w:pStyle w:val="BodyText"/>
            </w:pPr>
            <w:r w:rsidRPr="007075C7">
              <w:t>Medical practice/clinic</w:t>
            </w:r>
          </w:p>
          <w:p w:rsidR="00000000" w:rsidRPr="007075C7" w:rsidP="007075C7">
            <w:pPr>
              <w:pStyle w:val="BodyText"/>
            </w:pPr>
            <w:r w:rsidRPr="007075C7">
              <w:t>Retail practices</w:t>
            </w:r>
          </w:p>
          <w:p w:rsidR="00000000" w:rsidRPr="007075C7" w:rsidP="007075C7">
            <w:pPr>
              <w:pStyle w:val="BodyText"/>
            </w:pPr>
            <w:r w:rsidRPr="007075C7">
              <w:t>Small and large practices</w:t>
            </w:r>
          </w:p>
          <w:p w:rsidR="00000000" w:rsidRPr="007075C7" w:rsidP="007075C7">
            <w:pPr>
              <w:pStyle w:val="BodyText"/>
            </w:pPr>
            <w:r w:rsidRPr="007075C7">
              <w:t>Labs and wholesalers</w:t>
            </w:r>
          </w:p>
          <w:p w:rsidR="00000000" w:rsidRPr="007075C7" w:rsidP="007075C7">
            <w:pPr>
              <w:pStyle w:val="BodyText"/>
            </w:pPr>
            <w:r w:rsidRPr="007075C7">
              <w:t>Manufa</w:t>
            </w:r>
            <w:r w:rsidRPr="007075C7">
              <w:t>cturers</w:t>
            </w:r>
          </w:p>
          <w:p w:rsidR="00000000" w:rsidRPr="007075C7" w:rsidP="007075C7">
            <w:pPr>
              <w:pStyle w:val="BodyText"/>
            </w:pPr>
            <w:r w:rsidRPr="007075C7">
              <w:t>Dispensaries</w:t>
            </w:r>
          </w:p>
          <w:p w:rsidR="00000000" w:rsidRPr="007075C7" w:rsidP="007075C7">
            <w:pPr>
              <w:pStyle w:val="BodyText"/>
            </w:pPr>
            <w:r w:rsidRPr="007075C7">
              <w:t>Chain stores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Optometric practice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Key issues facing the optical industry may include but is not limited to</w:t>
            </w:r>
            <w:r w:rsidRPr="007075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>Advances in ophthalmic surgery</w:t>
            </w:r>
          </w:p>
          <w:p w:rsidR="00000000" w:rsidRPr="007075C7" w:rsidP="007075C7">
            <w:pPr>
              <w:pStyle w:val="BodyText"/>
            </w:pPr>
            <w:r w:rsidRPr="007075C7">
              <w:t>Surgery's impact on the optical environment</w:t>
            </w:r>
          </w:p>
          <w:p w:rsidR="00000000" w:rsidRPr="007075C7" w:rsidP="007075C7">
            <w:pPr>
              <w:pStyle w:val="BodyText"/>
            </w:pPr>
            <w:r w:rsidRPr="007075C7">
              <w:t xml:space="preserve">Changes in the retail optical environment 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Ageing population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Current legislation and regulatory requirements may include</w:t>
            </w:r>
            <w:r w:rsidRPr="007075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>Relevant commonwealth, state or territory acts and regulations specific to the optical industry</w:t>
            </w:r>
          </w:p>
          <w:p w:rsidR="00000000" w:rsidRPr="007075C7" w:rsidP="007075C7">
            <w:pPr>
              <w:pStyle w:val="BodyText"/>
            </w:pPr>
            <w:r w:rsidRPr="007075C7">
              <w:t xml:space="preserve">Other relevant Acts and regulations including:   </w:t>
            </w:r>
          </w:p>
          <w:p w:rsidR="00000000" w:rsidRPr="007075C7" w:rsidP="007075C7">
            <w:pPr>
              <w:pStyle w:val="BodyText"/>
            </w:pPr>
            <w:r w:rsidRPr="007075C7">
              <w:t>OHS</w:t>
            </w:r>
          </w:p>
          <w:p w:rsidR="00000000" w:rsidRPr="007075C7" w:rsidP="007075C7">
            <w:pPr>
              <w:pStyle w:val="BodyText"/>
            </w:pPr>
            <w:r w:rsidRPr="007075C7">
              <w:t>privacy</w:t>
            </w:r>
          </w:p>
          <w:p w:rsidR="00000000" w:rsidRPr="007075C7" w:rsidP="007075C7">
            <w:pPr>
              <w:pStyle w:val="BodyText"/>
            </w:pPr>
            <w:r w:rsidRPr="007075C7">
              <w:t>discriminatio</w:t>
            </w:r>
            <w:r w:rsidRPr="007075C7">
              <w:t>n</w:t>
            </w:r>
          </w:p>
          <w:p w:rsidR="00000000" w:rsidRPr="007075C7" w:rsidP="007075C7">
            <w:pPr>
              <w:pStyle w:val="BodyText"/>
            </w:pP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Industrial Relations  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rPr>
                <w:rStyle w:val="SpecialBold"/>
              </w:rPr>
              <w:t>Organisation may refer to</w:t>
            </w:r>
            <w:r w:rsidRPr="007075C7">
              <w:t xml:space="preserve">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  <w:r w:rsidRPr="007075C7">
              <w:t xml:space="preserve">Optical dispensing practice </w:t>
            </w:r>
          </w:p>
          <w:p w:rsidR="00000000" w:rsidRPr="007075C7" w:rsidP="007075C7">
            <w:pPr>
              <w:pStyle w:val="BodyText"/>
            </w:pPr>
            <w:r w:rsidRPr="007075C7">
              <w:t>Medical practice/clinic</w:t>
            </w:r>
          </w:p>
          <w:p w:rsidR="00000000" w:rsidRPr="007075C7" w:rsidP="007075C7">
            <w:pPr>
              <w:pStyle w:val="BodyText"/>
            </w:pPr>
            <w:r w:rsidRPr="007075C7">
              <w:t>Retail practices</w:t>
            </w:r>
          </w:p>
          <w:p w:rsidR="00000000" w:rsidRPr="007075C7" w:rsidP="007075C7">
            <w:pPr>
              <w:pStyle w:val="BodyText"/>
            </w:pPr>
            <w:r w:rsidRPr="007075C7">
              <w:t>Small and large practices</w:t>
            </w:r>
          </w:p>
          <w:p w:rsidR="00000000" w:rsidRPr="007075C7" w:rsidP="007075C7">
            <w:pPr>
              <w:pStyle w:val="BodyText"/>
            </w:pPr>
            <w:r w:rsidRPr="007075C7">
              <w:t>Labs and wholesalers</w:t>
            </w:r>
          </w:p>
          <w:p w:rsidR="00000000" w:rsidRPr="007075C7" w:rsidP="007075C7">
            <w:pPr>
              <w:pStyle w:val="BodyText"/>
            </w:pPr>
            <w:r w:rsidRPr="007075C7">
              <w:t>Manufacturers</w:t>
            </w:r>
          </w:p>
          <w:p w:rsidR="00000000" w:rsidRPr="007075C7" w:rsidP="007075C7">
            <w:pPr>
              <w:pStyle w:val="BodyText"/>
            </w:pPr>
            <w:r w:rsidRPr="007075C7">
              <w:t>Dispensaries</w:t>
            </w:r>
          </w:p>
          <w:p w:rsidR="00000000" w:rsidRPr="007075C7" w:rsidP="007075C7">
            <w:pPr>
              <w:pStyle w:val="BodyText"/>
            </w:pPr>
            <w:r w:rsidRPr="007075C7">
              <w:t>Chain stores</w:t>
            </w:r>
          </w:p>
          <w:p w:rsidR="00000000" w:rsidP="007075C7">
            <w:pPr>
              <w:pStyle w:val="BodyText"/>
              <w:rPr>
                <w:lang w:val="en-NZ"/>
              </w:rPr>
            </w:pPr>
            <w:r w:rsidRPr="007075C7">
              <w:t xml:space="preserve">Optometric practice </w:t>
            </w:r>
          </w:p>
        </w:tc>
      </w:tr>
      <w:tr w:rsidTr="00134A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5C7" w:rsidP="007075C7">
            <w:pPr>
              <w:pStyle w:val="BodyText"/>
            </w:pPr>
          </w:p>
        </w:tc>
      </w:tr>
    </w:tbl>
    <w:p w:rsidR="00000000" w:rsidRPr="007075C7" w:rsidP="007075C7">
      <w:pPr>
        <w:pStyle w:val="BodyText"/>
      </w:pPr>
    </w:p>
    <w:p w:rsidR="00000000" w:rsidRPr="007075C7" w:rsidP="007075C7">
      <w:pPr>
        <w:pStyle w:val="AllowPageBreak"/>
      </w:pPr>
    </w:p>
    <w:p w:rsidR="00000000" w:rsidRPr="007075C7" w:rsidP="007075C7">
      <w:pPr>
        <w:pStyle w:val="Heading1"/>
      </w:pPr>
      <w:bookmarkStart w:id="12" w:name="O_311562"/>
      <w:bookmarkEnd w:id="12"/>
      <w:r w:rsidRPr="007075C7">
        <w:t>Unit Sector(s)</w:t>
      </w:r>
    </w:p>
    <w:p w:rsidR="00000000" w:rsidRPr="007075C7" w:rsidP="007075C7"/>
    <w:sectPr w:rsidSect="007075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4AC6" w:rsidP="00134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C6" w:rsidP="007075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34AC6" w:rsidP="007075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134AC6" w:rsidP="007075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4AC6" w:rsidP="00134AC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5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AC6" w:rsidP="007075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HLTOPD401A Work effectively in the ophthalmic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34AC6" w:rsidP="007075C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5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7075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5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5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5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5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5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5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5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5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5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5C7"/>
  </w:style>
  <w:style w:type="character" w:customStyle="1" w:styleId="Heading1Char">
    <w:name w:val="Heading 1 Char"/>
    <w:basedOn w:val="DefaultParagraphFont"/>
    <w:link w:val="Heading1"/>
    <w:rsid w:val="007075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5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5C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7075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5C7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7075C7"/>
    <w:rPr>
      <w:b/>
      <w:spacing w:val="0"/>
    </w:rPr>
  </w:style>
  <w:style w:type="paragraph" w:styleId="Header">
    <w:name w:val="header"/>
    <w:basedOn w:val="Normal"/>
    <w:link w:val="HeaderChar"/>
    <w:rsid w:val="007075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5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7075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075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5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5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5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5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5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7075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7075C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7075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5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5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5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5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075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5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5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5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75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75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5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5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5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5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5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5C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7075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5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5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5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5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5C7"/>
    <w:rPr>
      <w:i/>
    </w:rPr>
  </w:style>
  <w:style w:type="paragraph" w:styleId="Caption">
    <w:name w:val="caption"/>
    <w:basedOn w:val="BodyText"/>
    <w:next w:val="Normal"/>
    <w:qFormat/>
    <w:rsid w:val="007075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5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5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5C7"/>
  </w:style>
  <w:style w:type="paragraph" w:styleId="TableofFigures">
    <w:name w:val="table of figures"/>
    <w:basedOn w:val="Normal"/>
    <w:next w:val="Normal"/>
    <w:semiHidden/>
    <w:rsid w:val="007075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5C7"/>
    <w:pPr>
      <w:numPr>
        <w:numId w:val="9"/>
      </w:numPr>
    </w:pPr>
  </w:style>
  <w:style w:type="character" w:customStyle="1" w:styleId="WingdingSymbols">
    <w:name w:val="Wingding Symbols"/>
    <w:rsid w:val="007075C7"/>
    <w:rPr>
      <w:rFonts w:ascii="Wingdings" w:hAnsi="Wingdings"/>
    </w:rPr>
  </w:style>
  <w:style w:type="paragraph" w:customStyle="1" w:styleId="TableHeading">
    <w:name w:val="Table Heading"/>
    <w:basedOn w:val="HeadingBase"/>
    <w:rsid w:val="007075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5C7"/>
    <w:rPr>
      <w:color w:val="0033CC"/>
      <w:u w:val="none"/>
    </w:rPr>
  </w:style>
  <w:style w:type="paragraph" w:customStyle="1" w:styleId="BodyTextRight">
    <w:name w:val="Body Text Right"/>
    <w:basedOn w:val="BodyText"/>
    <w:rsid w:val="007075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5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5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5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5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5C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7075C7"/>
    <w:rPr>
      <w:sz w:val="32"/>
    </w:rPr>
  </w:style>
  <w:style w:type="paragraph" w:customStyle="1" w:styleId="HeadingProcedure">
    <w:name w:val="Heading Procedure"/>
    <w:basedOn w:val="HeadingBase"/>
    <w:next w:val="Normal"/>
    <w:rsid w:val="007075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5C7"/>
    <w:pPr>
      <w:spacing w:before="60" w:after="60"/>
    </w:pPr>
  </w:style>
  <w:style w:type="paragraph" w:styleId="ListContinue">
    <w:name w:val="List Continue"/>
    <w:basedOn w:val="List"/>
    <w:rsid w:val="007075C7"/>
    <w:pPr>
      <w:ind w:firstLine="0"/>
    </w:pPr>
  </w:style>
  <w:style w:type="paragraph" w:customStyle="1" w:styleId="ListNote">
    <w:name w:val="List Note"/>
    <w:basedOn w:val="List"/>
    <w:rsid w:val="007075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5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5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5C7"/>
    <w:rPr>
      <w:rFonts w:ascii="Courier New" w:hAnsi="Courier New"/>
    </w:rPr>
  </w:style>
  <w:style w:type="paragraph" w:customStyle="1" w:styleId="NoteBullet">
    <w:name w:val="Note Bullet"/>
    <w:basedOn w:val="Note"/>
    <w:rsid w:val="007075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5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5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5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5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75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5C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7075C7"/>
    <w:rPr>
      <w:b/>
      <w:smallCaps/>
    </w:rPr>
  </w:style>
  <w:style w:type="paragraph" w:customStyle="1" w:styleId="TableListNumber">
    <w:name w:val="Table List Number"/>
    <w:basedOn w:val="ListNumber"/>
    <w:rsid w:val="007075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5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5C7"/>
    <w:pPr>
      <w:numPr>
        <w:numId w:val="7"/>
      </w:numPr>
    </w:pPr>
  </w:style>
  <w:style w:type="paragraph" w:customStyle="1" w:styleId="ListAlpha2">
    <w:name w:val="List Alpha 2"/>
    <w:basedOn w:val="List2"/>
    <w:rsid w:val="007075C7"/>
    <w:pPr>
      <w:numPr>
        <w:numId w:val="6"/>
      </w:numPr>
    </w:pPr>
  </w:style>
  <w:style w:type="paragraph" w:styleId="List2">
    <w:name w:val="List 2"/>
    <w:basedOn w:val="BodyText"/>
    <w:rsid w:val="007075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5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5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5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5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5C7"/>
    <w:pPr>
      <w:numPr>
        <w:numId w:val="1"/>
      </w:numPr>
    </w:pPr>
  </w:style>
  <w:style w:type="paragraph" w:styleId="ListBullet5">
    <w:name w:val="List Bullet 5"/>
    <w:basedOn w:val="List5"/>
    <w:rsid w:val="007075C7"/>
    <w:pPr>
      <w:numPr>
        <w:numId w:val="2"/>
      </w:numPr>
    </w:pPr>
  </w:style>
  <w:style w:type="paragraph" w:styleId="ListContinue2">
    <w:name w:val="List Continue 2"/>
    <w:basedOn w:val="List2"/>
    <w:rsid w:val="007075C7"/>
    <w:pPr>
      <w:ind w:firstLine="0"/>
    </w:pPr>
  </w:style>
  <w:style w:type="paragraph" w:styleId="ListContinue3">
    <w:name w:val="List Continue 3"/>
    <w:basedOn w:val="List3"/>
    <w:rsid w:val="007075C7"/>
    <w:pPr>
      <w:ind w:left="1021" w:firstLine="0"/>
    </w:pPr>
  </w:style>
  <w:style w:type="paragraph" w:styleId="ListContinue4">
    <w:name w:val="List Continue 4"/>
    <w:basedOn w:val="List4"/>
    <w:rsid w:val="007075C7"/>
    <w:pPr>
      <w:ind w:firstLine="0"/>
    </w:pPr>
  </w:style>
  <w:style w:type="paragraph" w:styleId="ListContinue5">
    <w:name w:val="List Continue 5"/>
    <w:basedOn w:val="List5"/>
    <w:rsid w:val="007075C7"/>
    <w:pPr>
      <w:ind w:firstLine="0"/>
    </w:pPr>
  </w:style>
  <w:style w:type="paragraph" w:styleId="ListNumber3">
    <w:name w:val="List Number 3"/>
    <w:basedOn w:val="List3"/>
    <w:rsid w:val="007075C7"/>
    <w:pPr>
      <w:numPr>
        <w:numId w:val="3"/>
      </w:numPr>
    </w:pPr>
  </w:style>
  <w:style w:type="paragraph" w:styleId="ListNumber4">
    <w:name w:val="List Number 4"/>
    <w:basedOn w:val="List4"/>
    <w:rsid w:val="007075C7"/>
    <w:pPr>
      <w:numPr>
        <w:numId w:val="4"/>
      </w:numPr>
    </w:pPr>
  </w:style>
  <w:style w:type="paragraph" w:styleId="ListNumber5">
    <w:name w:val="List Number 5"/>
    <w:basedOn w:val="List5"/>
    <w:rsid w:val="007075C7"/>
    <w:pPr>
      <w:numPr>
        <w:numId w:val="5"/>
      </w:numPr>
    </w:pPr>
  </w:style>
  <w:style w:type="paragraph" w:styleId="BlockText">
    <w:name w:val="Block Text"/>
    <w:basedOn w:val="Normal"/>
    <w:rsid w:val="007075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5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5C7"/>
    <w:rPr>
      <w:sz w:val="16"/>
      <w:vertAlign w:val="superscript"/>
    </w:rPr>
  </w:style>
  <w:style w:type="character" w:customStyle="1" w:styleId="Symbols">
    <w:name w:val="Symbols"/>
    <w:basedOn w:val="DefaultParagraphFont"/>
    <w:rsid w:val="007075C7"/>
    <w:rPr>
      <w:rFonts w:ascii="Symbol" w:hAnsi="Symbol"/>
    </w:rPr>
  </w:style>
  <w:style w:type="character" w:customStyle="1" w:styleId="MenuOptions">
    <w:name w:val="Menu Options"/>
    <w:basedOn w:val="DefaultParagraphFont"/>
    <w:rsid w:val="007075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5C7"/>
    <w:rPr>
      <w:b/>
    </w:rPr>
  </w:style>
  <w:style w:type="character" w:customStyle="1" w:styleId="Underlined">
    <w:name w:val="Underlined"/>
    <w:basedOn w:val="DefaultParagraphFont"/>
    <w:rsid w:val="007075C7"/>
    <w:rPr>
      <w:u w:val="single"/>
    </w:rPr>
  </w:style>
  <w:style w:type="paragraph" w:customStyle="1" w:styleId="TableBodyTextRight">
    <w:name w:val="Table Body Text Right"/>
    <w:basedOn w:val="TableBodyText"/>
    <w:rsid w:val="007075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5C7"/>
    <w:rPr>
      <w:sz w:val="18"/>
    </w:rPr>
  </w:style>
  <w:style w:type="paragraph" w:customStyle="1" w:styleId="BodySmallRight">
    <w:name w:val="Body Small Right"/>
    <w:basedOn w:val="BodyTextRight"/>
    <w:rsid w:val="007075C7"/>
    <w:rPr>
      <w:sz w:val="18"/>
      <w:szCs w:val="18"/>
    </w:rPr>
  </w:style>
  <w:style w:type="paragraph" w:customStyle="1" w:styleId="MarginEdition">
    <w:name w:val="Margin Edition"/>
    <w:basedOn w:val="MarginNote"/>
    <w:rsid w:val="007075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5C7"/>
    <w:rPr>
      <w:sz w:val="2"/>
      <w:szCs w:val="2"/>
    </w:rPr>
  </w:style>
  <w:style w:type="character" w:customStyle="1" w:styleId="Small">
    <w:name w:val="Small"/>
    <w:basedOn w:val="DefaultParagraphFont"/>
    <w:rsid w:val="007075C7"/>
    <w:rPr>
      <w:sz w:val="16"/>
    </w:rPr>
  </w:style>
  <w:style w:type="paragraph" w:customStyle="1" w:styleId="WideTable">
    <w:name w:val="Wide Table"/>
    <w:basedOn w:val="Normal"/>
    <w:rsid w:val="007075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5C7"/>
  </w:style>
  <w:style w:type="paragraph" w:styleId="Quote">
    <w:name w:val="Quote"/>
    <w:basedOn w:val="Heading1"/>
    <w:link w:val="QuoteChar"/>
    <w:qFormat/>
    <w:rsid w:val="007075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5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5C7"/>
    <w:pPr>
      <w:pageBreakBefore/>
    </w:pPr>
  </w:style>
  <w:style w:type="paragraph" w:customStyle="1" w:styleId="Border">
    <w:name w:val="Border"/>
    <w:basedOn w:val="Normal"/>
    <w:qFormat/>
    <w:rsid w:val="007075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5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5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5C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7075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5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5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5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5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5C7"/>
    <w:rPr>
      <w:u w:val="single"/>
    </w:rPr>
  </w:style>
  <w:style w:type="character" w:customStyle="1" w:styleId="BoldandItalics">
    <w:name w:val="Bold and Italics"/>
    <w:qFormat/>
    <w:rsid w:val="007075C7"/>
    <w:rPr>
      <w:b/>
      <w:i/>
      <w:u w:val="none"/>
    </w:rPr>
  </w:style>
  <w:style w:type="paragraph" w:styleId="BalloonText">
    <w:name w:val="Balloon Text"/>
    <w:basedOn w:val="Normal"/>
    <w:link w:val="BalloonTextChar"/>
    <w:rsid w:val="00707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5C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7075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5C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1126</Words>
  <Characters>6819</Characters>
  <Application>Microsoft Office Word</Application>
  <DocSecurity>0</DocSecurity>
  <Lines>304</Lines>
  <Paragraphs>148</Paragraphs>
  <ScaleCrop>false</ScaleCrop>
  <Company>Author-it Software Corporation Ltd.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HLTOPD401A Work effectively in the ophthalmic industry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2012-05-26T16:59:00Z</dcterms:created>
  <dcterms:modified xsi:type="dcterms:W3CDTF">2012-05-26T16:59:00Z</dcterms:modified>
</cp:coreProperties>
</file>