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92AEB" w:rsidP="00F92A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HLTTHE001 Handle and care for operating theatre equipment</w:t>
      </w:r>
      <w:r>
        <w:fldChar w:fldCharType="end"/>
      </w:r>
    </w:p>
    <w:p w:rsidR="00F92AEB" w:rsidP="00F92AEB">
      <w:pPr>
        <w:pStyle w:val="Version"/>
        <w:sectPr w:rsidSect="00C161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16150" w:rsidP="00C16150">
      <w:pPr>
        <w:pStyle w:val="SuperHeading"/>
      </w:pPr>
      <w:r w:rsidRPr="00C16150">
        <w:t>HLTTHE001 Handle and care for operating theatre equipment</w:t>
      </w:r>
    </w:p>
    <w:p w:rsidR="00000000" w:rsidRPr="00C16150" w:rsidP="00C16150">
      <w:pPr>
        <w:pStyle w:val="Heading1"/>
      </w:pPr>
      <w:bookmarkStart w:id="1" w:name="O_744023"/>
      <w:bookmarkEnd w:id="1"/>
      <w:r w:rsidRPr="00C1615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C161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150" w:rsidP="00C16150">
            <w:pPr>
              <w:pStyle w:val="BodyText"/>
            </w:pPr>
            <w:r w:rsidRPr="00C16150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150">
            <w:pPr>
              <w:pStyle w:val="BodyText"/>
              <w:rPr>
                <w:lang w:val="en-NZ"/>
              </w:rPr>
            </w:pPr>
            <w:r w:rsidRPr="00C16150">
              <w:rPr>
                <w:rStyle w:val="SpecialBold"/>
              </w:rPr>
              <w:t>Comments</w:t>
            </w:r>
          </w:p>
        </w:tc>
      </w:tr>
      <w:tr w:rsidTr="00C161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150">
            <w:pPr>
              <w:pStyle w:val="BodyText"/>
              <w:rPr>
                <w:lang w:val="en-NZ"/>
              </w:rPr>
            </w:pPr>
            <w:r w:rsidRPr="00C16150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150" w:rsidP="00C16150">
            <w:pPr>
              <w:pStyle w:val="BodyText"/>
            </w:pPr>
            <w:r w:rsidRPr="00C16150">
              <w:t xml:space="preserve">This version was released in </w:t>
            </w:r>
            <w:r w:rsidRPr="00C16150">
              <w:rPr>
                <w:rStyle w:val="Emphasis"/>
              </w:rPr>
              <w:t>HLT Health Training Package release 2.0</w:t>
            </w:r>
            <w:r w:rsidRPr="00C16150">
              <w:t xml:space="preserve"> and meets the requirements of the 2012 Standards for Training Packages.</w:t>
            </w:r>
          </w:p>
          <w:p w:rsidR="00000000" w:rsidRPr="00C16150" w:rsidP="00C16150">
            <w:pPr>
              <w:pStyle w:val="BodyText"/>
            </w:pPr>
            <w:r w:rsidRPr="00C16150">
              <w:t>Merged HLTTH302D/HLTTH404D. Significant changes t</w:t>
            </w:r>
            <w:r w:rsidRPr="00C16150">
              <w:t>o the elements and performance criteria. New evidence requirements for assessment, including volume and frequency requirements.</w:t>
            </w:r>
          </w:p>
        </w:tc>
      </w:tr>
    </w:tbl>
    <w:p w:rsidR="00F92AEB" w:rsidP="00C16150">
      <w:pPr>
        <w:pStyle w:val="BodyText"/>
      </w:pPr>
    </w:p>
    <w:p w:rsidR="00F92AEB" w:rsidP="00C16150">
      <w:pPr>
        <w:pStyle w:val="BodyText"/>
      </w:pPr>
    </w:p>
    <w:p w:rsidR="00000000" w:rsidRPr="00C16150" w:rsidP="00C16150">
      <w:pPr>
        <w:pStyle w:val="Heading1"/>
      </w:pPr>
      <w:bookmarkStart w:id="2" w:name="O_744024"/>
      <w:bookmarkEnd w:id="2"/>
      <w:r w:rsidRPr="00C16150">
        <w:t>Application</w:t>
      </w:r>
    </w:p>
    <w:p w:rsidR="00000000" w:rsidRPr="00C16150" w:rsidP="00F92AEB">
      <w:pPr>
        <w:pStyle w:val="BodyText"/>
      </w:pPr>
      <w:r w:rsidRPr="00C16150">
        <w:t>This unit describes the skills and knowledge required to prepare theatre equipment, provide basi</w:t>
      </w:r>
      <w:r w:rsidRPr="00C16150">
        <w:t xml:space="preserve">c maintenance support, and contribute to effective use of equipment by providing basic instruction to others on equipment operation. </w:t>
      </w:r>
    </w:p>
    <w:p w:rsidR="00000000" w:rsidRPr="00C16150" w:rsidP="00F92AEB">
      <w:pPr>
        <w:pStyle w:val="BodyText"/>
      </w:pPr>
      <w:r w:rsidRPr="00C16150">
        <w:t>This unit applies to operating theatre technicians and other theatre staff who work under supervision in the operating th</w:t>
      </w:r>
      <w:r w:rsidRPr="00C16150">
        <w:t xml:space="preserve">eatre. </w:t>
      </w:r>
    </w:p>
    <w:p w:rsidR="00000000" w:rsidRPr="00F92AEB" w:rsidP="00F92AEB">
      <w:pPr>
        <w:pStyle w:val="BodyText"/>
        <w:rPr>
          <w:i/>
        </w:rPr>
      </w:pPr>
      <w:r w:rsidRPr="00F92AEB">
        <w:rPr>
          <w:rStyle w:val="Emphasis"/>
        </w:rPr>
        <w:t>The skills in this unit must be applied in accordance with Commonwealth and State/Territory legislation, Australian/New Zealand standards and industry codes of practice</w:t>
      </w:r>
      <w:r w:rsidRPr="00F92AEB">
        <w:rPr>
          <w:i/>
        </w:rPr>
        <w:t>.</w:t>
      </w:r>
    </w:p>
    <w:p w:rsidR="00000000" w:rsidRPr="00C16150" w:rsidP="00C16150">
      <w:pPr>
        <w:pStyle w:val="Heading1"/>
      </w:pPr>
      <w:bookmarkStart w:id="3" w:name="O_744028"/>
      <w:bookmarkEnd w:id="3"/>
      <w:r w:rsidRPr="00C1615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C161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150" w:rsidP="00C16150">
            <w:pPr>
              <w:pStyle w:val="BodyText"/>
            </w:pPr>
            <w:r w:rsidRPr="00C16150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150">
            <w:pPr>
              <w:pStyle w:val="BodyText"/>
              <w:rPr>
                <w:lang w:val="en-NZ"/>
              </w:rPr>
            </w:pPr>
            <w:r w:rsidRPr="00C16150">
              <w:rPr>
                <w:rStyle w:val="SpecialBold"/>
              </w:rPr>
              <w:t>PERFORMANCE CRITERIA</w:t>
            </w:r>
          </w:p>
        </w:tc>
      </w:tr>
      <w:tr w:rsidTr="00C161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150" w:rsidP="00C16150">
            <w:pPr>
              <w:pStyle w:val="BodyText"/>
            </w:pPr>
            <w:r w:rsidRPr="00C16150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150">
            <w:pPr>
              <w:pStyle w:val="BodyText"/>
              <w:rPr>
                <w:lang w:val="en-NZ"/>
              </w:rPr>
            </w:pPr>
            <w:r w:rsidRPr="00C16150">
              <w:rPr>
                <w:rStyle w:val="Emphasis"/>
              </w:rPr>
              <w:t>Performance criteria describe the performance needed to demonstrate achievement of the element</w:t>
            </w:r>
          </w:p>
        </w:tc>
      </w:tr>
      <w:tr w:rsidTr="00C161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150" w:rsidP="00C16150">
            <w:pPr>
              <w:pStyle w:val="BodyText"/>
            </w:pPr>
            <w:r w:rsidRPr="00C16150">
              <w:t xml:space="preserve">1. Select and prepare operating theatre equipment </w:t>
            </w:r>
          </w:p>
          <w:p w:rsidR="00000000" w:rsidRPr="00C16150" w:rsidP="00C16150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150" w:rsidP="00C16150">
            <w:pPr>
              <w:pStyle w:val="BodyText"/>
            </w:pPr>
            <w:r w:rsidRPr="00C16150">
              <w:t>1.1 Identify equipment and consumables require</w:t>
            </w:r>
            <w:r w:rsidRPr="00C16150">
              <w:t>ments, based on consultation with operating theatre team, review of operating list and surgeon preferences</w:t>
            </w:r>
          </w:p>
          <w:p w:rsidR="00000000" w:rsidRPr="00C16150" w:rsidP="00C16150">
            <w:pPr>
              <w:pStyle w:val="BodyText"/>
            </w:pPr>
            <w:r w:rsidRPr="00C16150">
              <w:t>1.2 Set up, correctly position, and check equipment and consumables in accordance with standard and additional infection control procedures</w:t>
            </w:r>
          </w:p>
          <w:p w:rsidR="00000000" w:rsidRPr="00C16150" w:rsidP="00C16150">
            <w:pPr>
              <w:pStyle w:val="BodyText"/>
            </w:pPr>
            <w:r w:rsidRPr="00C16150">
              <w:t>1.3 Assem</w:t>
            </w:r>
            <w:r w:rsidRPr="00C16150">
              <w:t>ble, connect and test components in accordance with specific equipment requirements</w:t>
            </w:r>
          </w:p>
          <w:p w:rsidR="00000000" w:rsidRPr="00C16150" w:rsidP="00C16150">
            <w:pPr>
              <w:pStyle w:val="BodyText"/>
            </w:pPr>
            <w:r w:rsidRPr="00C16150">
              <w:t>1.4 Re-position equipment during theatre procedures, as required by specific procedure</w:t>
            </w:r>
          </w:p>
          <w:p w:rsidR="00000000" w:rsidRPr="00C16150" w:rsidP="00C16150">
            <w:pPr>
              <w:pStyle w:val="BodyText"/>
            </w:pPr>
            <w:r w:rsidRPr="00C16150">
              <w:t>1.5 Accurately document the use of theatre equipment as required</w:t>
            </w:r>
          </w:p>
          <w:p w:rsidR="00000000" w:rsidP="00C16150">
            <w:pPr>
              <w:pStyle w:val="BodyText"/>
              <w:rPr>
                <w:lang w:val="en-NZ"/>
              </w:rPr>
            </w:pPr>
            <w:r w:rsidRPr="00C16150">
              <w:t>1.6 Withdraw from us</w:t>
            </w:r>
            <w:r w:rsidRPr="00C16150">
              <w:t>e and replace equipment if considered not safe for use</w:t>
            </w:r>
          </w:p>
        </w:tc>
      </w:tr>
      <w:tr w:rsidTr="00C161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150">
            <w:pPr>
              <w:pStyle w:val="BodyText"/>
              <w:rPr>
                <w:lang w:val="en-NZ"/>
              </w:rPr>
            </w:pPr>
          </w:p>
        </w:tc>
      </w:tr>
      <w:tr w:rsidTr="00C161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150">
            <w:pPr>
              <w:pStyle w:val="BodyText"/>
              <w:rPr>
                <w:lang w:val="en-NZ"/>
              </w:rPr>
            </w:pPr>
            <w:r w:rsidRPr="00C16150">
              <w:t xml:space="preserve">2. Support equipment maintenance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150" w:rsidP="00C16150">
            <w:pPr>
              <w:pStyle w:val="BodyText"/>
            </w:pPr>
            <w:r w:rsidRPr="00C16150">
              <w:t>2.1 Identify and correct</w:t>
            </w:r>
            <w:r w:rsidRPr="00C16150">
              <w:rPr>
                <w:rStyle w:val="Emphasis"/>
              </w:rPr>
              <w:t xml:space="preserve"> </w:t>
            </w:r>
            <w:r w:rsidRPr="00C16150">
              <w:t>minor equipment problems within scope of own job role</w:t>
            </w:r>
          </w:p>
          <w:p w:rsidR="00000000" w:rsidRPr="00C16150" w:rsidP="00C16150">
            <w:pPr>
              <w:pStyle w:val="BodyText"/>
            </w:pPr>
            <w:r w:rsidRPr="00C16150">
              <w:t>2.2 Refer equipment maintenance to a specialist as required by scope and nature of problem and organisation policy and procedures</w:t>
            </w:r>
          </w:p>
          <w:p w:rsidR="00000000" w:rsidRPr="00C16150" w:rsidP="00C16150">
            <w:pPr>
              <w:pStyle w:val="BodyText"/>
            </w:pPr>
            <w:r w:rsidRPr="00C16150">
              <w:t xml:space="preserve">2.3 Maintain accurate maintenance log book as required </w:t>
            </w:r>
          </w:p>
          <w:p w:rsidR="00000000" w:rsidRPr="00C16150" w:rsidP="00C16150">
            <w:pPr>
              <w:pStyle w:val="BodyText"/>
            </w:pPr>
            <w:r w:rsidRPr="00C16150">
              <w:t>2.4 Schedule equipment for maintenance based on the needs of the opera</w:t>
            </w:r>
            <w:r w:rsidRPr="00C16150">
              <w:t>ting theatre</w:t>
            </w:r>
          </w:p>
          <w:p w:rsidR="00000000" w:rsidP="00C16150">
            <w:pPr>
              <w:pStyle w:val="BodyText"/>
              <w:rPr>
                <w:lang w:val="en-NZ"/>
              </w:rPr>
            </w:pPr>
            <w:r w:rsidRPr="00C16150">
              <w:t>2.5 Maintain communication with relevant operating theatre staff in relation to equipment maintenance</w:t>
            </w:r>
          </w:p>
        </w:tc>
      </w:tr>
      <w:tr w:rsidTr="00C161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150">
            <w:pPr>
              <w:pStyle w:val="BodyText"/>
              <w:rPr>
                <w:lang w:val="en-NZ"/>
              </w:rPr>
            </w:pPr>
          </w:p>
        </w:tc>
      </w:tr>
      <w:tr w:rsidTr="00C161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150">
            <w:pPr>
              <w:pStyle w:val="BodyText"/>
              <w:rPr>
                <w:lang w:val="en-NZ"/>
              </w:rPr>
            </w:pPr>
            <w:r w:rsidRPr="00C16150">
              <w:t xml:space="preserve">3. Disassemble and store operating theatre equipment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150" w:rsidP="00C16150">
            <w:pPr>
              <w:pStyle w:val="BodyText"/>
            </w:pPr>
            <w:r w:rsidRPr="00C16150">
              <w:t>3.1 Follow shut-down procedures in accordance with manufacturer’s recommendations</w:t>
            </w:r>
          </w:p>
          <w:p w:rsidR="00000000" w:rsidRPr="00C16150" w:rsidP="00C16150">
            <w:pPr>
              <w:pStyle w:val="BodyText"/>
            </w:pPr>
            <w:r w:rsidRPr="00C16150">
              <w:t>3</w:t>
            </w:r>
            <w:r w:rsidRPr="00C16150">
              <w:t xml:space="preserve">.2 Assemble and disassemble equipment in accordance with manufacturer’s recommendations and manual task risk principles </w:t>
            </w:r>
          </w:p>
          <w:p w:rsidR="00000000" w:rsidRPr="00C16150" w:rsidP="00C16150">
            <w:pPr>
              <w:pStyle w:val="BodyText"/>
            </w:pPr>
            <w:r w:rsidRPr="00C16150">
              <w:t>3.3 Dispose of waste in accordance with infection control protocols and organisation policies and procedures</w:t>
            </w:r>
          </w:p>
          <w:p w:rsidR="00000000" w:rsidRPr="00C16150" w:rsidP="00C16150">
            <w:pPr>
              <w:pStyle w:val="BodyText"/>
            </w:pPr>
            <w:r w:rsidRPr="00C16150">
              <w:t xml:space="preserve">3.4 Clean equipment using </w:t>
            </w:r>
            <w:r w:rsidRPr="00C16150">
              <w:t>cleaning agent suited to the equipment and in accordance with organisation policy and procedures</w:t>
            </w:r>
          </w:p>
          <w:p w:rsidR="00000000" w:rsidP="00C16150">
            <w:pPr>
              <w:pStyle w:val="BodyText"/>
              <w:rPr>
                <w:lang w:val="en-NZ"/>
              </w:rPr>
            </w:pPr>
            <w:r w:rsidRPr="00C16150">
              <w:t>3.5 Safely store equipment in accordance with manufacturer’s recommendations and manual task risk principles</w:t>
            </w:r>
          </w:p>
        </w:tc>
      </w:tr>
      <w:tr w:rsidTr="00C161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150">
            <w:pPr>
              <w:pStyle w:val="BodyText"/>
              <w:rPr>
                <w:lang w:val="en-NZ"/>
              </w:rPr>
            </w:pPr>
          </w:p>
        </w:tc>
      </w:tr>
      <w:tr w:rsidTr="00C161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150">
            <w:pPr>
              <w:pStyle w:val="BodyText"/>
              <w:rPr>
                <w:lang w:val="en-NZ"/>
              </w:rPr>
            </w:pPr>
            <w:r w:rsidRPr="00C16150">
              <w:t>4. Contribute to operating theatre operations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150" w:rsidP="00C16150">
            <w:pPr>
              <w:pStyle w:val="BodyText"/>
            </w:pPr>
            <w:r w:rsidRPr="00C16150">
              <w:t xml:space="preserve">4.1 Provide clear and correct instructions on equipment operation to individual members of the theatre team as required </w:t>
            </w:r>
          </w:p>
          <w:p w:rsidR="00000000" w:rsidRPr="00C16150" w:rsidP="00C16150">
            <w:pPr>
              <w:pStyle w:val="BodyText"/>
            </w:pPr>
            <w:r w:rsidRPr="00C16150">
              <w:t>4.2 Review equipment effectiveness from a theatre technician’s perspective and provide feedback to relevant personnel</w:t>
            </w:r>
          </w:p>
          <w:p w:rsidR="00000000" w:rsidRPr="00C16150" w:rsidP="00C16150">
            <w:pPr>
              <w:pStyle w:val="BodyText"/>
            </w:pPr>
            <w:r w:rsidRPr="00C16150">
              <w:t>4.3 Participate as required in team evaluations of equipment being considered for potential purchase and share information from the theatre technician’s perspective</w:t>
            </w:r>
          </w:p>
        </w:tc>
      </w:tr>
    </w:tbl>
    <w:p w:rsidR="00F92AEB" w:rsidP="00C16150">
      <w:pPr>
        <w:pStyle w:val="BodyText"/>
      </w:pPr>
    </w:p>
    <w:p w:rsidR="00F92AEB" w:rsidP="00C16150">
      <w:pPr>
        <w:pStyle w:val="BodyText"/>
      </w:pPr>
    </w:p>
    <w:p w:rsidR="00000000" w:rsidRPr="00C16150" w:rsidP="00C16150">
      <w:pPr>
        <w:pStyle w:val="Heading1"/>
      </w:pPr>
      <w:bookmarkStart w:id="4" w:name="O_744029"/>
      <w:bookmarkEnd w:id="4"/>
      <w:r w:rsidRPr="00C16150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C161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150">
            <w:pPr>
              <w:pStyle w:val="BodyText"/>
              <w:rPr>
                <w:lang w:val="en-NZ"/>
              </w:rPr>
            </w:pPr>
            <w:r w:rsidRPr="00C16150">
              <w:rPr>
                <w:rStyle w:val="Emphasis"/>
              </w:rPr>
              <w:t xml:space="preserve">The Foundation Skills describe those required skills </w:t>
            </w:r>
            <w:r w:rsidRPr="00C16150">
              <w:rPr>
                <w:rStyle w:val="Emphasis"/>
              </w:rPr>
              <w:t xml:space="preserve">(language, literacy, numeracy and employment </w:t>
            </w:r>
            <w:r w:rsidRPr="00C16150">
              <w:t xml:space="preserve">skills) that are essential </w:t>
            </w:r>
            <w:r w:rsidRPr="00C16150">
              <w:rPr>
                <w:rStyle w:val="Emphasis"/>
              </w:rPr>
              <w:t>to performance.</w:t>
            </w:r>
          </w:p>
        </w:tc>
      </w:tr>
      <w:tr w:rsidTr="00C161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150" w:rsidP="00C16150">
            <w:pPr>
              <w:pStyle w:val="BodyText"/>
            </w:pPr>
          </w:p>
          <w:p w:rsidR="00000000" w:rsidRPr="00C16150" w:rsidP="00C16150">
            <w:pPr>
              <w:pStyle w:val="BodyText"/>
            </w:pPr>
            <w:r w:rsidRPr="00C16150">
              <w:t>Foundation skills essential to performance are explicit in the performance criteria of this unit of competency</w:t>
            </w:r>
          </w:p>
        </w:tc>
      </w:tr>
    </w:tbl>
    <w:p w:rsidR="00000000" w:rsidRPr="00C16150" w:rsidP="00C16150">
      <w:pPr>
        <w:pStyle w:val="BodyText"/>
      </w:pPr>
    </w:p>
    <w:p w:rsidR="00000000" w:rsidRPr="00C16150" w:rsidP="00C16150">
      <w:pPr>
        <w:pStyle w:val="AllowPageBreak"/>
      </w:pPr>
    </w:p>
    <w:p w:rsidR="00000000" w:rsidRPr="00C16150" w:rsidP="00C16150">
      <w:pPr>
        <w:pStyle w:val="Heading1"/>
      </w:pPr>
      <w:bookmarkStart w:id="5" w:name="O_744031"/>
      <w:bookmarkEnd w:id="5"/>
      <w:r w:rsidRPr="00C16150">
        <w:t>Unit Mapping Information</w:t>
      </w:r>
    </w:p>
    <w:p w:rsidR="00000000" w:rsidRPr="00C16150" w:rsidP="00F92AEB">
      <w:pPr>
        <w:pStyle w:val="BodyText"/>
      </w:pPr>
      <w:r w:rsidRPr="00C16150">
        <w:t>No equivale</w:t>
      </w:r>
      <w:r w:rsidRPr="00C16150">
        <w:t xml:space="preserve">nt unit. </w:t>
      </w:r>
    </w:p>
    <w:p w:rsidR="00000000" w:rsidRPr="00C16150" w:rsidP="00C16150">
      <w:pPr>
        <w:pStyle w:val="Heading1"/>
      </w:pPr>
      <w:bookmarkStart w:id="6" w:name="O_744038"/>
      <w:bookmarkEnd w:id="6"/>
      <w:r w:rsidRPr="00C16150">
        <w:t>Links</w:t>
      </w:r>
    </w:p>
    <w:p w:rsidR="00000000" w:rsidRPr="00C16150" w:rsidP="00F92AEB">
      <w:pPr>
        <w:pStyle w:val="BodyText"/>
      </w:pPr>
      <w:r w:rsidRPr="00C1615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7D6E29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C16150" w:rsidP="00C16150"/>
    <w:sectPr w:rsidSect="00C1615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1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150" w:rsidRPr="00F92AEB" w:rsidP="00F92A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1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AEB" w:rsidP="00C161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92AEB" w:rsidP="00C161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92AEB" w:rsidP="00C161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1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AE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6150" w:rsidRPr="00F92AEB" w:rsidP="00F92AE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1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AEB" w:rsidRPr="002D2AF8" w:rsidP="00C161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HLTTHE001 Handle and care for operating theatre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F92AEB" w:rsidP="00C161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61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61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61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61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61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61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61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61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61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61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61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6150"/>
  </w:style>
  <w:style w:type="character" w:customStyle="1" w:styleId="Heading1Char">
    <w:name w:val="Heading 1 Char"/>
    <w:basedOn w:val="DefaultParagraphFont"/>
    <w:link w:val="Heading1"/>
    <w:rsid w:val="00C161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61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615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16150"/>
    <w:rPr>
      <w:b/>
      <w:spacing w:val="0"/>
    </w:rPr>
  </w:style>
  <w:style w:type="character" w:styleId="Emphasis">
    <w:name w:val="Emphasis"/>
    <w:basedOn w:val="DefaultParagraphFont"/>
    <w:qFormat/>
    <w:rsid w:val="00C16150"/>
    <w:rPr>
      <w:i/>
    </w:rPr>
  </w:style>
  <w:style w:type="paragraph" w:customStyle="1" w:styleId="SuperHeading">
    <w:name w:val="SuperHeading"/>
    <w:basedOn w:val="Normal"/>
    <w:rsid w:val="00C161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61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161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61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61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61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61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61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61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61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61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61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61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61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61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61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61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61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61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615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1615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1615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161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161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61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61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1615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161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61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61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61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61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61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61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61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615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161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61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61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6150"/>
  </w:style>
  <w:style w:type="paragraph" w:styleId="TableofFigures">
    <w:name w:val="table of figures"/>
    <w:basedOn w:val="Normal"/>
    <w:next w:val="Normal"/>
    <w:semiHidden/>
    <w:rsid w:val="00C161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615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16150"/>
    <w:rPr>
      <w:rFonts w:ascii="Wingdings" w:hAnsi="Wingdings"/>
    </w:rPr>
  </w:style>
  <w:style w:type="paragraph" w:customStyle="1" w:styleId="TableHeading">
    <w:name w:val="Table Heading"/>
    <w:basedOn w:val="HeadingBase"/>
    <w:rsid w:val="00C161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6150"/>
    <w:rPr>
      <w:color w:val="0033CC"/>
      <w:u w:val="none"/>
    </w:rPr>
  </w:style>
  <w:style w:type="paragraph" w:customStyle="1" w:styleId="BodyTextRight">
    <w:name w:val="Body Text Right"/>
    <w:basedOn w:val="BodyText"/>
    <w:rsid w:val="00C161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61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615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61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61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61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6150"/>
    <w:rPr>
      <w:sz w:val="32"/>
    </w:rPr>
  </w:style>
  <w:style w:type="paragraph" w:customStyle="1" w:styleId="HeadingProcedure">
    <w:name w:val="Heading Procedure"/>
    <w:basedOn w:val="HeadingBase"/>
    <w:next w:val="Normal"/>
    <w:rsid w:val="00C161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6150"/>
    <w:pPr>
      <w:spacing w:before="60" w:after="60"/>
    </w:pPr>
  </w:style>
  <w:style w:type="paragraph" w:styleId="ListContinue">
    <w:name w:val="List Continue"/>
    <w:basedOn w:val="List"/>
    <w:rsid w:val="00C16150"/>
    <w:pPr>
      <w:ind w:firstLine="0"/>
    </w:pPr>
  </w:style>
  <w:style w:type="paragraph" w:customStyle="1" w:styleId="ListNote">
    <w:name w:val="List Note"/>
    <w:basedOn w:val="List"/>
    <w:rsid w:val="00C161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61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61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6150"/>
    <w:rPr>
      <w:rFonts w:ascii="Courier New" w:hAnsi="Courier New"/>
    </w:rPr>
  </w:style>
  <w:style w:type="paragraph" w:customStyle="1" w:styleId="NoteBullet">
    <w:name w:val="Note Bullet"/>
    <w:basedOn w:val="Note"/>
    <w:rsid w:val="00C161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61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61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61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615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161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61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6150"/>
    <w:rPr>
      <w:b/>
      <w:smallCaps/>
    </w:rPr>
  </w:style>
  <w:style w:type="paragraph" w:customStyle="1" w:styleId="TableListNumber">
    <w:name w:val="Table List Number"/>
    <w:basedOn w:val="ListNumber"/>
    <w:rsid w:val="00C161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61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6150"/>
    <w:pPr>
      <w:numPr>
        <w:numId w:val="7"/>
      </w:numPr>
    </w:pPr>
  </w:style>
  <w:style w:type="paragraph" w:customStyle="1" w:styleId="ListAlpha2">
    <w:name w:val="List Alpha 2"/>
    <w:basedOn w:val="List2"/>
    <w:rsid w:val="00C16150"/>
    <w:pPr>
      <w:numPr>
        <w:numId w:val="6"/>
      </w:numPr>
    </w:pPr>
  </w:style>
  <w:style w:type="paragraph" w:styleId="List2">
    <w:name w:val="List 2"/>
    <w:basedOn w:val="BodyText"/>
    <w:rsid w:val="00C161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61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61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61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615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615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16150"/>
    <w:pPr>
      <w:numPr>
        <w:numId w:val="2"/>
      </w:numPr>
    </w:pPr>
  </w:style>
  <w:style w:type="paragraph" w:styleId="ListContinue2">
    <w:name w:val="List Continue 2"/>
    <w:basedOn w:val="List2"/>
    <w:rsid w:val="00C16150"/>
    <w:pPr>
      <w:ind w:firstLine="0"/>
    </w:pPr>
  </w:style>
  <w:style w:type="paragraph" w:styleId="ListContinue3">
    <w:name w:val="List Continue 3"/>
    <w:basedOn w:val="List3"/>
    <w:rsid w:val="00C16150"/>
    <w:pPr>
      <w:ind w:left="1021" w:firstLine="0"/>
    </w:pPr>
  </w:style>
  <w:style w:type="paragraph" w:styleId="ListContinue4">
    <w:name w:val="List Continue 4"/>
    <w:basedOn w:val="List4"/>
    <w:rsid w:val="00C16150"/>
    <w:pPr>
      <w:ind w:firstLine="0"/>
    </w:pPr>
  </w:style>
  <w:style w:type="paragraph" w:styleId="ListContinue5">
    <w:name w:val="List Continue 5"/>
    <w:basedOn w:val="List5"/>
    <w:rsid w:val="00C16150"/>
    <w:pPr>
      <w:ind w:firstLine="0"/>
    </w:pPr>
  </w:style>
  <w:style w:type="paragraph" w:styleId="ListNumber3">
    <w:name w:val="List Number 3"/>
    <w:basedOn w:val="List3"/>
    <w:rsid w:val="00C16150"/>
    <w:pPr>
      <w:numPr>
        <w:numId w:val="3"/>
      </w:numPr>
    </w:pPr>
  </w:style>
  <w:style w:type="paragraph" w:styleId="ListNumber4">
    <w:name w:val="List Number 4"/>
    <w:basedOn w:val="List4"/>
    <w:rsid w:val="00C16150"/>
    <w:pPr>
      <w:numPr>
        <w:numId w:val="4"/>
      </w:numPr>
    </w:pPr>
  </w:style>
  <w:style w:type="paragraph" w:styleId="ListNumber5">
    <w:name w:val="List Number 5"/>
    <w:basedOn w:val="List5"/>
    <w:rsid w:val="00C16150"/>
    <w:pPr>
      <w:numPr>
        <w:numId w:val="5"/>
      </w:numPr>
    </w:pPr>
  </w:style>
  <w:style w:type="paragraph" w:styleId="BlockText">
    <w:name w:val="Block Text"/>
    <w:basedOn w:val="Normal"/>
    <w:rsid w:val="00C161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61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6150"/>
    <w:rPr>
      <w:sz w:val="16"/>
      <w:vertAlign w:val="superscript"/>
    </w:rPr>
  </w:style>
  <w:style w:type="character" w:customStyle="1" w:styleId="Symbols">
    <w:name w:val="Symbols"/>
    <w:basedOn w:val="DefaultParagraphFont"/>
    <w:rsid w:val="00C16150"/>
    <w:rPr>
      <w:rFonts w:ascii="Symbol" w:hAnsi="Symbol"/>
    </w:rPr>
  </w:style>
  <w:style w:type="character" w:customStyle="1" w:styleId="MenuOptions">
    <w:name w:val="Menu Options"/>
    <w:basedOn w:val="DefaultParagraphFont"/>
    <w:rsid w:val="00C161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6150"/>
    <w:rPr>
      <w:b/>
    </w:rPr>
  </w:style>
  <w:style w:type="character" w:customStyle="1" w:styleId="Underlined">
    <w:name w:val="Underlined"/>
    <w:basedOn w:val="DefaultParagraphFont"/>
    <w:rsid w:val="00C16150"/>
    <w:rPr>
      <w:u w:val="single"/>
    </w:rPr>
  </w:style>
  <w:style w:type="paragraph" w:customStyle="1" w:styleId="TableBodyTextRight">
    <w:name w:val="Table Body Text Right"/>
    <w:basedOn w:val="TableBodyText"/>
    <w:rsid w:val="00C161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6150"/>
    <w:rPr>
      <w:sz w:val="18"/>
    </w:rPr>
  </w:style>
  <w:style w:type="paragraph" w:customStyle="1" w:styleId="BodySmallRight">
    <w:name w:val="Body Small Right"/>
    <w:basedOn w:val="BodyTextRight"/>
    <w:rsid w:val="00C16150"/>
    <w:rPr>
      <w:sz w:val="18"/>
      <w:szCs w:val="18"/>
    </w:rPr>
  </w:style>
  <w:style w:type="paragraph" w:customStyle="1" w:styleId="MarginEdition">
    <w:name w:val="Margin Edition"/>
    <w:basedOn w:val="MarginNote"/>
    <w:rsid w:val="00C161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6150"/>
    <w:rPr>
      <w:sz w:val="2"/>
      <w:szCs w:val="2"/>
    </w:rPr>
  </w:style>
  <w:style w:type="character" w:customStyle="1" w:styleId="Small">
    <w:name w:val="Small"/>
    <w:basedOn w:val="DefaultParagraphFont"/>
    <w:rsid w:val="00C16150"/>
    <w:rPr>
      <w:sz w:val="16"/>
    </w:rPr>
  </w:style>
  <w:style w:type="paragraph" w:customStyle="1" w:styleId="WideTable">
    <w:name w:val="Wide Table"/>
    <w:basedOn w:val="Normal"/>
    <w:rsid w:val="00C161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6150"/>
  </w:style>
  <w:style w:type="paragraph" w:styleId="Quote">
    <w:name w:val="Quote"/>
    <w:basedOn w:val="Heading1"/>
    <w:link w:val="QuoteChar"/>
    <w:qFormat/>
    <w:rsid w:val="00C161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61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6150"/>
    <w:pPr>
      <w:pageBreakBefore/>
    </w:pPr>
  </w:style>
  <w:style w:type="paragraph" w:customStyle="1" w:styleId="Border">
    <w:name w:val="Border"/>
    <w:basedOn w:val="Normal"/>
    <w:qFormat/>
    <w:rsid w:val="00C161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61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61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61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61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61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61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61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61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6150"/>
    <w:rPr>
      <w:u w:val="single"/>
    </w:rPr>
  </w:style>
  <w:style w:type="character" w:customStyle="1" w:styleId="BoldandItalics">
    <w:name w:val="Bold and Italics"/>
    <w:qFormat/>
    <w:rsid w:val="00C16150"/>
    <w:rPr>
      <w:b/>
      <w:i/>
      <w:u w:val="none"/>
    </w:rPr>
  </w:style>
  <w:style w:type="paragraph" w:styleId="BalloonText">
    <w:name w:val="Balloon Text"/>
    <w:basedOn w:val="Normal"/>
    <w:link w:val="BalloonTextChar"/>
    <w:rsid w:val="00C161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61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61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61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61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61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6150"/>
    <w:pPr>
      <w:spacing w:before="0" w:after="0"/>
    </w:pPr>
  </w:style>
  <w:style w:type="paragraph" w:customStyle="1" w:styleId="BodyTextBold">
    <w:name w:val="Body Text Bold"/>
    <w:basedOn w:val="BodyText"/>
    <w:qFormat/>
    <w:rsid w:val="00C16150"/>
    <w:rPr>
      <w:b/>
    </w:rPr>
  </w:style>
  <w:style w:type="character" w:styleId="Hyperlink">
    <w:name w:val="Hyperlink"/>
    <w:basedOn w:val="DefaultParagraphFont"/>
    <w:uiPriority w:val="99"/>
    <w:unhideWhenUsed/>
    <w:rsid w:val="00F92AE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548</Words>
  <Characters>3547</Characters>
  <Application>Microsoft Office Word</Application>
  <DocSecurity>0</DocSecurity>
  <Lines>122</Lines>
  <Paragraphs>57</Paragraphs>
  <ScaleCrop>false</ScaleCrop>
  <Company>Author-it Software Corporation Ltd.</Company>
  <LinksUpToDate>false</LinksUpToDate>
  <CharactersWithSpaces>4038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HLTTHE001 Handle and care for operating theatre equipment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2023-07-02T01:10:00Z</dcterms:created>
  <dcterms:modified xsi:type="dcterms:W3CDTF">2023-07-02T01:10:00Z</dcterms:modified>
</cp:coreProperties>
</file>