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58E" w:rsidP="00A8458E">
      <w:pPr>
        <w:pStyle w:val="Title"/>
      </w:pPr>
      <w:r>
        <w:fldChar w:fldCharType="begin"/>
      </w:r>
      <w:r>
        <w:instrText xml:space="preserve"> TITLE   \* MERGEFORMAT </w:instrText>
      </w:r>
      <w:r>
        <w:fldChar w:fldCharType="separate"/>
      </w:r>
      <w:r>
        <w:t>HLTTHE001 Handle and care for operating theatre equipment</w:t>
      </w:r>
      <w:r>
        <w:fldChar w:fldCharType="end"/>
      </w:r>
    </w:p>
    <w:p w:rsidR="00A8458E" w:rsidP="00A8458E">
      <w:pPr>
        <w:pStyle w:val="Version"/>
        <w:sectPr w:rsidSect="00D27E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EA5" w:rsidP="00D27EA5">
      <w:pPr>
        <w:pStyle w:val="SuperHeading"/>
      </w:pPr>
      <w:r w:rsidRPr="00D27EA5">
        <w:t>HLTTHE001 Handle and care for operating theatre equipment</w:t>
      </w:r>
    </w:p>
    <w:p w:rsidR="00000000" w:rsidRPr="00D27EA5" w:rsidP="00D27EA5">
      <w:pPr>
        <w:pStyle w:val="Heading1"/>
      </w:pPr>
      <w:bookmarkStart w:id="1" w:name="O_744023"/>
      <w:bookmarkEnd w:id="1"/>
      <w:r w:rsidRPr="00D27EA5">
        <w:t>Modification History</w:t>
      </w:r>
    </w:p>
    <w:tbl>
      <w:tblPr>
        <w:tblW w:w="0" w:type="auto"/>
        <w:tblLayout w:type="fixed"/>
        <w:tblCellMar>
          <w:left w:w="62" w:type="dxa"/>
          <w:right w:w="62" w:type="dxa"/>
        </w:tblCellMar>
        <w:tblLook w:val="0000"/>
      </w:tblPr>
      <w:tblGrid>
        <w:gridCol w:w="2790"/>
        <w:gridCol w:w="6344"/>
      </w:tblGrid>
      <w:tr w:rsidTr="00D27E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EA5" w:rsidP="00D27EA5">
            <w:pPr>
              <w:pStyle w:val="BodyText"/>
            </w:pPr>
            <w:r w:rsidRPr="00D27EA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EA5">
            <w:pPr>
              <w:pStyle w:val="BodyText"/>
              <w:rPr>
                <w:lang w:val="en-NZ"/>
              </w:rPr>
            </w:pPr>
            <w:r w:rsidRPr="00D27EA5">
              <w:rPr>
                <w:rStyle w:val="SpecialBold"/>
              </w:rPr>
              <w:t>Comments</w:t>
            </w:r>
          </w:p>
        </w:tc>
      </w:tr>
      <w:tr w:rsidTr="00D27E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EA5">
            <w:pPr>
              <w:pStyle w:val="BodyText"/>
              <w:rPr>
                <w:lang w:val="en-NZ"/>
              </w:rPr>
            </w:pPr>
            <w:r w:rsidRPr="00D27EA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EA5" w:rsidP="00D27EA5">
            <w:pPr>
              <w:pStyle w:val="BodyText"/>
            </w:pPr>
            <w:r w:rsidRPr="00D27EA5">
              <w:t xml:space="preserve">This version was released in </w:t>
            </w:r>
            <w:r w:rsidRPr="00D27EA5">
              <w:rPr>
                <w:rStyle w:val="Emphasis"/>
              </w:rPr>
              <w:t>HLT Health Training Package release 2.0</w:t>
            </w:r>
            <w:r w:rsidRPr="00D27EA5">
              <w:t xml:space="preserve"> and meets the requirements of the 2012 Standards for Training Packages.</w:t>
            </w:r>
          </w:p>
          <w:p w:rsidR="00000000" w:rsidRPr="00D27EA5" w:rsidP="00D27EA5">
            <w:pPr>
              <w:pStyle w:val="BodyText"/>
            </w:pPr>
            <w:r w:rsidRPr="00D27EA5">
              <w:t>Merged HLTTH302D/HLTTH404D. Significant changes t</w:t>
            </w:r>
            <w:r w:rsidRPr="00D27EA5">
              <w:t>o the elements and performance criteria. New evidence requirements for assessment, including volume and frequency requirements.</w:t>
            </w:r>
          </w:p>
        </w:tc>
      </w:tr>
    </w:tbl>
    <w:p w:rsidR="00A8458E" w:rsidP="00D27EA5">
      <w:pPr>
        <w:pStyle w:val="BodyText"/>
      </w:pPr>
    </w:p>
    <w:p w:rsidR="00A8458E" w:rsidP="00D27EA5">
      <w:pPr>
        <w:pStyle w:val="BodyText"/>
      </w:pPr>
    </w:p>
    <w:p w:rsidR="00000000" w:rsidRPr="00D27EA5" w:rsidP="00D27EA5">
      <w:pPr>
        <w:pStyle w:val="Heading1"/>
      </w:pPr>
      <w:bookmarkStart w:id="2" w:name="O_744024"/>
      <w:bookmarkEnd w:id="2"/>
      <w:r w:rsidRPr="00D27EA5">
        <w:t>Application</w:t>
      </w:r>
    </w:p>
    <w:p w:rsidR="00000000" w:rsidRPr="00D27EA5" w:rsidP="00A8458E">
      <w:pPr>
        <w:pStyle w:val="BodyText"/>
      </w:pPr>
      <w:r w:rsidRPr="00D27EA5">
        <w:t>This unit describes the skills and knowledge required to prepare theatre equipment, provide basi</w:t>
      </w:r>
      <w:r w:rsidRPr="00D27EA5">
        <w:t xml:space="preserve">c maintenance support, and contribute to effective use of equipment by providing basic instruction to others on equipment operation. </w:t>
      </w:r>
    </w:p>
    <w:p w:rsidR="00000000" w:rsidRPr="00D27EA5" w:rsidP="00A8458E">
      <w:pPr>
        <w:pStyle w:val="BodyText"/>
      </w:pPr>
      <w:r w:rsidRPr="00D27EA5">
        <w:t>This unit applies to operating theatre technicians and other theatre staff who work under supervision in the operating th</w:t>
      </w:r>
      <w:r w:rsidRPr="00D27EA5">
        <w:t xml:space="preserve">eatre. </w:t>
      </w:r>
    </w:p>
    <w:p w:rsidR="00000000" w:rsidRPr="00A8458E" w:rsidP="00A8458E">
      <w:pPr>
        <w:pStyle w:val="BodyText"/>
        <w:rPr>
          <w:i/>
        </w:rPr>
      </w:pPr>
      <w:r w:rsidRPr="00A8458E">
        <w:rPr>
          <w:rStyle w:val="Emphasis"/>
        </w:rPr>
        <w:t>The skills in this unit must be applied in accordance with Commonwealth and State/Territory legislation, Australian/New Zealand standards and industry codes of practice</w:t>
      </w:r>
      <w:r w:rsidRPr="00A8458E">
        <w:rPr>
          <w:i/>
        </w:rPr>
        <w:t>.</w:t>
      </w:r>
    </w:p>
    <w:p w:rsidR="00000000" w:rsidRPr="00D27EA5" w:rsidP="00D27EA5">
      <w:pPr>
        <w:pStyle w:val="Heading1"/>
      </w:pPr>
      <w:bookmarkStart w:id="3" w:name="O_744028"/>
      <w:bookmarkEnd w:id="3"/>
      <w:r w:rsidRPr="00D27EA5">
        <w:t>Elements and Performance Criteria</w:t>
      </w:r>
    </w:p>
    <w:tbl>
      <w:tblPr>
        <w:tblW w:w="0" w:type="auto"/>
        <w:tblLayout w:type="fixed"/>
        <w:tblCellMar>
          <w:left w:w="62" w:type="dxa"/>
          <w:right w:w="62" w:type="dxa"/>
        </w:tblCellMar>
        <w:tblLook w:val="0000"/>
      </w:tblPr>
      <w:tblGrid>
        <w:gridCol w:w="3261"/>
        <w:gridCol w:w="5702"/>
      </w:tblGrid>
      <w:tr w:rsidTr="00D27E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rPr>
                <w:rStyle w:val="SpecialBold"/>
              </w:rPr>
              <w:t>PERFORMANCE CRITERIA</w:t>
            </w:r>
          </w:p>
        </w:tc>
      </w:tr>
      <w:tr w:rsidTr="00D27E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rPr>
                <w:rStyle w:val="Emphasis"/>
              </w:rPr>
              <w:t>Performance criteria describe the performance needed to demonstrate achievement of the element</w:t>
            </w: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t xml:space="preserve">1. Select and prepare operating theatre equipment </w:t>
            </w:r>
          </w:p>
          <w:p w:rsidR="00000000" w:rsidRPr="00D27EA5" w:rsidP="00D27EA5">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t>1.1 Identify equipment and consumables require</w:t>
            </w:r>
            <w:r w:rsidRPr="00D27EA5">
              <w:t>ments, based on consultation with operating theatre team, review of operating list and surgeon preferences</w:t>
            </w:r>
          </w:p>
          <w:p w:rsidR="00000000" w:rsidRPr="00D27EA5" w:rsidP="00D27EA5">
            <w:pPr>
              <w:pStyle w:val="BodyText"/>
            </w:pPr>
            <w:r w:rsidRPr="00D27EA5">
              <w:t>1.2 Set up, correctly position, and check equipment and consumables in accordance with standard and additional infection control procedures</w:t>
            </w:r>
          </w:p>
          <w:p w:rsidR="00000000" w:rsidRPr="00D27EA5" w:rsidP="00D27EA5">
            <w:pPr>
              <w:pStyle w:val="BodyText"/>
            </w:pPr>
            <w:r w:rsidRPr="00D27EA5">
              <w:t>1.3 Assem</w:t>
            </w:r>
            <w:r w:rsidRPr="00D27EA5">
              <w:t>ble, connect and test components in accordance with specific equipment requirements</w:t>
            </w:r>
          </w:p>
          <w:p w:rsidR="00000000" w:rsidRPr="00D27EA5" w:rsidP="00D27EA5">
            <w:pPr>
              <w:pStyle w:val="BodyText"/>
            </w:pPr>
            <w:r w:rsidRPr="00D27EA5">
              <w:t>1.4 Re-position equipment during theatre procedures, as required by specific procedure</w:t>
            </w:r>
          </w:p>
          <w:p w:rsidR="00000000" w:rsidRPr="00D27EA5" w:rsidP="00D27EA5">
            <w:pPr>
              <w:pStyle w:val="BodyText"/>
            </w:pPr>
            <w:r w:rsidRPr="00D27EA5">
              <w:t>1.5 Accurately document the use of theatre equipment as required</w:t>
            </w:r>
          </w:p>
          <w:p w:rsidR="00000000" w:rsidP="00D27EA5">
            <w:pPr>
              <w:pStyle w:val="BodyText"/>
              <w:rPr>
                <w:lang w:val="en-NZ"/>
              </w:rPr>
            </w:pPr>
            <w:r w:rsidRPr="00D27EA5">
              <w:t>1.6 Withdraw from us</w:t>
            </w:r>
            <w:r w:rsidRPr="00D27EA5">
              <w:t>e and replace equipment if considered not safe for use</w:t>
            </w: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t xml:space="preserve">2. Support equipment maintenance </w:t>
            </w:r>
          </w:p>
        </w:tc>
        <w:tc>
          <w:tcPr>
            <w:tcW w:w="5702"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t>2.1 Identify and correct</w:t>
            </w:r>
            <w:r w:rsidRPr="00D27EA5">
              <w:rPr>
                <w:rStyle w:val="Emphasis"/>
              </w:rPr>
              <w:t xml:space="preserve"> </w:t>
            </w:r>
            <w:r w:rsidRPr="00D27EA5">
              <w:t>minor equipment problems within scope of own job role</w:t>
            </w:r>
          </w:p>
          <w:p w:rsidR="00000000" w:rsidRPr="00D27EA5" w:rsidP="00D27EA5">
            <w:pPr>
              <w:pStyle w:val="BodyText"/>
            </w:pPr>
            <w:r w:rsidRPr="00D27EA5">
              <w:t>2.2 Refer equipment maintenance to a specialist as required by scope and nature of problem and organisation policy and procedures</w:t>
            </w:r>
          </w:p>
          <w:p w:rsidR="00000000" w:rsidRPr="00D27EA5" w:rsidP="00D27EA5">
            <w:pPr>
              <w:pStyle w:val="BodyText"/>
            </w:pPr>
            <w:r w:rsidRPr="00D27EA5">
              <w:t xml:space="preserve">2.3 Maintain accurate maintenance log book as required </w:t>
            </w:r>
          </w:p>
          <w:p w:rsidR="00000000" w:rsidRPr="00D27EA5" w:rsidP="00D27EA5">
            <w:pPr>
              <w:pStyle w:val="BodyText"/>
            </w:pPr>
            <w:r w:rsidRPr="00D27EA5">
              <w:t>2.4 Schedule equipment for maintenance based on the needs of the opera</w:t>
            </w:r>
            <w:r w:rsidRPr="00D27EA5">
              <w:t>ting theatre</w:t>
            </w:r>
          </w:p>
          <w:p w:rsidR="00000000" w:rsidP="00D27EA5">
            <w:pPr>
              <w:pStyle w:val="BodyText"/>
              <w:rPr>
                <w:lang w:val="en-NZ"/>
              </w:rPr>
            </w:pPr>
            <w:r w:rsidRPr="00D27EA5">
              <w:t>2.5 Maintain communication with relevant operating theatre staff in relation to equipment maintenance</w:t>
            </w: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t xml:space="preserve">3. Disassemble and store operating theatre equipment </w:t>
            </w:r>
          </w:p>
        </w:tc>
        <w:tc>
          <w:tcPr>
            <w:tcW w:w="5702"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t>3.1 Follow shut-down procedures in accordance with manufacturer’s recommendations</w:t>
            </w:r>
          </w:p>
          <w:p w:rsidR="00000000" w:rsidRPr="00D27EA5" w:rsidP="00D27EA5">
            <w:pPr>
              <w:pStyle w:val="BodyText"/>
            </w:pPr>
            <w:r w:rsidRPr="00D27EA5">
              <w:t>3</w:t>
            </w:r>
            <w:r w:rsidRPr="00D27EA5">
              <w:t xml:space="preserve">.2 Assemble and disassemble equipment in accordance with manufacturer’s recommendations and manual task risk principles </w:t>
            </w:r>
          </w:p>
          <w:p w:rsidR="00000000" w:rsidRPr="00D27EA5" w:rsidP="00D27EA5">
            <w:pPr>
              <w:pStyle w:val="BodyText"/>
            </w:pPr>
            <w:r w:rsidRPr="00D27EA5">
              <w:t>3.3 Dispose of waste in accordance with infection control protocols and organisation policies and procedures</w:t>
            </w:r>
          </w:p>
          <w:p w:rsidR="00000000" w:rsidRPr="00D27EA5" w:rsidP="00D27EA5">
            <w:pPr>
              <w:pStyle w:val="BodyText"/>
            </w:pPr>
            <w:r w:rsidRPr="00D27EA5">
              <w:t xml:space="preserve">3.4 Clean equipment using </w:t>
            </w:r>
            <w:r w:rsidRPr="00D27EA5">
              <w:t>cleaning agent suited to the equipment and in accordance with organisation policy and procedures</w:t>
            </w:r>
          </w:p>
          <w:p w:rsidR="00000000" w:rsidP="00D27EA5">
            <w:pPr>
              <w:pStyle w:val="BodyText"/>
              <w:rPr>
                <w:lang w:val="en-NZ"/>
              </w:rPr>
            </w:pPr>
            <w:r w:rsidRPr="00D27EA5">
              <w:t>3.5 Safely store equipment in accordance with manufacturer’s recommendations and manual task risk principles</w:t>
            </w: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p>
        </w:tc>
      </w:tr>
      <w:tr w:rsidTr="00D27E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t>4. Contribute to operating theatre operations</w:t>
            </w:r>
          </w:p>
        </w:tc>
        <w:tc>
          <w:tcPr>
            <w:tcW w:w="5702" w:type="dxa"/>
            <w:tcBorders>
              <w:top w:val="nil"/>
              <w:left w:val="nil"/>
              <w:bottom w:val="nil"/>
              <w:right w:val="nil"/>
            </w:tcBorders>
            <w:tcMar>
              <w:top w:w="0" w:type="dxa"/>
              <w:left w:w="62" w:type="dxa"/>
              <w:bottom w:w="0" w:type="dxa"/>
              <w:right w:w="62" w:type="dxa"/>
            </w:tcMar>
          </w:tcPr>
          <w:p w:rsidR="00000000" w:rsidRPr="00D27EA5" w:rsidP="00D27EA5">
            <w:pPr>
              <w:pStyle w:val="BodyText"/>
            </w:pPr>
            <w:r w:rsidRPr="00D27EA5">
              <w:t xml:space="preserve">4.1 Provide clear and correct instructions on equipment operation to individual members of the theatre team as required </w:t>
            </w:r>
          </w:p>
          <w:p w:rsidR="00000000" w:rsidRPr="00D27EA5" w:rsidP="00D27EA5">
            <w:pPr>
              <w:pStyle w:val="BodyText"/>
            </w:pPr>
            <w:r w:rsidRPr="00D27EA5">
              <w:t>4.2 Review equipment effectiveness from a theatre technician’s perspective and provide feedback to relevant personnel</w:t>
            </w:r>
          </w:p>
          <w:p w:rsidR="00000000" w:rsidRPr="00D27EA5" w:rsidP="00D27EA5">
            <w:pPr>
              <w:pStyle w:val="BodyText"/>
            </w:pPr>
            <w:r w:rsidRPr="00D27EA5">
              <w:t>4.3 Participate a</w:t>
            </w:r>
            <w:r w:rsidRPr="00D27EA5">
              <w:t>s required in team evaluations of equipment being considered for potential purchase and share information from the theatre technician’s perspective</w:t>
            </w:r>
          </w:p>
        </w:tc>
      </w:tr>
    </w:tbl>
    <w:p w:rsidR="00A8458E" w:rsidP="00D27EA5">
      <w:pPr>
        <w:pStyle w:val="BodyText"/>
      </w:pPr>
    </w:p>
    <w:p w:rsidR="00A8458E" w:rsidP="00D27EA5">
      <w:pPr>
        <w:pStyle w:val="BodyText"/>
      </w:pPr>
    </w:p>
    <w:p w:rsidR="00000000" w:rsidRPr="00D27EA5" w:rsidP="00D27EA5">
      <w:pPr>
        <w:pStyle w:val="Heading1"/>
      </w:pPr>
      <w:bookmarkStart w:id="4" w:name="O_744029"/>
      <w:bookmarkEnd w:id="4"/>
      <w:r w:rsidRPr="00D27EA5">
        <w:t>Foundation Skills</w:t>
      </w:r>
    </w:p>
    <w:tbl>
      <w:tblPr>
        <w:tblW w:w="0" w:type="auto"/>
        <w:tblLayout w:type="fixed"/>
        <w:tblCellMar>
          <w:left w:w="62" w:type="dxa"/>
          <w:right w:w="62" w:type="dxa"/>
        </w:tblCellMar>
        <w:tblLook w:val="0000"/>
      </w:tblPr>
      <w:tblGrid>
        <w:gridCol w:w="8964"/>
      </w:tblGrid>
      <w:tr w:rsidTr="00D27E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27EA5">
            <w:pPr>
              <w:pStyle w:val="BodyText"/>
              <w:rPr>
                <w:lang w:val="en-NZ"/>
              </w:rPr>
            </w:pPr>
            <w:r w:rsidRPr="00D27EA5">
              <w:rPr>
                <w:rStyle w:val="Emphasis"/>
              </w:rPr>
              <w:t>The Foundation Skills describe those required skills (language, litera</w:t>
            </w:r>
            <w:r w:rsidRPr="00D27EA5">
              <w:rPr>
                <w:rStyle w:val="Emphasis"/>
              </w:rPr>
              <w:t xml:space="preserve">cy, numeracy and employment </w:t>
            </w:r>
            <w:r w:rsidRPr="00D27EA5">
              <w:t xml:space="preserve">skills) that are essential </w:t>
            </w:r>
            <w:r w:rsidRPr="00D27EA5">
              <w:rPr>
                <w:rStyle w:val="Emphasis"/>
              </w:rPr>
              <w:t>to performance.</w:t>
            </w:r>
          </w:p>
        </w:tc>
      </w:tr>
      <w:tr w:rsidTr="00D27E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27EA5" w:rsidP="00D27EA5">
            <w:pPr>
              <w:pStyle w:val="BodyText"/>
            </w:pPr>
          </w:p>
          <w:p w:rsidR="00000000" w:rsidRPr="00D27EA5" w:rsidP="00D27EA5">
            <w:pPr>
              <w:pStyle w:val="BodyText"/>
            </w:pPr>
            <w:r w:rsidRPr="00D27EA5">
              <w:t>Foundation skills essential to performance are explicit in the performance criteria of this unit of competency</w:t>
            </w:r>
          </w:p>
        </w:tc>
      </w:tr>
    </w:tbl>
    <w:p w:rsidR="00000000" w:rsidRPr="00D27EA5" w:rsidP="00D27EA5">
      <w:pPr>
        <w:pStyle w:val="BodyText"/>
      </w:pPr>
    </w:p>
    <w:p w:rsidR="00000000" w:rsidRPr="00D27EA5" w:rsidP="00D27EA5">
      <w:pPr>
        <w:pStyle w:val="AllowPageBreak"/>
      </w:pPr>
    </w:p>
    <w:p w:rsidR="00000000" w:rsidRPr="00D27EA5" w:rsidP="00D27EA5">
      <w:pPr>
        <w:pStyle w:val="Heading1"/>
      </w:pPr>
      <w:bookmarkStart w:id="5" w:name="O_744031"/>
      <w:bookmarkEnd w:id="5"/>
      <w:r w:rsidRPr="00D27EA5">
        <w:t>Unit Mapping Information</w:t>
      </w:r>
    </w:p>
    <w:p w:rsidR="00000000" w:rsidRPr="00D27EA5" w:rsidP="00A8458E">
      <w:pPr>
        <w:pStyle w:val="BodyText"/>
      </w:pPr>
      <w:r w:rsidRPr="00D27EA5">
        <w:t xml:space="preserve">No equivalent unit. </w:t>
      </w:r>
    </w:p>
    <w:p w:rsidR="00000000" w:rsidRPr="00D27EA5" w:rsidP="00D27EA5">
      <w:pPr>
        <w:pStyle w:val="Heading1"/>
      </w:pPr>
      <w:bookmarkStart w:id="6" w:name="O_744038"/>
      <w:bookmarkEnd w:id="6"/>
      <w:r w:rsidRPr="00D27EA5">
        <w:t>Links</w:t>
      </w:r>
    </w:p>
    <w:p w:rsidR="00000000" w:rsidRPr="00D27EA5" w:rsidP="00A8458E">
      <w:pPr>
        <w:pStyle w:val="BodyText"/>
      </w:pPr>
      <w:r w:rsidRPr="00D27EA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33348">
        <w:rPr>
          <w:rStyle w:val="Hyperlink"/>
        </w:rPr>
        <w:t>https://vetnet.gov.au/Pages/TrainingDocs.aspx?q=ced1390f-48d9-4ab0-bd50-b015e5485705</w:t>
      </w:r>
      <w:r>
        <w:fldChar w:fldCharType="end"/>
      </w:r>
    </w:p>
    <w:p w:rsidR="00000000" w:rsidRPr="00D27EA5" w:rsidP="00A8458E">
      <w:pPr>
        <w:pStyle w:val="BodyText"/>
        <w:sectPr w:rsidSect="00D27EA5">
          <w:headerReference w:type="default" r:id="rId10"/>
          <w:footerReference w:type="default" r:id="rId11"/>
          <w:pgSz w:w="11908" w:h="16833"/>
          <w:pgMar w:top="1702" w:right="1418" w:bottom="1702" w:left="1418" w:header="992" w:footer="992" w:gutter="0"/>
          <w:cols w:space="720"/>
          <w:noEndnote/>
          <w:docGrid w:linePitch="299"/>
        </w:sectPr>
      </w:pPr>
    </w:p>
    <w:p w:rsidR="00000000" w:rsidRPr="00D27EA5" w:rsidP="00D27EA5">
      <w:pPr>
        <w:pStyle w:val="SuperHeading"/>
      </w:pPr>
      <w:r w:rsidRPr="00D27EA5">
        <w:t>Assessment Requirements for HLTTHE001 Han</w:t>
      </w:r>
      <w:r w:rsidRPr="00D27EA5">
        <w:t>dle and care for operating theatre equipment</w:t>
      </w:r>
    </w:p>
    <w:p w:rsidR="00000000" w:rsidRPr="00D27EA5" w:rsidP="00D27EA5">
      <w:pPr>
        <w:pStyle w:val="Heading1"/>
      </w:pPr>
      <w:bookmarkStart w:id="7" w:name="O_744033"/>
      <w:bookmarkEnd w:id="7"/>
      <w:r w:rsidRPr="00D27EA5">
        <w:t>Modification History</w:t>
      </w:r>
    </w:p>
    <w:tbl>
      <w:tblPr>
        <w:tblW w:w="0" w:type="auto"/>
        <w:tblLayout w:type="fixed"/>
        <w:tblCellMar>
          <w:left w:w="62" w:type="dxa"/>
          <w:right w:w="62" w:type="dxa"/>
        </w:tblCellMar>
        <w:tblLook w:val="0000"/>
      </w:tblPr>
      <w:tblGrid>
        <w:gridCol w:w="2790"/>
        <w:gridCol w:w="6344"/>
      </w:tblGrid>
      <w:tr w:rsidTr="00D27E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EA5" w:rsidP="00D27EA5">
            <w:pPr>
              <w:pStyle w:val="BodyText"/>
            </w:pPr>
            <w:r w:rsidRPr="00D27EA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EA5">
            <w:pPr>
              <w:pStyle w:val="BodyText"/>
              <w:rPr>
                <w:lang w:val="en-NZ"/>
              </w:rPr>
            </w:pPr>
            <w:r w:rsidRPr="00D27EA5">
              <w:rPr>
                <w:rStyle w:val="SpecialBold"/>
              </w:rPr>
              <w:t>Comments</w:t>
            </w:r>
          </w:p>
        </w:tc>
      </w:tr>
      <w:tr w:rsidTr="00D27E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EA5">
            <w:pPr>
              <w:pStyle w:val="BodyText"/>
              <w:rPr>
                <w:lang w:val="en-NZ"/>
              </w:rPr>
            </w:pPr>
            <w:r w:rsidRPr="00D27EA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EA5" w:rsidP="00D27EA5">
            <w:pPr>
              <w:pStyle w:val="BodyText"/>
            </w:pPr>
            <w:r w:rsidRPr="00D27EA5">
              <w:t xml:space="preserve">This version was released in </w:t>
            </w:r>
            <w:r w:rsidRPr="00D27EA5">
              <w:rPr>
                <w:rStyle w:val="Emphasis"/>
              </w:rPr>
              <w:t>HLT Health Training Package release 2.0</w:t>
            </w:r>
            <w:r w:rsidRPr="00D27EA5">
              <w:t xml:space="preserve"> and meets the requirements of the 2012 Standards for Training Packages.</w:t>
            </w:r>
          </w:p>
          <w:p w:rsidR="00000000" w:rsidRPr="00D27EA5" w:rsidP="00D27EA5">
            <w:pPr>
              <w:pStyle w:val="BodyText"/>
            </w:pPr>
            <w:r w:rsidRPr="00D27EA5">
              <w:t>Merged HLTTH302D/HLTTH404D. Significant changes to the elements and performance criteria. New evidence requirements for assessment, including volume and frequency requirements.</w:t>
            </w:r>
          </w:p>
        </w:tc>
      </w:tr>
    </w:tbl>
    <w:p w:rsidR="00A8458E" w:rsidP="00D27EA5">
      <w:pPr>
        <w:pStyle w:val="BodyText"/>
      </w:pPr>
    </w:p>
    <w:p w:rsidR="00A8458E" w:rsidP="00D27EA5">
      <w:pPr>
        <w:pStyle w:val="BodyText"/>
      </w:pPr>
    </w:p>
    <w:p w:rsidR="00000000" w:rsidRPr="00D27EA5" w:rsidP="00D27EA5">
      <w:pPr>
        <w:pStyle w:val="Heading1"/>
      </w:pPr>
      <w:bookmarkStart w:id="8" w:name="O_744034"/>
      <w:bookmarkEnd w:id="8"/>
      <w:r w:rsidRPr="00D27EA5">
        <w:t>Performance Evidence</w:t>
      </w:r>
    </w:p>
    <w:p w:rsidR="00000000" w:rsidRPr="00D27EA5" w:rsidP="00A8458E">
      <w:pPr>
        <w:pStyle w:val="BodyText"/>
      </w:pPr>
      <w:r w:rsidRPr="00D27EA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27EA5" w:rsidP="00D27EA5">
      <w:pPr>
        <w:pStyle w:val="ListBullet"/>
      </w:pPr>
      <w:r w:rsidRPr="00D27EA5">
        <w:t>followed est</w:t>
      </w:r>
      <w:r w:rsidRPr="00D27EA5">
        <w:t>ablished technical, infection control and safety procedures and instructions for set-up, shut-down, cleaning and storage of operating theatre equipment on at least 3 occasions</w:t>
      </w:r>
    </w:p>
    <w:p w:rsidR="00000000" w:rsidRPr="00D27EA5" w:rsidP="00D27EA5">
      <w:pPr>
        <w:pStyle w:val="ListBullet"/>
      </w:pPr>
      <w:r w:rsidRPr="00D27EA5">
        <w:t>performed routine maintenance procedures on at least 3 different types of equipm</w:t>
      </w:r>
      <w:r w:rsidRPr="00D27EA5">
        <w:t>ent</w:t>
      </w:r>
    </w:p>
    <w:p w:rsidR="00000000" w:rsidRPr="00D27EA5" w:rsidP="00D27EA5">
      <w:pPr>
        <w:pStyle w:val="AllowPageBreak"/>
      </w:pPr>
    </w:p>
    <w:p w:rsidR="00000000" w:rsidRPr="00D27EA5" w:rsidP="00D27EA5">
      <w:pPr>
        <w:pStyle w:val="Heading1"/>
      </w:pPr>
      <w:bookmarkStart w:id="9" w:name="O_744035"/>
      <w:bookmarkEnd w:id="9"/>
      <w:r w:rsidRPr="00D27EA5">
        <w:t>Knowledge Evidence</w:t>
      </w:r>
    </w:p>
    <w:p w:rsidR="00000000" w:rsidRPr="00D27EA5" w:rsidP="00A8458E">
      <w:pPr>
        <w:pStyle w:val="BodyText"/>
      </w:pPr>
      <w:r w:rsidRPr="00D27EA5">
        <w:t>The candidate must be able to demonstrate essential knowledge required to effectively complete tasks outlined in elements and performance criteria of this unit, manage tasks and manage contingencies in the context of</w:t>
      </w:r>
      <w:r w:rsidRPr="00D27EA5">
        <w:t xml:space="preserve"> the work role. This includes knowledge of:</w:t>
      </w:r>
    </w:p>
    <w:p w:rsidR="00000000" w:rsidRPr="00D27EA5" w:rsidP="00D27EA5">
      <w:pPr>
        <w:pStyle w:val="ListBullet"/>
      </w:pPr>
      <w:r w:rsidRPr="00D27EA5">
        <w:t>scope of operating theatre technician role in working with equipment, including limitations</w:t>
      </w:r>
    </w:p>
    <w:p w:rsidR="00000000" w:rsidRPr="00D27EA5" w:rsidP="00D27EA5">
      <w:pPr>
        <w:pStyle w:val="ListBullet"/>
      </w:pPr>
      <w:r w:rsidRPr="00D27EA5">
        <w:t>medico-legal implications in relation to the use of equipment by the technician in the operating suite environment</w:t>
      </w:r>
    </w:p>
    <w:p w:rsidR="00000000" w:rsidRPr="00D27EA5" w:rsidP="00D27EA5">
      <w:pPr>
        <w:pStyle w:val="ListBullet"/>
      </w:pPr>
      <w:r w:rsidRPr="00D27EA5">
        <w:t>stan</w:t>
      </w:r>
      <w:r w:rsidRPr="00D27EA5">
        <w:t>dard and additional infection control procedures that apply to:</w:t>
      </w:r>
    </w:p>
    <w:p w:rsidR="00000000" w:rsidRPr="00D27EA5" w:rsidP="00D27EA5">
      <w:pPr>
        <w:pStyle w:val="ListBullet2"/>
      </w:pPr>
      <w:r w:rsidRPr="00D27EA5">
        <w:t>the operating theatre environment</w:t>
      </w:r>
    </w:p>
    <w:p w:rsidR="00000000" w:rsidRPr="00D27EA5" w:rsidP="00D27EA5">
      <w:pPr>
        <w:pStyle w:val="ListBullet2"/>
      </w:pPr>
      <w:r w:rsidRPr="00D27EA5">
        <w:t>equipment within the operating theatre</w:t>
      </w:r>
    </w:p>
    <w:p w:rsidR="00000000" w:rsidRPr="00D27EA5" w:rsidP="00D27EA5">
      <w:pPr>
        <w:pStyle w:val="ListBullet"/>
      </w:pPr>
      <w:r w:rsidRPr="00D27EA5">
        <w:t>types of theatre equipment and their purpose, including:</w:t>
      </w:r>
    </w:p>
    <w:p w:rsidR="00000000" w:rsidRPr="00D27EA5" w:rsidP="00D27EA5">
      <w:pPr>
        <w:pStyle w:val="ListBullet2"/>
      </w:pPr>
      <w:r w:rsidRPr="00D27EA5">
        <w:t>theatre fixtures and fittings</w:t>
      </w:r>
    </w:p>
    <w:p w:rsidR="00000000" w:rsidRPr="00D27EA5" w:rsidP="00D27EA5">
      <w:pPr>
        <w:pStyle w:val="ListBullet2"/>
      </w:pPr>
      <w:r w:rsidRPr="00D27EA5">
        <w:t>furniture</w:t>
      </w:r>
    </w:p>
    <w:p w:rsidR="00000000" w:rsidRPr="00D27EA5" w:rsidP="00D27EA5">
      <w:pPr>
        <w:pStyle w:val="ListBullet2"/>
      </w:pPr>
      <w:r w:rsidRPr="00D27EA5">
        <w:t>surgical equipment</w:t>
      </w:r>
    </w:p>
    <w:p w:rsidR="00000000" w:rsidRPr="00D27EA5" w:rsidP="00D27EA5">
      <w:pPr>
        <w:pStyle w:val="ListBullet2"/>
      </w:pPr>
      <w:r w:rsidRPr="00D27EA5">
        <w:t>consumables and their sustainable use</w:t>
      </w:r>
    </w:p>
    <w:p w:rsidR="00000000" w:rsidRPr="00D27EA5" w:rsidP="00D27EA5">
      <w:pPr>
        <w:pStyle w:val="ListBullet"/>
      </w:pPr>
      <w:r w:rsidRPr="00D27EA5">
        <w:t>features of operating theatre equipment in relation to:</w:t>
      </w:r>
    </w:p>
    <w:p w:rsidR="00000000" w:rsidRPr="00D27EA5" w:rsidP="00D27EA5">
      <w:pPr>
        <w:pStyle w:val="ListBullet2"/>
      </w:pPr>
      <w:r w:rsidRPr="00D27EA5">
        <w:t>set up</w:t>
      </w:r>
    </w:p>
    <w:p w:rsidR="00000000" w:rsidRPr="00D27EA5" w:rsidP="00D27EA5">
      <w:pPr>
        <w:pStyle w:val="ListBullet2"/>
      </w:pPr>
      <w:r w:rsidRPr="00D27EA5">
        <w:t>assembly and connection</w:t>
      </w:r>
    </w:p>
    <w:p w:rsidR="00000000" w:rsidRPr="00D27EA5" w:rsidP="00D27EA5">
      <w:pPr>
        <w:pStyle w:val="ListBullet2"/>
      </w:pPr>
      <w:r w:rsidRPr="00D27EA5">
        <w:t>preparation for use</w:t>
      </w:r>
    </w:p>
    <w:p w:rsidR="00000000" w:rsidRPr="00D27EA5" w:rsidP="00D27EA5">
      <w:pPr>
        <w:pStyle w:val="ListBullet2"/>
      </w:pPr>
      <w:r w:rsidRPr="00D27EA5">
        <w:t>safe manual handling and risk factors for manual tasks</w:t>
      </w:r>
    </w:p>
    <w:p w:rsidR="00000000" w:rsidRPr="00D27EA5" w:rsidP="00D27EA5">
      <w:pPr>
        <w:pStyle w:val="ListBullet"/>
      </w:pPr>
      <w:r w:rsidRPr="00D27EA5">
        <w:t>intra-operative client safety considerations concerni</w:t>
      </w:r>
      <w:r w:rsidRPr="00D27EA5">
        <w:t>ng the location and movement of equipment</w:t>
      </w:r>
    </w:p>
    <w:p w:rsidR="00000000" w:rsidRPr="00D27EA5" w:rsidP="00D27EA5">
      <w:pPr>
        <w:pStyle w:val="ListBullet"/>
      </w:pPr>
      <w:r w:rsidRPr="00D27EA5">
        <w:t>routine equipment maintenance procedures, including:</w:t>
      </w:r>
    </w:p>
    <w:p w:rsidR="00000000" w:rsidRPr="00D27EA5" w:rsidP="00D27EA5">
      <w:pPr>
        <w:pStyle w:val="ListBullet2"/>
      </w:pPr>
      <w:r w:rsidRPr="00D27EA5">
        <w:t>checking</w:t>
      </w:r>
    </w:p>
    <w:p w:rsidR="00000000" w:rsidRPr="00D27EA5" w:rsidP="00D27EA5">
      <w:pPr>
        <w:pStyle w:val="ListBullet2"/>
      </w:pPr>
      <w:r w:rsidRPr="00D27EA5">
        <w:t>calibration</w:t>
      </w:r>
    </w:p>
    <w:p w:rsidR="00000000" w:rsidRPr="00D27EA5" w:rsidP="00D27EA5">
      <w:pPr>
        <w:pStyle w:val="ListBullet2"/>
      </w:pPr>
      <w:r w:rsidRPr="00D27EA5">
        <w:t>cleaning</w:t>
      </w:r>
    </w:p>
    <w:p w:rsidR="00000000" w:rsidRPr="00D27EA5" w:rsidP="00D27EA5">
      <w:pPr>
        <w:pStyle w:val="ListBullet2"/>
      </w:pPr>
      <w:r w:rsidRPr="00D27EA5">
        <w:t>replacement of consumables</w:t>
      </w:r>
    </w:p>
    <w:p w:rsidR="00000000" w:rsidRPr="00D27EA5" w:rsidP="00D27EA5">
      <w:pPr>
        <w:pStyle w:val="ListBullet2"/>
      </w:pPr>
      <w:r w:rsidRPr="00D27EA5">
        <w:t>scheduled maintenance</w:t>
      </w:r>
    </w:p>
    <w:p w:rsidR="00000000" w:rsidRPr="00D27EA5" w:rsidP="00D27EA5">
      <w:pPr>
        <w:pStyle w:val="ListBullet"/>
      </w:pPr>
      <w:r w:rsidRPr="00D27EA5">
        <w:t>types of problems that occur with operating theatre equipment and when specialist maintenance is required</w:t>
      </w:r>
    </w:p>
    <w:p w:rsidR="00000000" w:rsidRPr="00D27EA5" w:rsidP="00D27EA5">
      <w:pPr>
        <w:pStyle w:val="ListBullet"/>
      </w:pPr>
      <w:r w:rsidRPr="00D27EA5">
        <w:t>procedures for organising specialist maintenance</w:t>
      </w:r>
    </w:p>
    <w:p w:rsidR="00000000" w:rsidRPr="00D27EA5" w:rsidP="00D27EA5">
      <w:pPr>
        <w:pStyle w:val="AllowPageBreak"/>
      </w:pPr>
    </w:p>
    <w:p w:rsidR="00000000" w:rsidRPr="00D27EA5" w:rsidP="00D27EA5">
      <w:pPr>
        <w:pStyle w:val="Heading1"/>
      </w:pPr>
      <w:bookmarkStart w:id="10" w:name="O_744036"/>
      <w:bookmarkEnd w:id="10"/>
      <w:r w:rsidRPr="00D27EA5">
        <w:t>Assessment Conditions</w:t>
      </w:r>
    </w:p>
    <w:p w:rsidR="00000000" w:rsidRPr="00D27EA5" w:rsidP="00A8458E">
      <w:pPr>
        <w:pStyle w:val="BodyText"/>
      </w:pPr>
      <w:r w:rsidRPr="00D27EA5">
        <w:t>Skills must have been demonstrated in the workplace or in a si</w:t>
      </w:r>
      <w:r w:rsidRPr="00D27EA5">
        <w:t xml:space="preserve">mulated environment that reflects workplace conditions. The following conditions must be met for this unit: </w:t>
      </w:r>
    </w:p>
    <w:p w:rsidR="00000000" w:rsidRPr="00D27EA5" w:rsidP="00D27EA5">
      <w:pPr>
        <w:pStyle w:val="ListBullet"/>
      </w:pPr>
      <w:r w:rsidRPr="00D27EA5">
        <w:t xml:space="preserve">use of suitable facilities, equipment and resources, including: </w:t>
      </w:r>
    </w:p>
    <w:p w:rsidR="00000000" w:rsidRPr="00D27EA5" w:rsidP="00D27EA5">
      <w:pPr>
        <w:pStyle w:val="ListBullet2"/>
      </w:pPr>
      <w:r w:rsidRPr="00D27EA5">
        <w:t>a fully equipped operating theatre</w:t>
      </w:r>
    </w:p>
    <w:p w:rsidR="00000000" w:rsidRPr="00D27EA5" w:rsidP="00D27EA5">
      <w:pPr>
        <w:pStyle w:val="ListBullet2"/>
      </w:pPr>
      <w:r w:rsidRPr="00D27EA5">
        <w:t>documented procedures for the candidate to fo</w:t>
      </w:r>
      <w:r w:rsidRPr="00D27EA5">
        <w:t>llow</w:t>
      </w:r>
    </w:p>
    <w:p w:rsidR="00000000" w:rsidRPr="00D27EA5" w:rsidP="00D27EA5">
      <w:pPr>
        <w:pStyle w:val="ListBullet"/>
      </w:pPr>
      <w:r w:rsidRPr="00D27EA5">
        <w:t>modelling of industry operating conditions, including presence of situations requiring problem solving</w:t>
      </w:r>
    </w:p>
    <w:p w:rsidR="00000000" w:rsidRPr="00D27EA5" w:rsidP="00D27EA5">
      <w:pPr>
        <w:pStyle w:val="BodyText"/>
      </w:pPr>
    </w:p>
    <w:p w:rsidR="00000000" w:rsidRPr="00D27EA5" w:rsidP="00A8458E">
      <w:pPr>
        <w:pStyle w:val="BodyText"/>
      </w:pPr>
      <w:r w:rsidRPr="00D27EA5">
        <w:t>Assessors must satisfy the Standards for Registered Training Organisations (RTOs) 2015/AQTF mandatory competency requirements for assessors</w:t>
      </w:r>
    </w:p>
    <w:p w:rsidR="00000000" w:rsidRPr="00D27EA5" w:rsidP="00D27EA5">
      <w:pPr>
        <w:pStyle w:val="Heading1"/>
      </w:pPr>
      <w:bookmarkStart w:id="11" w:name="O_744039"/>
      <w:bookmarkEnd w:id="11"/>
      <w:r w:rsidRPr="00D27EA5">
        <w:t>Links</w:t>
      </w:r>
    </w:p>
    <w:p w:rsidR="00000000" w:rsidRPr="00D27EA5" w:rsidP="00A8458E">
      <w:pPr>
        <w:pStyle w:val="BodyText"/>
      </w:pPr>
      <w:r w:rsidRPr="00D27EA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33348">
        <w:rPr>
          <w:rStyle w:val="Hyperlink"/>
        </w:rPr>
        <w:t>https://vetnet.gov.au/Pages/TrainingDocs.aspx?q=ced1390f-48d9-4ab0-bd50-b015e5485705</w:t>
      </w:r>
      <w:r>
        <w:fldChar w:fldCharType="end"/>
      </w:r>
    </w:p>
    <w:p w:rsidR="00000000" w:rsidRPr="00D27EA5" w:rsidP="00D27EA5"/>
    <w:sectPr w:rsidSect="00D27E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rsidRPr="00A8458E" w:rsidP="00A84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8E" w:rsidP="00D27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58E" w:rsidP="00D27E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458E" w:rsidP="00D27E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rsidP="00D27EA5">
    <w:pPr>
      <w:pStyle w:val="Footer"/>
      <w:framePr w:wrap="around"/>
    </w:pPr>
    <w:r>
      <w:fldChar w:fldCharType="begin"/>
    </w:r>
    <w:r>
      <w:instrText xml:space="preserve"> DOCPROPERTY  Subject  \* MERGEFORMAT </w:instrText>
    </w:r>
    <w:r>
      <w:fldChar w:fldCharType="separate"/>
    </w:r>
    <w:r w:rsidR="00A8458E">
      <w:t>Approved</w:t>
    </w:r>
    <w:r w:rsidR="00A8458E">
      <w:fldChar w:fldCharType="end"/>
    </w:r>
    <w:r>
      <w:tab/>
      <w:t xml:space="preserve">Page </w:t>
    </w:r>
    <w:r>
      <w:fldChar w:fldCharType="begin"/>
    </w:r>
    <w:r>
      <w:instrText xml:space="preserve"> PAGE  \* Arabic  \* MERGEFORMAT </w:instrText>
    </w:r>
    <w:r>
      <w:fldChar w:fldCharType="separate"/>
    </w:r>
    <w:r w:rsidR="00A845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58E">
      <w:rPr>
        <w:noProof/>
      </w:rPr>
      <w:t>4</w:t>
    </w:r>
    <w:r>
      <w:rPr>
        <w:noProof/>
      </w:rPr>
      <w:fldChar w:fldCharType="end"/>
    </w:r>
  </w:p>
  <w:p w:rsidR="00D27EA5" w:rsidP="00D27EA5">
    <w:pPr>
      <w:pStyle w:val="Footer"/>
      <w:framePr w:wrap="around"/>
    </w:pPr>
    <w:r>
      <w:t xml:space="preserve">© Commonwealth of Australia, </w:t>
    </w:r>
    <w:r>
      <w:fldChar w:fldCharType="begin"/>
    </w:r>
    <w:r>
      <w:instrText xml:space="preserve"> DATE  \@ "yyyy"  \* MERGEFORMAT </w:instrText>
    </w:r>
    <w:r>
      <w:fldChar w:fldCharType="separate"/>
    </w:r>
    <w:r w:rsidR="00A8458E">
      <w:rPr>
        <w:noProof/>
      </w:rPr>
      <w:t>2025</w:t>
    </w:r>
    <w:r>
      <w:fldChar w:fldCharType="end"/>
    </w:r>
    <w:r>
      <w:tab/>
    </w:r>
    <w:r>
      <w:fldChar w:fldCharType="begin"/>
    </w:r>
    <w:r>
      <w:instrText xml:space="preserve"> DOCPROPERTY  Author  \* MERGEFORMAT </w:instrText>
    </w:r>
    <w:r>
      <w:fldChar w:fldCharType="separate"/>
    </w:r>
    <w:r w:rsidR="00A8458E">
      <w:t>HumanAbility</w:t>
    </w:r>
    <w:r w:rsidR="00A8458E">
      <w:fldChar w:fldCharType="end"/>
    </w:r>
  </w:p>
  <w:p w:rsidR="00D27EA5" w:rsidP="00D27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EA5" w:rsidRPr="00A8458E" w:rsidP="00A84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8E" w:rsidRPr="002D2AF8" w:rsidP="00D27EA5">
    <w:pPr>
      <w:pStyle w:val="Header"/>
      <w:framePr w:wrap="around"/>
    </w:pPr>
    <w:r>
      <w:fldChar w:fldCharType="begin"/>
    </w:r>
    <w:r>
      <w:instrText xml:space="preserve"> TITLE   \* MERGEFORMAT </w:instrText>
    </w:r>
    <w:r>
      <w:fldChar w:fldCharType="separate"/>
    </w:r>
    <w:r>
      <w:t>HLTTHE001 Handle and care for operating theatre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458E" w:rsidP="00D27E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A5" w:rsidRPr="002D2AF8" w:rsidP="00D27EA5">
    <w:pPr>
      <w:pStyle w:val="Header"/>
      <w:framePr w:wrap="around"/>
    </w:pPr>
    <w:r>
      <w:fldChar w:fldCharType="begin"/>
    </w:r>
    <w:r>
      <w:instrText xml:space="preserve"> TITLE   \* MERGEFORMAT </w:instrText>
    </w:r>
    <w:r>
      <w:fldChar w:fldCharType="separate"/>
    </w:r>
    <w:r w:rsidR="00A8458E">
      <w:t>HLTTHE001 Handle and care for operating theatre equipment</w:t>
    </w:r>
    <w:r w:rsidR="00A8458E">
      <w:fldChar w:fldCharType="end"/>
    </w:r>
    <w:r>
      <w:tab/>
      <w:t xml:space="preserve">Date this document was generated: </w:t>
    </w:r>
    <w:r>
      <w:fldChar w:fldCharType="begin"/>
    </w:r>
    <w:r>
      <w:instrText xml:space="preserve"> CREATEDATE  \@ "d MMMM yyyy"  \* MERGEFORMAT </w:instrText>
    </w:r>
    <w:r>
      <w:fldChar w:fldCharType="separate"/>
    </w:r>
    <w:r w:rsidR="00A8458E">
      <w:rPr>
        <w:noProof/>
      </w:rPr>
      <w:t>1 March 2025</w:t>
    </w:r>
    <w:r>
      <w:fldChar w:fldCharType="end"/>
    </w:r>
  </w:p>
  <w:p w:rsidR="00D27EA5" w:rsidP="00D27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28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7C2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EE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EA5"/>
    <w:pPr>
      <w:spacing w:before="360" w:after="60"/>
      <w:outlineLvl w:val="0"/>
    </w:pPr>
    <w:rPr>
      <w:sz w:val="32"/>
    </w:rPr>
  </w:style>
  <w:style w:type="paragraph" w:styleId="Heading2">
    <w:name w:val="heading 2"/>
    <w:basedOn w:val="HeadingBase"/>
    <w:next w:val="BodyText"/>
    <w:link w:val="Heading2Char"/>
    <w:qFormat/>
    <w:rsid w:val="00D27EA5"/>
    <w:pPr>
      <w:keepLines/>
      <w:spacing w:before="240" w:after="120"/>
      <w:outlineLvl w:val="1"/>
    </w:pPr>
    <w:rPr>
      <w:sz w:val="28"/>
      <w:szCs w:val="40"/>
    </w:rPr>
  </w:style>
  <w:style w:type="paragraph" w:styleId="Heading3">
    <w:name w:val="heading 3"/>
    <w:basedOn w:val="HeadingBase"/>
    <w:next w:val="BodyText"/>
    <w:link w:val="Heading3Char"/>
    <w:qFormat/>
    <w:rsid w:val="00D27EA5"/>
    <w:pPr>
      <w:spacing w:before="180" w:after="120"/>
      <w:outlineLvl w:val="2"/>
    </w:pPr>
    <w:rPr>
      <w:spacing w:val="-10"/>
      <w:kern w:val="32"/>
    </w:rPr>
  </w:style>
  <w:style w:type="paragraph" w:styleId="Heading4">
    <w:name w:val="heading 4"/>
    <w:basedOn w:val="HeadingBase"/>
    <w:next w:val="BodyText"/>
    <w:link w:val="Heading4Char"/>
    <w:qFormat/>
    <w:rsid w:val="00D27EA5"/>
    <w:pPr>
      <w:spacing w:before="160" w:after="120"/>
      <w:outlineLvl w:val="3"/>
    </w:pPr>
    <w:rPr>
      <w:sz w:val="22"/>
    </w:rPr>
  </w:style>
  <w:style w:type="paragraph" w:styleId="Heading5">
    <w:name w:val="heading 5"/>
    <w:basedOn w:val="HeadingBase"/>
    <w:next w:val="Normal"/>
    <w:link w:val="Heading5Char"/>
    <w:qFormat/>
    <w:rsid w:val="00D27EA5"/>
    <w:pPr>
      <w:spacing w:before="80"/>
      <w:outlineLvl w:val="4"/>
    </w:pPr>
    <w:rPr>
      <w:color w:val="918585"/>
      <w:sz w:val="20"/>
    </w:rPr>
  </w:style>
  <w:style w:type="paragraph" w:styleId="Heading6">
    <w:name w:val="heading 6"/>
    <w:basedOn w:val="HeadingBase"/>
    <w:next w:val="Normal"/>
    <w:link w:val="Heading6Char"/>
    <w:qFormat/>
    <w:rsid w:val="00D27EA5"/>
    <w:pPr>
      <w:spacing w:before="60"/>
      <w:outlineLvl w:val="5"/>
    </w:pPr>
    <w:rPr>
      <w:color w:val="918585"/>
      <w:sz w:val="20"/>
    </w:rPr>
  </w:style>
  <w:style w:type="paragraph" w:styleId="Heading7">
    <w:name w:val="heading 7"/>
    <w:basedOn w:val="Normal"/>
    <w:next w:val="Normal"/>
    <w:link w:val="Heading7Char"/>
    <w:qFormat/>
    <w:rsid w:val="00D27EA5"/>
    <w:pPr>
      <w:ind w:left="720"/>
      <w:outlineLvl w:val="6"/>
    </w:pPr>
    <w:rPr>
      <w:i/>
    </w:rPr>
  </w:style>
  <w:style w:type="paragraph" w:styleId="Heading8">
    <w:name w:val="heading 8"/>
    <w:basedOn w:val="Normal"/>
    <w:next w:val="Normal"/>
    <w:link w:val="Heading8Char"/>
    <w:qFormat/>
    <w:rsid w:val="00D27EA5"/>
    <w:pPr>
      <w:ind w:left="720"/>
      <w:outlineLvl w:val="7"/>
    </w:pPr>
    <w:rPr>
      <w:i/>
    </w:rPr>
  </w:style>
  <w:style w:type="paragraph" w:styleId="Heading9">
    <w:name w:val="heading 9"/>
    <w:basedOn w:val="Normal"/>
    <w:next w:val="Normal"/>
    <w:link w:val="Heading9Char"/>
    <w:qFormat/>
    <w:rsid w:val="00D27EA5"/>
    <w:pPr>
      <w:ind w:left="720"/>
      <w:outlineLvl w:val="8"/>
    </w:pPr>
    <w:rPr>
      <w:i/>
    </w:rPr>
  </w:style>
  <w:style w:type="character" w:default="1" w:styleId="DefaultParagraphFont">
    <w:name w:val="Default Paragraph Font"/>
    <w:uiPriority w:val="1"/>
    <w:unhideWhenUsed/>
    <w:rsid w:val="00D27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EA5"/>
  </w:style>
  <w:style w:type="character" w:customStyle="1" w:styleId="Heading1Char">
    <w:name w:val="Heading 1 Char"/>
    <w:basedOn w:val="DefaultParagraphFont"/>
    <w:link w:val="Heading1"/>
    <w:rsid w:val="00D27EA5"/>
    <w:rPr>
      <w:rFonts w:ascii="Times New Roman" w:eastAsia="Times New Roman" w:hAnsi="Times New Roman" w:cs="Times New Roman"/>
      <w:b/>
      <w:sz w:val="32"/>
      <w:szCs w:val="20"/>
      <w:lang w:eastAsia="en-US"/>
    </w:rPr>
  </w:style>
  <w:style w:type="paragraph" w:styleId="BodyText">
    <w:name w:val="Body Text"/>
    <w:basedOn w:val="Normal"/>
    <w:link w:val="BodyTextChar"/>
    <w:rsid w:val="00D27E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EA5"/>
    <w:rPr>
      <w:rFonts w:ascii="Times New Roman" w:eastAsia="Times New Roman" w:hAnsi="Times New Roman" w:cs="Times New Roman"/>
      <w:sz w:val="24"/>
      <w:lang w:eastAsia="en-US"/>
    </w:rPr>
  </w:style>
  <w:style w:type="paragraph" w:styleId="ListBullet">
    <w:name w:val="List Bullet"/>
    <w:basedOn w:val="List"/>
    <w:rsid w:val="00D27EA5"/>
    <w:pPr>
      <w:numPr>
        <w:numId w:val="12"/>
      </w:numPr>
      <w:tabs>
        <w:tab w:val="clear" w:pos="340"/>
      </w:tabs>
      <w:spacing w:before="40" w:after="40"/>
    </w:pPr>
  </w:style>
  <w:style w:type="character" w:customStyle="1" w:styleId="SpecialBold">
    <w:name w:val="Special Bold"/>
    <w:basedOn w:val="DefaultParagraphFont"/>
    <w:rsid w:val="00D27EA5"/>
    <w:rPr>
      <w:b/>
      <w:spacing w:val="0"/>
    </w:rPr>
  </w:style>
  <w:style w:type="paragraph" w:styleId="ListBullet2">
    <w:name w:val="List Bullet 2"/>
    <w:basedOn w:val="List2"/>
    <w:rsid w:val="00D27EA5"/>
    <w:pPr>
      <w:numPr>
        <w:numId w:val="13"/>
      </w:numPr>
      <w:tabs>
        <w:tab w:val="clear" w:pos="680"/>
      </w:tabs>
    </w:pPr>
  </w:style>
  <w:style w:type="character" w:styleId="Emphasis">
    <w:name w:val="Emphasis"/>
    <w:basedOn w:val="DefaultParagraphFont"/>
    <w:qFormat/>
    <w:rsid w:val="00D27EA5"/>
    <w:rPr>
      <w:i/>
    </w:rPr>
  </w:style>
  <w:style w:type="paragraph" w:customStyle="1" w:styleId="SuperHeading">
    <w:name w:val="SuperHeading"/>
    <w:basedOn w:val="Normal"/>
    <w:rsid w:val="00D27EA5"/>
    <w:pPr>
      <w:spacing w:before="240" w:after="120"/>
      <w:outlineLvl w:val="0"/>
    </w:pPr>
    <w:rPr>
      <w:rFonts w:ascii="Times New Roman" w:hAnsi="Times New Roman"/>
      <w:b/>
      <w:sz w:val="32"/>
    </w:rPr>
  </w:style>
  <w:style w:type="paragraph" w:customStyle="1" w:styleId="AllowPageBreak">
    <w:name w:val="AllowPageBreak"/>
    <w:rsid w:val="00D27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EA5"/>
    <w:rPr>
      <w:rFonts w:ascii="Courier New" w:eastAsia="Times New Roman" w:hAnsi="Courier New" w:cs="Times New Roman"/>
      <w:i/>
      <w:szCs w:val="20"/>
      <w:lang w:eastAsia="en-US"/>
    </w:rPr>
  </w:style>
  <w:style w:type="paragraph" w:customStyle="1" w:styleId="HeadingBase">
    <w:name w:val="Heading Base"/>
    <w:rsid w:val="00D27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EA5"/>
    <w:pPr>
      <w:tabs>
        <w:tab w:val="right" w:leader="dot" w:pos="9072"/>
      </w:tabs>
      <w:ind w:left="567"/>
    </w:pPr>
    <w:rPr>
      <w:szCs w:val="22"/>
    </w:rPr>
  </w:style>
  <w:style w:type="paragraph" w:customStyle="1" w:styleId="TOCBase">
    <w:name w:val="TOC Base"/>
    <w:rsid w:val="00D27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EA5"/>
    <w:pPr>
      <w:tabs>
        <w:tab w:val="right" w:leader="dot" w:pos="9072"/>
      </w:tabs>
      <w:spacing w:before="40" w:after="40"/>
      <w:ind w:left="284"/>
    </w:pPr>
    <w:rPr>
      <w:rFonts w:ascii="Times New Roman" w:hAnsi="Times New Roman"/>
    </w:rPr>
  </w:style>
  <w:style w:type="paragraph" w:styleId="TOC1">
    <w:name w:val="toc 1"/>
    <w:basedOn w:val="TOCBase"/>
    <w:next w:val="Normal"/>
    <w:rsid w:val="00D27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EA5"/>
    <w:rPr>
      <w:rFonts w:ascii="Times New Roman" w:eastAsia="Times New Roman" w:hAnsi="Times New Roman" w:cs="Times New Roman"/>
      <w:sz w:val="16"/>
      <w:lang w:eastAsia="en-US"/>
    </w:rPr>
  </w:style>
  <w:style w:type="paragraph" w:styleId="Title">
    <w:name w:val="Title"/>
    <w:basedOn w:val="HeadingBase"/>
    <w:link w:val="TitleChar"/>
    <w:qFormat/>
    <w:rsid w:val="00D27EA5"/>
    <w:pPr>
      <w:spacing w:before="5040"/>
      <w:jc w:val="center"/>
    </w:pPr>
    <w:rPr>
      <w:sz w:val="48"/>
      <w:szCs w:val="72"/>
      <w:lang w:val="en-US"/>
    </w:rPr>
  </w:style>
  <w:style w:type="character" w:customStyle="1" w:styleId="TitleChar">
    <w:name w:val="Title Char"/>
    <w:basedOn w:val="DefaultParagraphFont"/>
    <w:link w:val="Title"/>
    <w:rsid w:val="00D27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EA5"/>
    <w:pPr>
      <w:tabs>
        <w:tab w:val="left" w:pos="3600"/>
        <w:tab w:val="left" w:pos="3958"/>
      </w:tabs>
    </w:pPr>
  </w:style>
  <w:style w:type="paragraph" w:styleId="List">
    <w:name w:val="List"/>
    <w:basedOn w:val="BodyText"/>
    <w:next w:val="BodyText"/>
    <w:rsid w:val="00D27EA5"/>
    <w:pPr>
      <w:tabs>
        <w:tab w:val="left" w:pos="340"/>
      </w:tabs>
      <w:spacing w:before="60" w:after="60"/>
      <w:ind w:left="340" w:hanging="340"/>
    </w:pPr>
  </w:style>
  <w:style w:type="paragraph" w:customStyle="1" w:styleId="Note">
    <w:name w:val="Note"/>
    <w:basedOn w:val="BodyText"/>
    <w:rsid w:val="00D27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EA5"/>
    <w:pPr>
      <w:framePr w:wrap="auto" w:hAnchor="text" w:y="6049"/>
    </w:pPr>
    <w:rPr>
      <w:color w:val="000000"/>
      <w:sz w:val="40"/>
    </w:rPr>
  </w:style>
  <w:style w:type="paragraph" w:customStyle="1" w:styleId="TOCTitle">
    <w:name w:val="TOCTitle"/>
    <w:basedOn w:val="Heading1"/>
    <w:rsid w:val="00D27EA5"/>
    <w:pPr>
      <w:spacing w:after="240"/>
      <w:jc w:val="center"/>
      <w:outlineLvl w:val="9"/>
    </w:pPr>
    <w:rPr>
      <w:caps/>
    </w:rPr>
  </w:style>
  <w:style w:type="paragraph" w:customStyle="1" w:styleId="Version">
    <w:name w:val="Version"/>
    <w:rsid w:val="00D27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EA5"/>
    <w:pPr>
      <w:keepNext w:val="0"/>
      <w:tabs>
        <w:tab w:val="right" w:pos="4176"/>
      </w:tabs>
      <w:ind w:left="198" w:hanging="198"/>
    </w:pPr>
    <w:rPr>
      <w:rFonts w:ascii="Garamond" w:hAnsi="Garamond"/>
    </w:rPr>
  </w:style>
  <w:style w:type="paragraph" w:styleId="IndexHeading">
    <w:name w:val="index heading"/>
    <w:basedOn w:val="Normal"/>
    <w:next w:val="Index1"/>
    <w:semiHidden/>
    <w:rsid w:val="00D27EA5"/>
    <w:pPr>
      <w:spacing w:before="120" w:after="120"/>
    </w:pPr>
    <w:rPr>
      <w:rFonts w:ascii="Arial" w:hAnsi="Arial"/>
      <w:b/>
      <w:color w:val="918585"/>
      <w:sz w:val="24"/>
    </w:rPr>
  </w:style>
  <w:style w:type="paragraph" w:styleId="Header">
    <w:name w:val="header"/>
    <w:basedOn w:val="Normal"/>
    <w:link w:val="HeaderChar"/>
    <w:rsid w:val="00D27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EA5"/>
    <w:rPr>
      <w:rFonts w:ascii="Times New Roman" w:eastAsia="Times New Roman" w:hAnsi="Times New Roman" w:cs="Times New Roman"/>
      <w:sz w:val="16"/>
      <w:szCs w:val="20"/>
      <w:lang w:val="en-GB" w:eastAsia="en-US"/>
    </w:rPr>
  </w:style>
  <w:style w:type="paragraph" w:customStyle="1" w:styleId="Chapter">
    <w:name w:val="Chapter"/>
    <w:basedOn w:val="Normal"/>
    <w:rsid w:val="00D27EA5"/>
    <w:pPr>
      <w:spacing w:before="240"/>
    </w:pPr>
    <w:rPr>
      <w:rFonts w:ascii="Times New Roman" w:hAnsi="Times New Roman"/>
      <w:smallCaps/>
      <w:spacing w:val="80"/>
      <w:sz w:val="28"/>
    </w:rPr>
  </w:style>
  <w:style w:type="paragraph" w:customStyle="1" w:styleId="InChapter">
    <w:name w:val="InChapter"/>
    <w:basedOn w:val="Heading3"/>
    <w:rsid w:val="00D27EA5"/>
    <w:pPr>
      <w:spacing w:after="240"/>
      <w:outlineLvl w:val="9"/>
    </w:pPr>
    <w:rPr>
      <w:noProof/>
    </w:rPr>
  </w:style>
  <w:style w:type="paragraph" w:styleId="Index2">
    <w:name w:val="index 2"/>
    <w:basedOn w:val="Normal"/>
    <w:next w:val="Normal"/>
    <w:semiHidden/>
    <w:rsid w:val="00D27EA5"/>
    <w:pPr>
      <w:tabs>
        <w:tab w:val="right" w:pos="4176"/>
      </w:tabs>
      <w:ind w:left="568" w:hanging="284"/>
    </w:pPr>
    <w:rPr>
      <w:rFonts w:ascii="Garamond" w:hAnsi="Garamond"/>
    </w:rPr>
  </w:style>
  <w:style w:type="paragraph" w:customStyle="1" w:styleId="Byline">
    <w:name w:val="Byline"/>
    <w:rsid w:val="00D27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EA5"/>
    <w:pPr>
      <w:tabs>
        <w:tab w:val="clear" w:pos="3600"/>
        <w:tab w:val="clear" w:pos="3958"/>
      </w:tabs>
      <w:jc w:val="right"/>
    </w:pPr>
  </w:style>
  <w:style w:type="paragraph" w:styleId="Caption">
    <w:name w:val="caption"/>
    <w:basedOn w:val="BodyText"/>
    <w:next w:val="Normal"/>
    <w:qFormat/>
    <w:rsid w:val="00D27EA5"/>
    <w:pPr>
      <w:framePr w:w="2268" w:hSpace="181" w:vSpace="181" w:wrap="around" w:vAnchor="text" w:hAnchor="page" w:x="1135" w:y="285" w:anchorLock="1"/>
    </w:pPr>
    <w:rPr>
      <w:i/>
    </w:rPr>
  </w:style>
  <w:style w:type="paragraph" w:customStyle="1" w:styleId="MiniTOCTitle">
    <w:name w:val="MiniTOCTitle"/>
    <w:basedOn w:val="Heading4"/>
    <w:rsid w:val="00D27EA5"/>
    <w:pPr>
      <w:spacing w:before="240"/>
      <w:outlineLvl w:val="9"/>
    </w:pPr>
    <w:rPr>
      <w:noProof/>
      <w:sz w:val="24"/>
    </w:rPr>
  </w:style>
  <w:style w:type="paragraph" w:customStyle="1" w:styleId="MiniTOCItem">
    <w:name w:val="MiniTOCItem"/>
    <w:basedOn w:val="ListBullet"/>
    <w:rsid w:val="00D27EA5"/>
    <w:pPr>
      <w:numPr>
        <w:numId w:val="0"/>
      </w:numPr>
      <w:tabs>
        <w:tab w:val="right" w:leader="dot" w:pos="6521"/>
      </w:tabs>
      <w:spacing w:before="0" w:after="0"/>
    </w:pPr>
  </w:style>
  <w:style w:type="paragraph" w:customStyle="1" w:styleId="TOFTitle">
    <w:name w:val="TOFTitle"/>
    <w:basedOn w:val="TOCTitle"/>
    <w:rsid w:val="00D27EA5"/>
  </w:style>
  <w:style w:type="paragraph" w:styleId="TableofFigures">
    <w:name w:val="table of figures"/>
    <w:basedOn w:val="Normal"/>
    <w:next w:val="Normal"/>
    <w:semiHidden/>
    <w:rsid w:val="00D27EA5"/>
    <w:pPr>
      <w:tabs>
        <w:tab w:val="right" w:leader="dot" w:pos="9072"/>
      </w:tabs>
      <w:ind w:left="970" w:hanging="403"/>
    </w:pPr>
    <w:rPr>
      <w:rFonts w:ascii="Times New Roman" w:hAnsi="Times New Roman"/>
      <w:b/>
    </w:rPr>
  </w:style>
  <w:style w:type="paragraph" w:styleId="ListNumber">
    <w:name w:val="List Number"/>
    <w:basedOn w:val="List"/>
    <w:rsid w:val="00D27EA5"/>
    <w:pPr>
      <w:numPr>
        <w:numId w:val="15"/>
      </w:numPr>
      <w:tabs>
        <w:tab w:val="clear" w:pos="340"/>
      </w:tabs>
    </w:pPr>
  </w:style>
  <w:style w:type="character" w:customStyle="1" w:styleId="WingdingSymbols">
    <w:name w:val="Wingding Symbols"/>
    <w:rsid w:val="00D27EA5"/>
    <w:rPr>
      <w:rFonts w:ascii="Wingdings" w:hAnsi="Wingdings"/>
    </w:rPr>
  </w:style>
  <w:style w:type="paragraph" w:customStyle="1" w:styleId="TableHeading">
    <w:name w:val="Table Heading"/>
    <w:basedOn w:val="HeadingBase"/>
    <w:rsid w:val="00D27EA5"/>
    <w:pPr>
      <w:keepLines/>
      <w:pBdr>
        <w:bottom w:val="single" w:sz="6" w:space="1" w:color="918585"/>
      </w:pBdr>
      <w:spacing w:before="240"/>
    </w:pPr>
  </w:style>
  <w:style w:type="character" w:customStyle="1" w:styleId="HotSpot">
    <w:name w:val="HotSpot"/>
    <w:rsid w:val="00D27EA5"/>
    <w:rPr>
      <w:color w:val="0033CC"/>
      <w:u w:val="none"/>
    </w:rPr>
  </w:style>
  <w:style w:type="paragraph" w:customStyle="1" w:styleId="BodyTextRight">
    <w:name w:val="Body Text Right"/>
    <w:basedOn w:val="BodyText"/>
    <w:rsid w:val="00D27EA5"/>
    <w:pPr>
      <w:spacing w:before="0" w:after="0"/>
      <w:jc w:val="right"/>
    </w:pPr>
  </w:style>
  <w:style w:type="paragraph" w:styleId="Index3">
    <w:name w:val="index 3"/>
    <w:basedOn w:val="ListNumber2"/>
    <w:next w:val="Normal"/>
    <w:semiHidden/>
    <w:rsid w:val="00D27EA5"/>
    <w:pPr>
      <w:numPr>
        <w:numId w:val="0"/>
      </w:numPr>
      <w:tabs>
        <w:tab w:val="right" w:leader="dot" w:pos="4176"/>
      </w:tabs>
    </w:pPr>
  </w:style>
  <w:style w:type="paragraph" w:styleId="ListNumber2">
    <w:name w:val="List Number 2"/>
    <w:basedOn w:val="List2"/>
    <w:rsid w:val="00D27EA5"/>
    <w:pPr>
      <w:numPr>
        <w:numId w:val="10"/>
      </w:numPr>
      <w:tabs>
        <w:tab w:val="clear" w:pos="1060"/>
      </w:tabs>
    </w:pPr>
  </w:style>
  <w:style w:type="paragraph" w:customStyle="1" w:styleId="MarginNote">
    <w:name w:val="Margin Note"/>
    <w:basedOn w:val="BodyText"/>
    <w:rsid w:val="00D27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EA5"/>
    <w:rPr>
      <w:sz w:val="32"/>
    </w:rPr>
  </w:style>
  <w:style w:type="paragraph" w:customStyle="1" w:styleId="HeadingProcedure">
    <w:name w:val="Heading Procedure"/>
    <w:basedOn w:val="HeadingBase"/>
    <w:next w:val="Normal"/>
    <w:rsid w:val="00D27EA5"/>
    <w:pPr>
      <w:tabs>
        <w:tab w:val="left" w:pos="0"/>
      </w:tabs>
      <w:spacing w:before="120" w:after="60"/>
    </w:pPr>
    <w:rPr>
      <w:i/>
      <w:color w:val="918585"/>
      <w:sz w:val="22"/>
    </w:rPr>
  </w:style>
  <w:style w:type="paragraph" w:customStyle="1" w:styleId="TableBodyText">
    <w:name w:val="Table Body Text"/>
    <w:basedOn w:val="BodyText"/>
    <w:rsid w:val="00D27EA5"/>
    <w:pPr>
      <w:spacing w:before="60" w:after="60"/>
    </w:pPr>
  </w:style>
  <w:style w:type="paragraph" w:styleId="ListContinue">
    <w:name w:val="List Continue"/>
    <w:basedOn w:val="List"/>
    <w:rsid w:val="00D27EA5"/>
    <w:pPr>
      <w:ind w:firstLine="0"/>
    </w:pPr>
  </w:style>
  <w:style w:type="paragraph" w:customStyle="1" w:styleId="ListNote">
    <w:name w:val="List Note"/>
    <w:basedOn w:val="List"/>
    <w:rsid w:val="00D27EA5"/>
    <w:pPr>
      <w:pBdr>
        <w:top w:val="single" w:sz="6" w:space="2" w:color="918585"/>
        <w:bottom w:val="single" w:sz="6" w:space="2" w:color="918585"/>
      </w:pBdr>
      <w:tabs>
        <w:tab w:val="left" w:pos="1021"/>
      </w:tabs>
      <w:ind w:firstLine="0"/>
    </w:pPr>
  </w:style>
  <w:style w:type="paragraph" w:customStyle="1" w:styleId="Warning">
    <w:name w:val="Warning"/>
    <w:basedOn w:val="BodyText"/>
    <w:rsid w:val="00D27EA5"/>
    <w:pPr>
      <w:shd w:val="clear" w:color="auto" w:fill="D9D9D9"/>
      <w:tabs>
        <w:tab w:val="left" w:pos="992"/>
      </w:tabs>
      <w:ind w:left="119" w:right="119"/>
    </w:pPr>
    <w:rPr>
      <w:sz w:val="20"/>
    </w:rPr>
  </w:style>
  <w:style w:type="paragraph" w:customStyle="1" w:styleId="MarginIcons">
    <w:name w:val="Margin Icons"/>
    <w:basedOn w:val="BodyText"/>
    <w:rsid w:val="00D27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EA5"/>
    <w:rPr>
      <w:rFonts w:ascii="Courier New" w:hAnsi="Courier New"/>
    </w:rPr>
  </w:style>
  <w:style w:type="paragraph" w:customStyle="1" w:styleId="NoteBullet">
    <w:name w:val="Note Bullet"/>
    <w:basedOn w:val="Note"/>
    <w:rsid w:val="00D27EA5"/>
    <w:pPr>
      <w:tabs>
        <w:tab w:val="clear" w:pos="680"/>
      </w:tabs>
      <w:spacing w:before="60" w:after="60"/>
    </w:pPr>
  </w:style>
  <w:style w:type="paragraph" w:customStyle="1" w:styleId="SubHeading2">
    <w:name w:val="SubHeading2"/>
    <w:basedOn w:val="HeadingBase"/>
    <w:rsid w:val="00D27EA5"/>
    <w:pPr>
      <w:spacing w:before="240" w:after="60"/>
    </w:pPr>
    <w:rPr>
      <w:sz w:val="20"/>
    </w:rPr>
  </w:style>
  <w:style w:type="paragraph" w:customStyle="1" w:styleId="SubHeading1">
    <w:name w:val="SubHeading1"/>
    <w:basedOn w:val="HeadingBase"/>
    <w:rsid w:val="00D27EA5"/>
    <w:pPr>
      <w:spacing w:before="240" w:after="60"/>
    </w:pPr>
    <w:rPr>
      <w:color w:val="918585"/>
      <w:sz w:val="22"/>
    </w:rPr>
  </w:style>
  <w:style w:type="paragraph" w:customStyle="1" w:styleId="SideHeading">
    <w:name w:val="Side Heading"/>
    <w:basedOn w:val="HeadingBase"/>
    <w:rsid w:val="00D27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EA5"/>
    <w:pPr>
      <w:tabs>
        <w:tab w:val="num" w:pos="360"/>
      </w:tabs>
    </w:pPr>
  </w:style>
  <w:style w:type="paragraph" w:styleId="PlainText">
    <w:name w:val="Plain Text"/>
    <w:basedOn w:val="Normal"/>
    <w:link w:val="PlainTextChar"/>
    <w:rsid w:val="00D27EA5"/>
    <w:rPr>
      <w:sz w:val="20"/>
    </w:rPr>
  </w:style>
  <w:style w:type="character" w:customStyle="1" w:styleId="PlainTextChar">
    <w:name w:val="Plain Text Char"/>
    <w:basedOn w:val="DefaultParagraphFont"/>
    <w:link w:val="PlainText"/>
    <w:rsid w:val="00D27EA5"/>
    <w:rPr>
      <w:rFonts w:ascii="Courier New" w:eastAsia="Times New Roman" w:hAnsi="Courier New" w:cs="Times New Roman"/>
      <w:sz w:val="20"/>
      <w:szCs w:val="20"/>
      <w:lang w:eastAsia="en-US"/>
    </w:rPr>
  </w:style>
  <w:style w:type="character" w:customStyle="1" w:styleId="MenuOption">
    <w:name w:val="Menu Option"/>
    <w:basedOn w:val="DefaultParagraphFont"/>
    <w:rsid w:val="00D27EA5"/>
    <w:rPr>
      <w:b/>
      <w:smallCaps/>
    </w:rPr>
  </w:style>
  <w:style w:type="paragraph" w:customStyle="1" w:styleId="TableListNumber">
    <w:name w:val="Table List Number"/>
    <w:basedOn w:val="ListNumber"/>
    <w:rsid w:val="00D27EA5"/>
    <w:pPr>
      <w:numPr>
        <w:numId w:val="0"/>
      </w:numPr>
    </w:pPr>
  </w:style>
  <w:style w:type="paragraph" w:styleId="TOC4">
    <w:name w:val="toc 4"/>
    <w:basedOn w:val="TOCBase"/>
    <w:next w:val="Normal"/>
    <w:semiHidden/>
    <w:rsid w:val="00D27EA5"/>
    <w:pPr>
      <w:tabs>
        <w:tab w:val="right" w:leader="dot" w:pos="9071"/>
      </w:tabs>
      <w:ind w:left="1701"/>
    </w:pPr>
  </w:style>
  <w:style w:type="paragraph" w:customStyle="1" w:styleId="ListAlpha">
    <w:name w:val="List Alpha"/>
    <w:basedOn w:val="List"/>
    <w:rsid w:val="00D27EA5"/>
    <w:pPr>
      <w:numPr>
        <w:numId w:val="9"/>
      </w:numPr>
    </w:pPr>
  </w:style>
  <w:style w:type="paragraph" w:customStyle="1" w:styleId="ListAlpha2">
    <w:name w:val="List Alpha 2"/>
    <w:basedOn w:val="List2"/>
    <w:rsid w:val="00D27EA5"/>
    <w:pPr>
      <w:numPr>
        <w:numId w:val="8"/>
      </w:numPr>
    </w:pPr>
  </w:style>
  <w:style w:type="paragraph" w:styleId="List2">
    <w:name w:val="List 2"/>
    <w:basedOn w:val="BodyText"/>
    <w:rsid w:val="00D27EA5"/>
    <w:pPr>
      <w:tabs>
        <w:tab w:val="left" w:pos="680"/>
      </w:tabs>
      <w:spacing w:before="60" w:after="60"/>
      <w:ind w:left="680" w:hanging="340"/>
    </w:pPr>
  </w:style>
  <w:style w:type="paragraph" w:styleId="List3">
    <w:name w:val="List 3"/>
    <w:basedOn w:val="BodyText"/>
    <w:rsid w:val="00D27EA5"/>
    <w:pPr>
      <w:tabs>
        <w:tab w:val="left" w:pos="1021"/>
      </w:tabs>
      <w:spacing w:before="60" w:after="60"/>
      <w:ind w:left="1020" w:hanging="340"/>
    </w:pPr>
  </w:style>
  <w:style w:type="paragraph" w:styleId="List4">
    <w:name w:val="List 4"/>
    <w:basedOn w:val="BodyText"/>
    <w:rsid w:val="00D27EA5"/>
    <w:pPr>
      <w:tabs>
        <w:tab w:val="left" w:pos="1361"/>
      </w:tabs>
      <w:spacing w:before="60" w:after="60"/>
      <w:ind w:left="1361" w:hanging="340"/>
    </w:pPr>
  </w:style>
  <w:style w:type="paragraph" w:styleId="List5">
    <w:name w:val="List 5"/>
    <w:basedOn w:val="BodyText"/>
    <w:rsid w:val="00D27EA5"/>
    <w:pPr>
      <w:tabs>
        <w:tab w:val="left" w:pos="1701"/>
      </w:tabs>
      <w:spacing w:before="60" w:after="60"/>
      <w:ind w:left="1701" w:hanging="340"/>
    </w:pPr>
  </w:style>
  <w:style w:type="paragraph" w:styleId="ListBullet3">
    <w:name w:val="List Bullet 3"/>
    <w:basedOn w:val="List3"/>
    <w:rsid w:val="00D27EA5"/>
    <w:pPr>
      <w:numPr>
        <w:numId w:val="14"/>
      </w:numPr>
      <w:tabs>
        <w:tab w:val="clear" w:pos="1021"/>
      </w:tabs>
      <w:ind w:left="1037" w:hanging="357"/>
    </w:pPr>
  </w:style>
  <w:style w:type="paragraph" w:styleId="ListBullet4">
    <w:name w:val="List Bullet 4"/>
    <w:basedOn w:val="List4"/>
    <w:rsid w:val="00D27EA5"/>
    <w:pPr>
      <w:numPr>
        <w:numId w:val="3"/>
      </w:numPr>
      <w:tabs>
        <w:tab w:val="clear" w:pos="1361"/>
      </w:tabs>
    </w:pPr>
  </w:style>
  <w:style w:type="paragraph" w:styleId="ListBullet5">
    <w:name w:val="List Bullet 5"/>
    <w:basedOn w:val="List5"/>
    <w:rsid w:val="00D27EA5"/>
    <w:pPr>
      <w:numPr>
        <w:numId w:val="4"/>
      </w:numPr>
    </w:pPr>
  </w:style>
  <w:style w:type="paragraph" w:styleId="ListContinue2">
    <w:name w:val="List Continue 2"/>
    <w:basedOn w:val="List2"/>
    <w:rsid w:val="00D27EA5"/>
    <w:pPr>
      <w:ind w:firstLine="0"/>
    </w:pPr>
  </w:style>
  <w:style w:type="paragraph" w:styleId="ListContinue3">
    <w:name w:val="List Continue 3"/>
    <w:basedOn w:val="List3"/>
    <w:rsid w:val="00D27EA5"/>
    <w:pPr>
      <w:ind w:left="1021" w:firstLine="0"/>
    </w:pPr>
  </w:style>
  <w:style w:type="paragraph" w:styleId="ListContinue4">
    <w:name w:val="List Continue 4"/>
    <w:basedOn w:val="List4"/>
    <w:rsid w:val="00D27EA5"/>
    <w:pPr>
      <w:ind w:firstLine="0"/>
    </w:pPr>
  </w:style>
  <w:style w:type="paragraph" w:styleId="ListContinue5">
    <w:name w:val="List Continue 5"/>
    <w:basedOn w:val="List5"/>
    <w:rsid w:val="00D27EA5"/>
    <w:pPr>
      <w:ind w:firstLine="0"/>
    </w:pPr>
  </w:style>
  <w:style w:type="paragraph" w:styleId="ListNumber3">
    <w:name w:val="List Number 3"/>
    <w:basedOn w:val="List3"/>
    <w:rsid w:val="00D27EA5"/>
    <w:pPr>
      <w:numPr>
        <w:numId w:val="5"/>
      </w:numPr>
    </w:pPr>
  </w:style>
  <w:style w:type="paragraph" w:styleId="ListNumber4">
    <w:name w:val="List Number 4"/>
    <w:basedOn w:val="List4"/>
    <w:rsid w:val="00D27EA5"/>
    <w:pPr>
      <w:numPr>
        <w:numId w:val="6"/>
      </w:numPr>
    </w:pPr>
  </w:style>
  <w:style w:type="paragraph" w:styleId="ListNumber5">
    <w:name w:val="List Number 5"/>
    <w:basedOn w:val="List5"/>
    <w:rsid w:val="00D27EA5"/>
    <w:pPr>
      <w:numPr>
        <w:numId w:val="7"/>
      </w:numPr>
    </w:pPr>
  </w:style>
  <w:style w:type="paragraph" w:styleId="BlockText">
    <w:name w:val="Block Text"/>
    <w:basedOn w:val="Normal"/>
    <w:rsid w:val="00D27EA5"/>
    <w:pPr>
      <w:spacing w:after="120"/>
      <w:ind w:left="1440" w:right="1440"/>
    </w:pPr>
  </w:style>
  <w:style w:type="character" w:customStyle="1" w:styleId="Subscript">
    <w:name w:val="Subscript"/>
    <w:basedOn w:val="DefaultParagraphFont"/>
    <w:rsid w:val="00D27EA5"/>
    <w:rPr>
      <w:sz w:val="16"/>
      <w:vertAlign w:val="subscript"/>
    </w:rPr>
  </w:style>
  <w:style w:type="character" w:customStyle="1" w:styleId="Superscript">
    <w:name w:val="Superscript"/>
    <w:basedOn w:val="DefaultParagraphFont"/>
    <w:rsid w:val="00D27EA5"/>
    <w:rPr>
      <w:sz w:val="16"/>
      <w:vertAlign w:val="superscript"/>
    </w:rPr>
  </w:style>
  <w:style w:type="character" w:customStyle="1" w:styleId="Symbols">
    <w:name w:val="Symbols"/>
    <w:basedOn w:val="DefaultParagraphFont"/>
    <w:rsid w:val="00D27EA5"/>
    <w:rPr>
      <w:rFonts w:ascii="Symbol" w:hAnsi="Symbol"/>
    </w:rPr>
  </w:style>
  <w:style w:type="character" w:customStyle="1" w:styleId="MenuOptions">
    <w:name w:val="Menu Options"/>
    <w:basedOn w:val="DefaultParagraphFont"/>
    <w:rsid w:val="00D27EA5"/>
    <w:rPr>
      <w:rFonts w:ascii="Arial Narrow" w:hAnsi="Arial Narrow"/>
      <w:smallCaps/>
    </w:rPr>
  </w:style>
  <w:style w:type="character" w:customStyle="1" w:styleId="Buttons">
    <w:name w:val="Buttons"/>
    <w:basedOn w:val="DefaultParagraphFont"/>
    <w:rsid w:val="00D27EA5"/>
    <w:rPr>
      <w:b/>
    </w:rPr>
  </w:style>
  <w:style w:type="character" w:customStyle="1" w:styleId="Underlined">
    <w:name w:val="Underlined"/>
    <w:basedOn w:val="DefaultParagraphFont"/>
    <w:rsid w:val="00D27EA5"/>
    <w:rPr>
      <w:u w:val="single"/>
    </w:rPr>
  </w:style>
  <w:style w:type="paragraph" w:customStyle="1" w:styleId="TableBodyTextRight">
    <w:name w:val="Table Body Text Right"/>
    <w:basedOn w:val="TableBodyText"/>
    <w:rsid w:val="00D27EA5"/>
    <w:pPr>
      <w:widowControl w:val="0"/>
      <w:autoSpaceDE w:val="0"/>
      <w:autoSpaceDN w:val="0"/>
      <w:adjustRightInd w:val="0"/>
      <w:jc w:val="right"/>
    </w:pPr>
    <w:rPr>
      <w:rFonts w:cs="Arial"/>
      <w:szCs w:val="18"/>
    </w:rPr>
  </w:style>
  <w:style w:type="paragraph" w:customStyle="1" w:styleId="CopyrightText">
    <w:name w:val="Copyright Text"/>
    <w:basedOn w:val="BodyText"/>
    <w:rsid w:val="00D27EA5"/>
    <w:rPr>
      <w:sz w:val="18"/>
    </w:rPr>
  </w:style>
  <w:style w:type="paragraph" w:customStyle="1" w:styleId="BodySmallRight">
    <w:name w:val="Body Small Right"/>
    <w:basedOn w:val="BodyTextRight"/>
    <w:rsid w:val="00D27EA5"/>
    <w:rPr>
      <w:sz w:val="18"/>
      <w:szCs w:val="18"/>
    </w:rPr>
  </w:style>
  <w:style w:type="paragraph" w:customStyle="1" w:styleId="MarginEdition">
    <w:name w:val="Margin Edition"/>
    <w:basedOn w:val="MarginNote"/>
    <w:rsid w:val="00D27EA5"/>
    <w:pPr>
      <w:spacing w:before="0" w:after="0"/>
    </w:pPr>
    <w:rPr>
      <w:rFonts w:ascii="Times New Roman" w:hAnsi="Times New Roman"/>
      <w:color w:val="999999"/>
    </w:rPr>
  </w:style>
  <w:style w:type="paragraph" w:customStyle="1" w:styleId="Spacer">
    <w:name w:val="Spacer"/>
    <w:basedOn w:val="Normal"/>
    <w:rsid w:val="00D27EA5"/>
    <w:rPr>
      <w:sz w:val="2"/>
      <w:szCs w:val="2"/>
    </w:rPr>
  </w:style>
  <w:style w:type="character" w:customStyle="1" w:styleId="Small">
    <w:name w:val="Small"/>
    <w:basedOn w:val="DefaultParagraphFont"/>
    <w:rsid w:val="00D27EA5"/>
    <w:rPr>
      <w:sz w:val="16"/>
    </w:rPr>
  </w:style>
  <w:style w:type="paragraph" w:customStyle="1" w:styleId="WideTable">
    <w:name w:val="Wide Table"/>
    <w:basedOn w:val="Normal"/>
    <w:rsid w:val="00D27EA5"/>
    <w:pPr>
      <w:ind w:left="-1418"/>
    </w:pPr>
    <w:rPr>
      <w:sz w:val="2"/>
      <w:szCs w:val="2"/>
    </w:rPr>
  </w:style>
  <w:style w:type="character" w:styleId="PageNumber">
    <w:name w:val="page number"/>
    <w:basedOn w:val="DefaultParagraphFont"/>
    <w:rsid w:val="00D27EA5"/>
  </w:style>
  <w:style w:type="paragraph" w:styleId="Quote">
    <w:name w:val="Quote"/>
    <w:basedOn w:val="Heading1"/>
    <w:link w:val="QuoteChar"/>
    <w:qFormat/>
    <w:rsid w:val="00D27EA5"/>
    <w:rPr>
      <w:b w:val="0"/>
      <w:sz w:val="72"/>
      <w:szCs w:val="72"/>
      <w:lang w:val="en-NZ"/>
    </w:rPr>
  </w:style>
  <w:style w:type="character" w:customStyle="1" w:styleId="QuoteChar">
    <w:name w:val="Quote Char"/>
    <w:basedOn w:val="DefaultParagraphFont"/>
    <w:link w:val="Quote"/>
    <w:rsid w:val="00D27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EA5"/>
    <w:pPr>
      <w:pageBreakBefore/>
    </w:pPr>
  </w:style>
  <w:style w:type="paragraph" w:customStyle="1" w:styleId="Border">
    <w:name w:val="Border"/>
    <w:basedOn w:val="Normal"/>
    <w:qFormat/>
    <w:rsid w:val="00D27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EA5"/>
    <w:rPr>
      <w:b/>
      <w:bCs/>
      <w:i/>
      <w:iCs/>
      <w:color w:val="auto"/>
    </w:rPr>
  </w:style>
  <w:style w:type="paragraph" w:styleId="IntenseQuote">
    <w:name w:val="Intense Quote"/>
    <w:basedOn w:val="Normal"/>
    <w:next w:val="Normal"/>
    <w:link w:val="IntenseQuoteChar"/>
    <w:uiPriority w:val="30"/>
    <w:qFormat/>
    <w:rsid w:val="00D27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EA5"/>
    <w:rPr>
      <w:smallCaps/>
      <w:color w:val="auto"/>
      <w:u w:val="single"/>
    </w:rPr>
  </w:style>
  <w:style w:type="character" w:styleId="IntenseReference">
    <w:name w:val="Intense Reference"/>
    <w:basedOn w:val="DefaultParagraphFont"/>
    <w:uiPriority w:val="32"/>
    <w:qFormat/>
    <w:rsid w:val="00D27EA5"/>
    <w:rPr>
      <w:b/>
      <w:bCs/>
      <w:smallCaps/>
      <w:color w:val="auto"/>
      <w:spacing w:val="5"/>
      <w:u w:val="single"/>
    </w:rPr>
  </w:style>
  <w:style w:type="paragraph" w:customStyle="1" w:styleId="2ColumnHeading">
    <w:name w:val="2Column Heading"/>
    <w:basedOn w:val="BodyText"/>
    <w:qFormat/>
    <w:rsid w:val="00D27EA5"/>
    <w:pPr>
      <w:spacing w:after="60"/>
      <w:ind w:left="-2268"/>
    </w:pPr>
    <w:rPr>
      <w:b/>
    </w:rPr>
  </w:style>
  <w:style w:type="paragraph" w:customStyle="1" w:styleId="Heading1TOC">
    <w:name w:val="Heading1 TOC"/>
    <w:basedOn w:val="Normal"/>
    <w:qFormat/>
    <w:rsid w:val="00D27EA5"/>
    <w:pPr>
      <w:spacing w:before="240" w:after="120"/>
    </w:pPr>
    <w:rPr>
      <w:rFonts w:ascii="Times New Roman" w:hAnsi="Times New Roman"/>
      <w:b/>
      <w:sz w:val="32"/>
    </w:rPr>
  </w:style>
  <w:style w:type="paragraph" w:customStyle="1" w:styleId="Heading2TOC">
    <w:name w:val="Heading2 TOC"/>
    <w:basedOn w:val="Normal"/>
    <w:qFormat/>
    <w:rsid w:val="00D27EA5"/>
    <w:pPr>
      <w:spacing w:before="240" w:after="60"/>
    </w:pPr>
    <w:rPr>
      <w:rFonts w:ascii="Times New Roman" w:hAnsi="Times New Roman"/>
      <w:b/>
      <w:sz w:val="28"/>
    </w:rPr>
  </w:style>
  <w:style w:type="character" w:customStyle="1" w:styleId="Underline">
    <w:name w:val="Underline"/>
    <w:basedOn w:val="DefaultParagraphFont"/>
    <w:qFormat/>
    <w:rsid w:val="00D27EA5"/>
    <w:rPr>
      <w:u w:val="single"/>
    </w:rPr>
  </w:style>
  <w:style w:type="character" w:customStyle="1" w:styleId="BoldandItalics">
    <w:name w:val="Bold and Italics"/>
    <w:qFormat/>
    <w:rsid w:val="00D27EA5"/>
    <w:rPr>
      <w:b/>
      <w:i/>
      <w:u w:val="none"/>
    </w:rPr>
  </w:style>
  <w:style w:type="paragraph" w:styleId="BalloonText">
    <w:name w:val="Balloon Text"/>
    <w:basedOn w:val="Normal"/>
    <w:link w:val="BalloonTextChar"/>
    <w:rsid w:val="00D27EA5"/>
    <w:rPr>
      <w:rFonts w:ascii="Tahoma" w:hAnsi="Tahoma" w:cs="Tahoma"/>
      <w:sz w:val="16"/>
      <w:szCs w:val="16"/>
    </w:rPr>
  </w:style>
  <w:style w:type="character" w:customStyle="1" w:styleId="BalloonTextChar">
    <w:name w:val="Balloon Text Char"/>
    <w:basedOn w:val="DefaultParagraphFont"/>
    <w:link w:val="BalloonText"/>
    <w:rsid w:val="00D27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E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EA5"/>
    <w:rPr>
      <w:b/>
      <w:color w:val="660033"/>
      <w:spacing w:val="0"/>
    </w:rPr>
  </w:style>
  <w:style w:type="paragraph" w:customStyle="1" w:styleId="Nameditemlist">
    <w:name w:val="Named item list"/>
    <w:basedOn w:val="BodyText"/>
    <w:qFormat/>
    <w:rsid w:val="00D27EA5"/>
    <w:pPr>
      <w:tabs>
        <w:tab w:val="left" w:pos="2835"/>
      </w:tabs>
      <w:ind w:left="2835" w:hanging="2835"/>
    </w:pPr>
  </w:style>
  <w:style w:type="paragraph" w:customStyle="1" w:styleId="BodyTextnopadding">
    <w:name w:val="Body Text no padding"/>
    <w:basedOn w:val="BodyText"/>
    <w:qFormat/>
    <w:rsid w:val="00D27EA5"/>
    <w:pPr>
      <w:spacing w:before="0" w:after="0"/>
    </w:pPr>
  </w:style>
  <w:style w:type="paragraph" w:customStyle="1" w:styleId="BodyTextBold">
    <w:name w:val="Body Text Bold"/>
    <w:basedOn w:val="BodyText"/>
    <w:qFormat/>
    <w:rsid w:val="00D27EA5"/>
    <w:rPr>
      <w:b/>
    </w:rPr>
  </w:style>
  <w:style w:type="character" w:styleId="Hyperlink">
    <w:name w:val="Hyperlink"/>
    <w:basedOn w:val="DefaultParagraphFont"/>
    <w:uiPriority w:val="99"/>
    <w:unhideWhenUsed/>
    <w:rsid w:val="00A84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6295</Characters>
  <Application>Microsoft Office Word</Application>
  <DocSecurity>0</DocSecurity>
  <Lines>203</Lines>
  <Paragraphs>111</Paragraphs>
  <ScaleCrop>false</ScaleCrop>
  <Company>Author-it Software Corporation Ltd.</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HLTTHE001 Handle and care for operating theatre equipment</dc:title>
  <dc:subject>Approved</dc:subject>
  <dc:creator>HumanAbility</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