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0E1" w:rsidP="005A30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HLTSTE008 Monitor quality of cleaning, sterilisation and packaging processes</w:t>
      </w:r>
      <w:r>
        <w:fldChar w:fldCharType="end"/>
      </w:r>
    </w:p>
    <w:p w:rsidR="005A30E1" w:rsidP="005A30E1">
      <w:pPr>
        <w:pStyle w:val="Version"/>
        <w:sectPr w:rsidSect="004E5C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C1E" w:rsidP="004E5C1E">
      <w:pPr>
        <w:pStyle w:val="SuperHeading"/>
      </w:pPr>
      <w:r w:rsidRPr="004E5C1E">
        <w:t>Assessment Requirements for HLTSTE008 Monitor quality of cleaning, sterilisation and packaging processes</w:t>
      </w:r>
    </w:p>
    <w:p w:rsidR="00000000" w:rsidRPr="004E5C1E" w:rsidP="004E5C1E">
      <w:pPr>
        <w:pStyle w:val="Heading1"/>
      </w:pPr>
      <w:bookmarkStart w:id="1" w:name="O_744699"/>
      <w:bookmarkEnd w:id="1"/>
      <w:r w:rsidRPr="004E5C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E5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C1E" w:rsidP="004E5C1E">
            <w:pPr>
              <w:pStyle w:val="BodyText"/>
            </w:pPr>
            <w:r w:rsidRPr="004E5C1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C1E">
            <w:pPr>
              <w:pStyle w:val="BodyText"/>
              <w:rPr>
                <w:lang w:val="en-NZ"/>
              </w:rPr>
            </w:pPr>
            <w:r w:rsidRPr="004E5C1E">
              <w:rPr>
                <w:rStyle w:val="SpecialBold"/>
              </w:rPr>
              <w:t>Comments</w:t>
            </w:r>
          </w:p>
        </w:tc>
      </w:tr>
      <w:tr w:rsidTr="004E5C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C1E">
            <w:pPr>
              <w:pStyle w:val="BodyText"/>
              <w:rPr>
                <w:lang w:val="en-NZ"/>
              </w:rPr>
            </w:pPr>
            <w:r w:rsidRPr="004E5C1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C1E" w:rsidP="004E5C1E">
            <w:pPr>
              <w:pStyle w:val="BodyText"/>
            </w:pPr>
            <w:r w:rsidRPr="004E5C1E">
              <w:t xml:space="preserve">This version was released in </w:t>
            </w:r>
            <w:r w:rsidRPr="004E5C1E">
              <w:rPr>
                <w:rStyle w:val="Emphasis"/>
              </w:rPr>
              <w:t>HLT Health Training Package release 2.0</w:t>
            </w:r>
            <w:r w:rsidRPr="004E5C1E">
              <w:t xml:space="preserve"> and meets the requirements of the 2012 Standards for Training Packages.</w:t>
            </w:r>
          </w:p>
          <w:p w:rsidR="00000000" w:rsidRPr="004E5C1E" w:rsidP="004E5C1E">
            <w:pPr>
              <w:pStyle w:val="BodyText"/>
            </w:pPr>
            <w:r w:rsidRPr="004E5C1E">
              <w:t>Merged HLTSTE409C//HLTSTE410B. Significant changes to the elements and performance criteria. New evidence requirements for assessment, including volume and frequency requirements. Sig</w:t>
            </w:r>
            <w:r w:rsidRPr="004E5C1E">
              <w:t>nificant change to knowledge evidence. Removed prerequisites.</w:t>
            </w:r>
          </w:p>
        </w:tc>
      </w:tr>
    </w:tbl>
    <w:p w:rsidR="005A30E1" w:rsidP="004E5C1E">
      <w:pPr>
        <w:pStyle w:val="BodyText"/>
      </w:pPr>
    </w:p>
    <w:p w:rsidR="005A30E1" w:rsidP="004E5C1E">
      <w:pPr>
        <w:pStyle w:val="BodyText"/>
      </w:pPr>
    </w:p>
    <w:p w:rsidR="00000000" w:rsidRPr="004E5C1E" w:rsidP="004E5C1E">
      <w:pPr>
        <w:pStyle w:val="Heading1"/>
      </w:pPr>
      <w:bookmarkStart w:id="2" w:name="O_744700"/>
      <w:bookmarkEnd w:id="2"/>
      <w:r w:rsidRPr="004E5C1E">
        <w:t>Performance Evidence</w:t>
      </w:r>
    </w:p>
    <w:p w:rsidR="00000000" w:rsidRPr="004E5C1E" w:rsidP="005A30E1">
      <w:pPr>
        <w:pStyle w:val="BodyText"/>
      </w:pPr>
      <w:r w:rsidRPr="004E5C1E">
        <w:t>The candidate must show evidence of the ability to complete tasks outlined in elements and performance criteria of this unit, manage tasks and manage con</w:t>
      </w:r>
      <w:r w:rsidRPr="004E5C1E">
        <w:t>tingencies in the context of the job role. There must be evidence that the candidate has:</w:t>
      </w:r>
    </w:p>
    <w:p w:rsidR="00000000" w:rsidRPr="004E5C1E" w:rsidP="004E5C1E">
      <w:pPr>
        <w:pStyle w:val="ListBullet"/>
      </w:pPr>
      <w:r w:rsidRPr="004E5C1E">
        <w:t>contributed to the development and use of monitoring programs according to national standards for at least 2 types of cleaning processes</w:t>
      </w:r>
    </w:p>
    <w:p w:rsidR="00000000" w:rsidRPr="004E5C1E" w:rsidP="004E5C1E">
      <w:pPr>
        <w:pStyle w:val="ListBullet"/>
      </w:pPr>
      <w:r w:rsidRPr="004E5C1E">
        <w:t>contributed to the development and use of monitoring programs according to national standards for both a packaging process and a sterilisation process, including:</w:t>
      </w:r>
    </w:p>
    <w:p w:rsidR="00000000" w:rsidRPr="004E5C1E" w:rsidP="004E5C1E">
      <w:pPr>
        <w:pStyle w:val="ListBullet2"/>
      </w:pPr>
      <w:r w:rsidRPr="004E5C1E">
        <w:t>documented risk analysis</w:t>
      </w:r>
    </w:p>
    <w:p w:rsidR="00000000" w:rsidRPr="004E5C1E" w:rsidP="004E5C1E">
      <w:pPr>
        <w:pStyle w:val="ListBullet2"/>
      </w:pPr>
      <w:r w:rsidRPr="004E5C1E">
        <w:t>process verification systems</w:t>
      </w:r>
    </w:p>
    <w:p w:rsidR="00000000" w:rsidRPr="004E5C1E" w:rsidP="004E5C1E">
      <w:pPr>
        <w:pStyle w:val="ListBullet2"/>
      </w:pPr>
      <w:r w:rsidRPr="004E5C1E">
        <w:t>record keeping systems</w:t>
      </w:r>
    </w:p>
    <w:p w:rsidR="00000000" w:rsidRPr="004E5C1E" w:rsidP="004E5C1E">
      <w:pPr>
        <w:pStyle w:val="ListBullet2"/>
      </w:pPr>
      <w:r w:rsidRPr="004E5C1E">
        <w:t>work instructio</w:t>
      </w:r>
      <w:r w:rsidRPr="004E5C1E">
        <w:t>ns for monitoring processes</w:t>
      </w:r>
    </w:p>
    <w:p w:rsidR="00000000" w:rsidRPr="004E5C1E" w:rsidP="004E5C1E">
      <w:pPr>
        <w:pStyle w:val="ListBullet"/>
      </w:pPr>
      <w:r w:rsidRPr="004E5C1E">
        <w:t>evaluated incidences of non-compliance and contributed to appropriate responses</w:t>
      </w:r>
    </w:p>
    <w:p w:rsidR="00000000" w:rsidRPr="004E5C1E" w:rsidP="004E5C1E">
      <w:pPr>
        <w:pStyle w:val="AllowPageBreak"/>
      </w:pPr>
    </w:p>
    <w:p w:rsidR="00000000" w:rsidRPr="004E5C1E" w:rsidP="004E5C1E">
      <w:pPr>
        <w:pStyle w:val="Heading1"/>
      </w:pPr>
      <w:bookmarkStart w:id="3" w:name="O_744701"/>
      <w:bookmarkEnd w:id="3"/>
      <w:r w:rsidRPr="004E5C1E">
        <w:t>Knowledge Evidence</w:t>
      </w:r>
    </w:p>
    <w:p w:rsidR="00000000" w:rsidRPr="004E5C1E" w:rsidP="005A30E1">
      <w:pPr>
        <w:pStyle w:val="BodyText"/>
      </w:pPr>
      <w:r w:rsidRPr="004E5C1E">
        <w:t>The candidate must be able to demonstrate essential knowledge required to effectively complete tasks outlined i</w:t>
      </w:r>
      <w:r w:rsidRPr="004E5C1E">
        <w:t>n elements and performance criteria of this unit, manage tasks and manage contingencies in the context of the work role. This includes knowledge of:</w:t>
      </w:r>
    </w:p>
    <w:p w:rsidR="00000000" w:rsidRPr="004E5C1E" w:rsidP="004E5C1E">
      <w:pPr>
        <w:pStyle w:val="ListBullet"/>
      </w:pPr>
      <w:r w:rsidRPr="004E5C1E">
        <w:t>testing systems requirements for cleaning, packaging, sterilisation and storage according to relevant stan</w:t>
      </w:r>
      <w:r w:rsidRPr="004E5C1E">
        <w:t>dards</w:t>
      </w:r>
    </w:p>
    <w:p w:rsidR="00000000" w:rsidRPr="004E5C1E" w:rsidP="004E5C1E">
      <w:pPr>
        <w:pStyle w:val="ListBullet"/>
      </w:pPr>
      <w:r w:rsidRPr="004E5C1E">
        <w:t>administration and record keeping requirements for testing, monitoring and maintenance</w:t>
      </w:r>
    </w:p>
    <w:p w:rsidR="00000000" w:rsidRPr="004E5C1E" w:rsidP="004E5C1E">
      <w:pPr>
        <w:pStyle w:val="ListBullet"/>
      </w:pPr>
      <w:r w:rsidRPr="004E5C1E">
        <w:t>types of process problems that occur, reasons for these occurring and ways to resolve them</w:t>
      </w:r>
    </w:p>
    <w:p w:rsidR="00000000" w:rsidRPr="004E5C1E" w:rsidP="004E5C1E">
      <w:pPr>
        <w:pStyle w:val="ListBullet"/>
      </w:pPr>
      <w:r w:rsidRPr="004E5C1E">
        <w:t>risk control solutions and how these are implemented</w:t>
      </w:r>
    </w:p>
    <w:p w:rsidR="00000000" w:rsidRPr="004E5C1E" w:rsidP="004E5C1E">
      <w:pPr>
        <w:pStyle w:val="ListBullet"/>
      </w:pPr>
      <w:r w:rsidRPr="004E5C1E">
        <w:t>scope of job role a</w:t>
      </w:r>
      <w:r w:rsidRPr="004E5C1E">
        <w:t>nd delegation and escalation within scope of job role</w:t>
      </w:r>
    </w:p>
    <w:p w:rsidR="00000000" w:rsidRPr="004E5C1E" w:rsidP="004E5C1E">
      <w:pPr>
        <w:pStyle w:val="AllowPageBreak"/>
      </w:pPr>
    </w:p>
    <w:p w:rsidR="00000000" w:rsidRPr="004E5C1E" w:rsidP="004E5C1E">
      <w:pPr>
        <w:pStyle w:val="Heading1"/>
      </w:pPr>
      <w:bookmarkStart w:id="4" w:name="O_744702"/>
      <w:bookmarkEnd w:id="4"/>
      <w:r w:rsidRPr="004E5C1E">
        <w:t>Assessment Conditions</w:t>
      </w:r>
    </w:p>
    <w:p w:rsidR="00000000" w:rsidRPr="004E5C1E" w:rsidP="005A30E1">
      <w:pPr>
        <w:pStyle w:val="BodyText"/>
      </w:pPr>
      <w:r w:rsidRPr="004E5C1E">
        <w:t xml:space="preserve">Skills must have been demonstrated in the workplace or in a simulated environment that reflects workplace conditions. The following conditions must be </w:t>
      </w:r>
      <w:r w:rsidRPr="004E5C1E">
        <w:t xml:space="preserve">met for this unit: </w:t>
      </w:r>
    </w:p>
    <w:p w:rsidR="00000000" w:rsidRPr="004E5C1E" w:rsidP="004E5C1E">
      <w:pPr>
        <w:pStyle w:val="ListBullet"/>
      </w:pPr>
      <w:r w:rsidRPr="004E5C1E">
        <w:t xml:space="preserve">use of suitable facilities, equipment and resources, including: </w:t>
      </w:r>
    </w:p>
    <w:p w:rsidR="00000000" w:rsidRPr="004E5C1E" w:rsidP="004E5C1E">
      <w:pPr>
        <w:pStyle w:val="ListBullet2"/>
      </w:pPr>
      <w:r w:rsidRPr="004E5C1E">
        <w:t>test manufacturer’s recommendations</w:t>
      </w:r>
    </w:p>
    <w:p w:rsidR="00000000" w:rsidRPr="004E5C1E" w:rsidP="004E5C1E">
      <w:pPr>
        <w:pStyle w:val="ListBullet2"/>
      </w:pPr>
      <w:r w:rsidRPr="004E5C1E">
        <w:t>work instructions</w:t>
      </w:r>
    </w:p>
    <w:p w:rsidR="00000000" w:rsidRPr="004E5C1E" w:rsidP="004E5C1E">
      <w:pPr>
        <w:pStyle w:val="ListBullet2"/>
      </w:pPr>
      <w:r w:rsidRPr="004E5C1E">
        <w:t>maintenance records</w:t>
      </w:r>
    </w:p>
    <w:p w:rsidR="00000000" w:rsidRPr="004E5C1E" w:rsidP="004E5C1E">
      <w:pPr>
        <w:pStyle w:val="ListBullet2"/>
      </w:pPr>
      <w:r w:rsidRPr="004E5C1E">
        <w:t>AS/NZS 4187 standards</w:t>
      </w:r>
    </w:p>
    <w:p w:rsidR="00000000" w:rsidRPr="004E5C1E" w:rsidP="004E5C1E">
      <w:pPr>
        <w:pStyle w:val="BodyText"/>
      </w:pPr>
    </w:p>
    <w:p w:rsidR="00000000" w:rsidRPr="004E5C1E" w:rsidP="005A30E1">
      <w:pPr>
        <w:pStyle w:val="BodyText"/>
      </w:pPr>
      <w:r w:rsidRPr="004E5C1E">
        <w:t>Assessors must satisfy the Standards for Registered Training Organisatio</w:t>
      </w:r>
      <w:r w:rsidRPr="004E5C1E">
        <w:t>ns (RTOs) 2015/AQTF mandatory competency requirements for assessors</w:t>
      </w:r>
    </w:p>
    <w:p w:rsidR="00000000" w:rsidRPr="004E5C1E" w:rsidP="004E5C1E">
      <w:pPr>
        <w:pStyle w:val="Heading1"/>
      </w:pPr>
      <w:bookmarkStart w:id="5" w:name="O_744705"/>
      <w:bookmarkEnd w:id="5"/>
      <w:r w:rsidRPr="004E5C1E">
        <w:t>Links</w:t>
      </w:r>
    </w:p>
    <w:p w:rsidR="00000000" w:rsidRPr="004E5C1E" w:rsidP="005A30E1">
      <w:pPr>
        <w:pStyle w:val="BodyText"/>
      </w:pPr>
      <w:r w:rsidRPr="004E5C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607A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E5C1E" w:rsidP="004E5C1E"/>
    <w:sectPr w:rsidSect="004E5C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C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C1E" w:rsidRPr="005A30E1" w:rsidP="005A30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C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E1" w:rsidP="004E5C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30E1" w:rsidP="004E5C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30E1" w:rsidP="004E5C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C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C1E" w:rsidRPr="005A30E1" w:rsidP="005A30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C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0E1" w:rsidRPr="002D2AF8" w:rsidP="004E5C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HLTSTE008 Monitor quality of cleaning, sterilisation and packaging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A30E1" w:rsidP="004E5C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78A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FA5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43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C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C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C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C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C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C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C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C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C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C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C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C1E"/>
  </w:style>
  <w:style w:type="character" w:customStyle="1" w:styleId="Heading1Char">
    <w:name w:val="Heading 1 Char"/>
    <w:basedOn w:val="DefaultParagraphFont"/>
    <w:link w:val="Heading1"/>
    <w:rsid w:val="004E5C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C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C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C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C1E"/>
    <w:rPr>
      <w:b/>
      <w:spacing w:val="0"/>
    </w:rPr>
  </w:style>
  <w:style w:type="paragraph" w:styleId="ListBullet2">
    <w:name w:val="List Bullet 2"/>
    <w:basedOn w:val="List2"/>
    <w:rsid w:val="004E5C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5C1E"/>
    <w:rPr>
      <w:i/>
    </w:rPr>
  </w:style>
  <w:style w:type="paragraph" w:customStyle="1" w:styleId="SuperHeading">
    <w:name w:val="SuperHeading"/>
    <w:basedOn w:val="Normal"/>
    <w:rsid w:val="004E5C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C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C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C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C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C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C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C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C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C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C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C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C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C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C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C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C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C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C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C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C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C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C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C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C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C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C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C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C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C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C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C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C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C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C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C1E"/>
  </w:style>
  <w:style w:type="paragraph" w:styleId="TableofFigures">
    <w:name w:val="table of figures"/>
    <w:basedOn w:val="Normal"/>
    <w:next w:val="Normal"/>
    <w:semiHidden/>
    <w:rsid w:val="004E5C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C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5C1E"/>
    <w:rPr>
      <w:rFonts w:ascii="Wingdings" w:hAnsi="Wingdings"/>
    </w:rPr>
  </w:style>
  <w:style w:type="paragraph" w:customStyle="1" w:styleId="TableHeading">
    <w:name w:val="Table Heading"/>
    <w:basedOn w:val="HeadingBase"/>
    <w:rsid w:val="004E5C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C1E"/>
    <w:rPr>
      <w:color w:val="0033CC"/>
      <w:u w:val="none"/>
    </w:rPr>
  </w:style>
  <w:style w:type="paragraph" w:customStyle="1" w:styleId="BodyTextRight">
    <w:name w:val="Body Text Right"/>
    <w:basedOn w:val="BodyText"/>
    <w:rsid w:val="004E5C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C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C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C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C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C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C1E"/>
    <w:rPr>
      <w:sz w:val="32"/>
    </w:rPr>
  </w:style>
  <w:style w:type="paragraph" w:customStyle="1" w:styleId="HeadingProcedure">
    <w:name w:val="Heading Procedure"/>
    <w:basedOn w:val="HeadingBase"/>
    <w:next w:val="Normal"/>
    <w:rsid w:val="004E5C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C1E"/>
    <w:pPr>
      <w:spacing w:before="60" w:after="60"/>
    </w:pPr>
  </w:style>
  <w:style w:type="paragraph" w:styleId="ListContinue">
    <w:name w:val="List Continue"/>
    <w:basedOn w:val="List"/>
    <w:rsid w:val="004E5C1E"/>
    <w:pPr>
      <w:ind w:firstLine="0"/>
    </w:pPr>
  </w:style>
  <w:style w:type="paragraph" w:customStyle="1" w:styleId="ListNote">
    <w:name w:val="List Note"/>
    <w:basedOn w:val="List"/>
    <w:rsid w:val="004E5C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C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C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C1E"/>
    <w:rPr>
      <w:rFonts w:ascii="Courier New" w:hAnsi="Courier New"/>
    </w:rPr>
  </w:style>
  <w:style w:type="paragraph" w:customStyle="1" w:styleId="NoteBullet">
    <w:name w:val="Note Bullet"/>
    <w:basedOn w:val="Note"/>
    <w:rsid w:val="004E5C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C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C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C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C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C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C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C1E"/>
    <w:rPr>
      <w:b/>
      <w:smallCaps/>
    </w:rPr>
  </w:style>
  <w:style w:type="paragraph" w:customStyle="1" w:styleId="TableListNumber">
    <w:name w:val="Table List Number"/>
    <w:basedOn w:val="ListNumber"/>
    <w:rsid w:val="004E5C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C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C1E"/>
    <w:pPr>
      <w:numPr>
        <w:numId w:val="9"/>
      </w:numPr>
    </w:pPr>
  </w:style>
  <w:style w:type="paragraph" w:customStyle="1" w:styleId="ListAlpha2">
    <w:name w:val="List Alpha 2"/>
    <w:basedOn w:val="List2"/>
    <w:rsid w:val="004E5C1E"/>
    <w:pPr>
      <w:numPr>
        <w:numId w:val="8"/>
      </w:numPr>
    </w:pPr>
  </w:style>
  <w:style w:type="paragraph" w:styleId="List2">
    <w:name w:val="List 2"/>
    <w:basedOn w:val="BodyText"/>
    <w:rsid w:val="004E5C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C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C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C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C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C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C1E"/>
    <w:pPr>
      <w:numPr>
        <w:numId w:val="4"/>
      </w:numPr>
    </w:pPr>
  </w:style>
  <w:style w:type="paragraph" w:styleId="ListContinue2">
    <w:name w:val="List Continue 2"/>
    <w:basedOn w:val="List2"/>
    <w:rsid w:val="004E5C1E"/>
    <w:pPr>
      <w:ind w:firstLine="0"/>
    </w:pPr>
  </w:style>
  <w:style w:type="paragraph" w:styleId="ListContinue3">
    <w:name w:val="List Continue 3"/>
    <w:basedOn w:val="List3"/>
    <w:rsid w:val="004E5C1E"/>
    <w:pPr>
      <w:ind w:left="1021" w:firstLine="0"/>
    </w:pPr>
  </w:style>
  <w:style w:type="paragraph" w:styleId="ListContinue4">
    <w:name w:val="List Continue 4"/>
    <w:basedOn w:val="List4"/>
    <w:rsid w:val="004E5C1E"/>
    <w:pPr>
      <w:ind w:firstLine="0"/>
    </w:pPr>
  </w:style>
  <w:style w:type="paragraph" w:styleId="ListContinue5">
    <w:name w:val="List Continue 5"/>
    <w:basedOn w:val="List5"/>
    <w:rsid w:val="004E5C1E"/>
    <w:pPr>
      <w:ind w:firstLine="0"/>
    </w:pPr>
  </w:style>
  <w:style w:type="paragraph" w:styleId="ListNumber3">
    <w:name w:val="List Number 3"/>
    <w:basedOn w:val="List3"/>
    <w:rsid w:val="004E5C1E"/>
    <w:pPr>
      <w:numPr>
        <w:numId w:val="5"/>
      </w:numPr>
    </w:pPr>
  </w:style>
  <w:style w:type="paragraph" w:styleId="ListNumber4">
    <w:name w:val="List Number 4"/>
    <w:basedOn w:val="List4"/>
    <w:rsid w:val="004E5C1E"/>
    <w:pPr>
      <w:numPr>
        <w:numId w:val="6"/>
      </w:numPr>
    </w:pPr>
  </w:style>
  <w:style w:type="paragraph" w:styleId="ListNumber5">
    <w:name w:val="List Number 5"/>
    <w:basedOn w:val="List5"/>
    <w:rsid w:val="004E5C1E"/>
    <w:pPr>
      <w:numPr>
        <w:numId w:val="7"/>
      </w:numPr>
    </w:pPr>
  </w:style>
  <w:style w:type="paragraph" w:styleId="BlockText">
    <w:name w:val="Block Text"/>
    <w:basedOn w:val="Normal"/>
    <w:rsid w:val="004E5C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C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C1E"/>
    <w:rPr>
      <w:sz w:val="16"/>
      <w:vertAlign w:val="superscript"/>
    </w:rPr>
  </w:style>
  <w:style w:type="character" w:customStyle="1" w:styleId="Symbols">
    <w:name w:val="Symbols"/>
    <w:basedOn w:val="DefaultParagraphFont"/>
    <w:rsid w:val="004E5C1E"/>
    <w:rPr>
      <w:rFonts w:ascii="Symbol" w:hAnsi="Symbol"/>
    </w:rPr>
  </w:style>
  <w:style w:type="character" w:customStyle="1" w:styleId="MenuOptions">
    <w:name w:val="Menu Options"/>
    <w:basedOn w:val="DefaultParagraphFont"/>
    <w:rsid w:val="004E5C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C1E"/>
    <w:rPr>
      <w:b/>
    </w:rPr>
  </w:style>
  <w:style w:type="character" w:customStyle="1" w:styleId="Underlined">
    <w:name w:val="Underlined"/>
    <w:basedOn w:val="DefaultParagraphFont"/>
    <w:rsid w:val="004E5C1E"/>
    <w:rPr>
      <w:u w:val="single"/>
    </w:rPr>
  </w:style>
  <w:style w:type="paragraph" w:customStyle="1" w:styleId="TableBodyTextRight">
    <w:name w:val="Table Body Text Right"/>
    <w:basedOn w:val="TableBodyText"/>
    <w:rsid w:val="004E5C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C1E"/>
    <w:rPr>
      <w:sz w:val="18"/>
    </w:rPr>
  </w:style>
  <w:style w:type="paragraph" w:customStyle="1" w:styleId="BodySmallRight">
    <w:name w:val="Body Small Right"/>
    <w:basedOn w:val="BodyTextRight"/>
    <w:rsid w:val="004E5C1E"/>
    <w:rPr>
      <w:sz w:val="18"/>
      <w:szCs w:val="18"/>
    </w:rPr>
  </w:style>
  <w:style w:type="paragraph" w:customStyle="1" w:styleId="MarginEdition">
    <w:name w:val="Margin Edition"/>
    <w:basedOn w:val="MarginNote"/>
    <w:rsid w:val="004E5C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C1E"/>
    <w:rPr>
      <w:sz w:val="2"/>
      <w:szCs w:val="2"/>
    </w:rPr>
  </w:style>
  <w:style w:type="character" w:customStyle="1" w:styleId="Small">
    <w:name w:val="Small"/>
    <w:basedOn w:val="DefaultParagraphFont"/>
    <w:rsid w:val="004E5C1E"/>
    <w:rPr>
      <w:sz w:val="16"/>
    </w:rPr>
  </w:style>
  <w:style w:type="paragraph" w:customStyle="1" w:styleId="WideTable">
    <w:name w:val="Wide Table"/>
    <w:basedOn w:val="Normal"/>
    <w:rsid w:val="004E5C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C1E"/>
  </w:style>
  <w:style w:type="paragraph" w:styleId="Quote">
    <w:name w:val="Quote"/>
    <w:basedOn w:val="Heading1"/>
    <w:link w:val="QuoteChar"/>
    <w:qFormat/>
    <w:rsid w:val="004E5C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C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C1E"/>
    <w:pPr>
      <w:pageBreakBefore/>
    </w:pPr>
  </w:style>
  <w:style w:type="paragraph" w:customStyle="1" w:styleId="Border">
    <w:name w:val="Border"/>
    <w:basedOn w:val="Normal"/>
    <w:qFormat/>
    <w:rsid w:val="004E5C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C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C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C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C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C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C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C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C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C1E"/>
    <w:rPr>
      <w:u w:val="single"/>
    </w:rPr>
  </w:style>
  <w:style w:type="character" w:customStyle="1" w:styleId="BoldandItalics">
    <w:name w:val="Bold and Italics"/>
    <w:qFormat/>
    <w:rsid w:val="004E5C1E"/>
    <w:rPr>
      <w:b/>
      <w:i/>
      <w:u w:val="none"/>
    </w:rPr>
  </w:style>
  <w:style w:type="paragraph" w:styleId="BalloonText">
    <w:name w:val="Balloon Text"/>
    <w:basedOn w:val="Normal"/>
    <w:link w:val="BalloonTextChar"/>
    <w:rsid w:val="004E5C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C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C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C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C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C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C1E"/>
    <w:pPr>
      <w:spacing w:before="0" w:after="0"/>
    </w:pPr>
  </w:style>
  <w:style w:type="paragraph" w:customStyle="1" w:styleId="BodyTextBold">
    <w:name w:val="Body Text Bold"/>
    <w:basedOn w:val="BodyText"/>
    <w:qFormat/>
    <w:rsid w:val="004E5C1E"/>
    <w:rPr>
      <w:b/>
    </w:rPr>
  </w:style>
  <w:style w:type="character" w:styleId="Hyperlink">
    <w:name w:val="Hyperlink"/>
    <w:basedOn w:val="DefaultParagraphFont"/>
    <w:uiPriority w:val="99"/>
    <w:unhideWhenUsed/>
    <w:rsid w:val="005A30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2554</Characters>
  <Application>Microsoft Office Word</Application>
  <DocSecurity>0</DocSecurity>
  <Lines>67</Lines>
  <Paragraphs>42</Paragraphs>
  <ScaleCrop>false</ScaleCrop>
  <Company>Author-it Software Corporation Ltd.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HLTSTE008 Monitor quality of cleaning, sterilisation and packaging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2023-07-02T02:56:00Z</dcterms:created>
  <dcterms:modified xsi:type="dcterms:W3CDTF">2023-07-02T02:56:00Z</dcterms:modified>
</cp:coreProperties>
</file>