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136" w:rsidP="00006136">
      <w:pPr>
        <w:pStyle w:val="Title"/>
      </w:pPr>
      <w:r>
        <w:fldChar w:fldCharType="begin"/>
      </w:r>
      <w:r>
        <w:instrText xml:space="preserve"> TITLE   \* MERGEFORMAT </w:instrText>
      </w:r>
      <w:r>
        <w:fldChar w:fldCharType="separate"/>
      </w:r>
      <w:r>
        <w:t>HLTSTE003 Sterilise loads</w:t>
      </w:r>
      <w:r>
        <w:fldChar w:fldCharType="end"/>
      </w:r>
    </w:p>
    <w:p w:rsidR="00006136" w:rsidP="00006136">
      <w:pPr>
        <w:pStyle w:val="Version"/>
        <w:sectPr w:rsidSect="00322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2E0C" w:rsidP="00322E0C">
      <w:pPr>
        <w:pStyle w:val="SuperHeading"/>
      </w:pPr>
      <w:r w:rsidRPr="00322E0C">
        <w:t>HLTSTE003 Sterilise loads</w:t>
      </w:r>
    </w:p>
    <w:p w:rsidR="00000000" w:rsidRPr="00322E0C" w:rsidP="00322E0C">
      <w:pPr>
        <w:pStyle w:val="Heading1"/>
      </w:pPr>
      <w:bookmarkStart w:id="1" w:name="O_1210550"/>
      <w:bookmarkEnd w:id="1"/>
      <w:r w:rsidRPr="00322E0C">
        <w:t>Modification History</w:t>
      </w:r>
    </w:p>
    <w:tbl>
      <w:tblPr>
        <w:tblW w:w="0" w:type="auto"/>
        <w:tblLayout w:type="fixed"/>
        <w:tblCellMar>
          <w:left w:w="62" w:type="dxa"/>
          <w:right w:w="62" w:type="dxa"/>
        </w:tblCellMar>
        <w:tblLook w:val="0000"/>
      </w:tblPr>
      <w:tblGrid>
        <w:gridCol w:w="2250"/>
        <w:gridCol w:w="6884"/>
      </w:tblGrid>
      <w:tr w:rsidTr="0000613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rPr>
                <w:rStyle w:val="SpecialBold"/>
              </w:rPr>
              <w:t>Comments</w:t>
            </w:r>
          </w:p>
        </w:tc>
      </w:tr>
      <w:tr w:rsidTr="00006136">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Release 2</w:t>
            </w:r>
          </w:p>
        </w:tc>
        <w:tc>
          <w:tcPr>
            <w:tcW w:w="6884"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Minor change. Correction of typographical error. Equivalent outcome.</w:t>
            </w:r>
          </w:p>
        </w:tc>
      </w:tr>
      <w:tr w:rsidTr="00006136">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Release 1</w:t>
            </w:r>
          </w:p>
        </w:tc>
        <w:tc>
          <w:tcPr>
            <w:tcW w:w="6884"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 xml:space="preserve">This version was released in </w:t>
            </w:r>
            <w:r w:rsidRPr="00322E0C">
              <w:rPr>
                <w:rStyle w:val="Emphasis"/>
              </w:rPr>
              <w:t>HLT Health Training Package release 2.0</w:t>
            </w:r>
            <w:r w:rsidRPr="00322E0C">
              <w:t xml:space="preserve"> and meets the requirements of the 2012 Standards for Train</w:t>
            </w:r>
            <w:r w:rsidRPr="00322E0C">
              <w:t>ing Packages.</w:t>
            </w:r>
          </w:p>
          <w:p w:rsidR="00000000" w:rsidRPr="00322E0C" w:rsidP="00322E0C">
            <w:pPr>
              <w:pStyle w:val="BodyText"/>
            </w:pPr>
            <w:r w:rsidRPr="00322E0C">
              <w:t>Significant changes to the elements and performance criteria. New evidence requirements for assessment, including volume and frequency requirements. Significant change to knowledge evidence. Removed prerequisite.</w:t>
            </w:r>
          </w:p>
        </w:tc>
      </w:tr>
    </w:tbl>
    <w:p w:rsidR="00000000" w:rsidRPr="00322E0C" w:rsidP="00322E0C">
      <w:pPr>
        <w:pStyle w:val="BodyText"/>
      </w:pPr>
    </w:p>
    <w:p w:rsidR="00000000" w:rsidRPr="00322E0C" w:rsidP="00322E0C">
      <w:pPr>
        <w:pStyle w:val="AllowPageBreak"/>
      </w:pPr>
    </w:p>
    <w:p w:rsidR="00000000" w:rsidRPr="00322E0C" w:rsidP="00322E0C">
      <w:pPr>
        <w:pStyle w:val="Heading1"/>
      </w:pPr>
      <w:bookmarkStart w:id="2" w:name="O_1210549"/>
      <w:bookmarkEnd w:id="2"/>
      <w:r w:rsidRPr="00322E0C">
        <w:t>Applicat</w:t>
      </w:r>
      <w:r w:rsidRPr="00322E0C">
        <w:t>ion</w:t>
      </w:r>
    </w:p>
    <w:p w:rsidR="00000000" w:rsidRPr="00322E0C" w:rsidP="00006136">
      <w:pPr>
        <w:pStyle w:val="BodyText"/>
      </w:pPr>
      <w:r w:rsidRPr="00322E0C">
        <w:t>This unit of competency describes the skills and knowledge required to follow correct procedures to select and operate sterilisation equipment, interpret steriliser function and parameters in the provision of sterilised reusable medical devices, approp</w:t>
      </w:r>
      <w:r w:rsidRPr="00322E0C">
        <w:t>riately load items for sterilisation, and to release sterilised items for distribution. This competency unit does not deal with ethylene oxide sterilisation.</w:t>
      </w:r>
    </w:p>
    <w:p w:rsidR="00000000" w:rsidRPr="00322E0C" w:rsidP="00006136">
      <w:pPr>
        <w:pStyle w:val="BodyText"/>
      </w:pPr>
      <w:r w:rsidRPr="00322E0C">
        <w:t>This unit applies to individ</w:t>
      </w:r>
      <w:r w:rsidRPr="00322E0C">
        <w:t>uals working under general supervision and within established procedures in a range of health service organisations, including hospitals and specialist sterilisation facilities.</w:t>
      </w:r>
    </w:p>
    <w:p w:rsidR="00000000" w:rsidRPr="00006136" w:rsidP="00006136">
      <w:pPr>
        <w:pStyle w:val="BodyText"/>
        <w:rPr>
          <w:i/>
        </w:rPr>
      </w:pPr>
      <w:r w:rsidRPr="00006136">
        <w:rPr>
          <w:rStyle w:val="Emphasis"/>
        </w:rPr>
        <w:t>The skills in this unit must be applied in accordance with Commonwealth and S</w:t>
      </w:r>
      <w:r w:rsidRPr="00006136">
        <w:rPr>
          <w:rStyle w:val="Emphasis"/>
        </w:rPr>
        <w:t>tate/Territory legislation, Australian/New Zealand standards and industry codes of practice</w:t>
      </w:r>
      <w:r w:rsidRPr="00006136">
        <w:rPr>
          <w:i/>
        </w:rPr>
        <w:t>.</w:t>
      </w:r>
    </w:p>
    <w:p w:rsidR="00000000" w:rsidRPr="00322E0C" w:rsidP="00322E0C">
      <w:pPr>
        <w:pStyle w:val="Heading1"/>
      </w:pPr>
      <w:bookmarkStart w:id="3" w:name="O_1210548"/>
      <w:bookmarkEnd w:id="3"/>
      <w:r w:rsidRPr="00322E0C">
        <w:t>Elements and Performance Criteria</w:t>
      </w:r>
    </w:p>
    <w:tbl>
      <w:tblPr>
        <w:tblW w:w="0" w:type="auto"/>
        <w:tblLayout w:type="fixed"/>
        <w:tblCellMar>
          <w:left w:w="62" w:type="dxa"/>
          <w:right w:w="62" w:type="dxa"/>
        </w:tblCellMar>
        <w:tblLook w:val="0000"/>
      </w:tblPr>
      <w:tblGrid>
        <w:gridCol w:w="2880"/>
        <w:gridCol w:w="6083"/>
      </w:tblGrid>
      <w:tr w:rsidTr="00322E0C">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322E0C">
            <w:pPr>
              <w:pStyle w:val="BodyTextBold"/>
              <w:rPr>
                <w:lang w:val="en-NZ"/>
              </w:rPr>
            </w:pPr>
            <w:r w:rsidRPr="00322E0C">
              <w:t>ELEMENT</w:t>
            </w:r>
          </w:p>
        </w:tc>
        <w:tc>
          <w:tcPr>
            <w:tcW w:w="6083" w:type="dxa"/>
            <w:tcBorders>
              <w:top w:val="nil"/>
              <w:left w:val="nil"/>
              <w:bottom w:val="nil"/>
              <w:right w:val="nil"/>
            </w:tcBorders>
            <w:tcMar>
              <w:top w:w="0" w:type="dxa"/>
              <w:left w:w="62" w:type="dxa"/>
              <w:bottom w:w="0" w:type="dxa"/>
              <w:right w:w="62" w:type="dxa"/>
            </w:tcMar>
          </w:tcPr>
          <w:p w:rsidR="00000000" w:rsidP="00322E0C">
            <w:pPr>
              <w:pStyle w:val="BodyTextBold"/>
              <w:rPr>
                <w:lang w:val="en-NZ"/>
              </w:rPr>
            </w:pPr>
            <w:r w:rsidRPr="00322E0C">
              <w:t>PERFORMANCE CRITERIA</w:t>
            </w:r>
          </w:p>
        </w:tc>
      </w:tr>
      <w:tr w:rsidTr="00322E0C">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rPr>
                <w:rStyle w:val="Emphasis"/>
              </w:rPr>
              <w:t xml:space="preserve">Elements define the essential </w:t>
            </w:r>
            <w:r w:rsidRPr="00322E0C">
              <w:t>outcomes</w:t>
            </w:r>
          </w:p>
        </w:tc>
        <w:tc>
          <w:tcPr>
            <w:tcW w:w="6083"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rPr>
                <w:rStyle w:val="Emphasis"/>
              </w:rPr>
              <w:t>Performance criteria describe the perform</w:t>
            </w:r>
            <w:r w:rsidRPr="00322E0C">
              <w:rPr>
                <w:rStyle w:val="Emphasis"/>
              </w:rPr>
              <w:t>ance required to demonstrate achievement of the element</w:t>
            </w:r>
          </w:p>
        </w:tc>
      </w:tr>
      <w:tr w:rsidTr="00322E0C">
        <w:tblPrEx>
          <w:tblW w:w="0" w:type="auto"/>
          <w:tblLayout w:type="fixed"/>
          <w:tblCellMar>
            <w:left w:w="62" w:type="dxa"/>
            <w:right w:w="62" w:type="dxa"/>
          </w:tblCellMar>
          <w:tblLook w:val="0000"/>
        </w:tblPrEx>
        <w:trPr>
          <w:trHeight w:val="2409"/>
        </w:trPr>
        <w:tc>
          <w:tcPr>
            <w:tcW w:w="288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1. Prepare sterilisation equipment.</w:t>
            </w:r>
          </w:p>
        </w:tc>
        <w:tc>
          <w:tcPr>
            <w:tcW w:w="6083"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 xml:space="preserve">1.1. Clean and check steriliser, and accessory equipment according to manufacturer’s recommendations. </w:t>
            </w:r>
          </w:p>
          <w:p w:rsidR="00000000" w:rsidRPr="00322E0C" w:rsidP="00322E0C">
            <w:pPr>
              <w:pStyle w:val="BodyText"/>
            </w:pPr>
            <w:r w:rsidRPr="00322E0C">
              <w:t xml:space="preserve">1.2. Conduct, interpret and record performance test cycles. </w:t>
            </w:r>
          </w:p>
          <w:p w:rsidR="00000000" w:rsidP="00322E0C">
            <w:pPr>
              <w:pStyle w:val="BodyText"/>
              <w:rPr>
                <w:lang w:val="en-NZ"/>
              </w:rPr>
            </w:pPr>
            <w:r w:rsidRPr="00322E0C">
              <w:t>1.3. Interpret and accurately document results from physical and chemical tests.</w:t>
            </w:r>
          </w:p>
        </w:tc>
      </w:tr>
      <w:tr w:rsidTr="00322E0C">
        <w:tblPrEx>
          <w:tblW w:w="0" w:type="auto"/>
          <w:tblLayout w:type="fixed"/>
          <w:tblCellMar>
            <w:left w:w="62" w:type="dxa"/>
            <w:right w:w="62" w:type="dxa"/>
          </w:tblCellMar>
          <w:tblLook w:val="0000"/>
        </w:tblPrEx>
        <w:trPr>
          <w:trHeight w:val="5203"/>
        </w:trPr>
        <w:tc>
          <w:tcPr>
            <w:tcW w:w="288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2. Load steriliser.</w:t>
            </w:r>
          </w:p>
        </w:tc>
        <w:tc>
          <w:tcPr>
            <w:tcW w:w="6083"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2.1. Select sterilisation method according to reusable medical devices (RMD) manufacturer requirements.</w:t>
            </w:r>
          </w:p>
          <w:p w:rsidR="00000000" w:rsidRPr="00322E0C" w:rsidP="00322E0C">
            <w:pPr>
              <w:pStyle w:val="BodyText"/>
            </w:pPr>
            <w:r w:rsidRPr="00322E0C">
              <w:t>2.2. Assign appropriate cycle and batch control number and complete documentation correctly.</w:t>
            </w:r>
          </w:p>
          <w:p w:rsidR="00000000" w:rsidRPr="00322E0C" w:rsidP="00322E0C">
            <w:pPr>
              <w:pStyle w:val="BodyText"/>
            </w:pPr>
            <w:r w:rsidRPr="00322E0C">
              <w:t>2.3. Check packaging, sealing and labelling for compatibility with organisation policies and procedures.</w:t>
            </w:r>
          </w:p>
          <w:p w:rsidR="00000000" w:rsidRPr="00322E0C" w:rsidP="00322E0C">
            <w:pPr>
              <w:pStyle w:val="BodyText"/>
            </w:pPr>
            <w:r w:rsidRPr="00322E0C">
              <w:t>2.4. Check load content and configuration for compliance w</w:t>
            </w:r>
            <w:r w:rsidRPr="00322E0C">
              <w:t>ith annual steriliser performance qualification.</w:t>
            </w:r>
          </w:p>
          <w:p w:rsidR="00000000" w:rsidRPr="00322E0C" w:rsidP="00322E0C">
            <w:pPr>
              <w:pStyle w:val="BodyText"/>
            </w:pPr>
            <w:r w:rsidRPr="00322E0C">
              <w:t>2.5. Load steriliser to ensure sterilant contact and according to manufacturer’s recommendations.</w:t>
            </w:r>
          </w:p>
          <w:p w:rsidR="00000000" w:rsidP="00322E0C">
            <w:pPr>
              <w:pStyle w:val="BodyText"/>
              <w:rPr>
                <w:lang w:val="en-NZ"/>
              </w:rPr>
            </w:pPr>
            <w:r w:rsidRPr="00322E0C">
              <w:t>2.6 Add additional test items such as biological indicator or process challenge device according to organisat</w:t>
            </w:r>
            <w:r w:rsidRPr="00322E0C">
              <w:t>ion protocol.</w:t>
            </w:r>
          </w:p>
        </w:tc>
      </w:tr>
      <w:tr w:rsidTr="00322E0C">
        <w:tblPrEx>
          <w:tblW w:w="0" w:type="auto"/>
          <w:tblLayout w:type="fixed"/>
          <w:tblCellMar>
            <w:left w:w="62" w:type="dxa"/>
            <w:right w:w="62" w:type="dxa"/>
          </w:tblCellMar>
          <w:tblLook w:val="0000"/>
        </w:tblPrEx>
        <w:trPr>
          <w:trHeight w:val="3318"/>
        </w:trPr>
        <w:tc>
          <w:tcPr>
            <w:tcW w:w="288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3. Operate steriliser.</w:t>
            </w:r>
          </w:p>
        </w:tc>
        <w:tc>
          <w:tcPr>
            <w:tcW w:w="6083"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 xml:space="preserve">3.1. Check steriliser function for sterilant availability. </w:t>
            </w:r>
          </w:p>
          <w:p w:rsidR="00000000" w:rsidRPr="00322E0C" w:rsidP="00322E0C">
            <w:pPr>
              <w:pStyle w:val="BodyText"/>
            </w:pPr>
            <w:r w:rsidRPr="00322E0C">
              <w:t>3.2. Check function of physical process recording accessories.</w:t>
            </w:r>
          </w:p>
          <w:p w:rsidR="00000000" w:rsidRPr="00322E0C" w:rsidP="00322E0C">
            <w:pPr>
              <w:pStyle w:val="BodyText"/>
            </w:pPr>
            <w:r w:rsidRPr="00322E0C">
              <w:t>3.3. Select appropriate cycle in accordance with organisation policies and procedures.</w:t>
            </w:r>
          </w:p>
          <w:p w:rsidR="00000000" w:rsidP="00322E0C">
            <w:pPr>
              <w:pStyle w:val="BodyText"/>
              <w:rPr>
                <w:lang w:val="en-NZ"/>
              </w:rPr>
            </w:pPr>
            <w:r w:rsidRPr="00322E0C">
              <w:t>3.4. Ide</w:t>
            </w:r>
            <w:r w:rsidRPr="00322E0C">
              <w:t>ntify, report and action faults according to manufacturer’s recommendations and organisation policies and procedures.</w:t>
            </w:r>
          </w:p>
        </w:tc>
      </w:tr>
      <w:tr w:rsidTr="00322E0C">
        <w:tblPrEx>
          <w:tblW w:w="0" w:type="auto"/>
          <w:tblLayout w:type="fixed"/>
          <w:tblCellMar>
            <w:left w:w="62" w:type="dxa"/>
            <w:right w:w="62" w:type="dxa"/>
          </w:tblCellMar>
          <w:tblLook w:val="0000"/>
        </w:tblPrEx>
        <w:trPr>
          <w:trHeight w:val="4759"/>
        </w:trPr>
        <w:tc>
          <w:tcPr>
            <w:tcW w:w="288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4. Unload and release sterilised loads.</w:t>
            </w:r>
          </w:p>
        </w:tc>
        <w:tc>
          <w:tcPr>
            <w:tcW w:w="6083"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4.1. Check and interpret sterilisation cycle parameters and chemical monitors, and record results on completion of cycle.</w:t>
            </w:r>
          </w:p>
          <w:p w:rsidR="00000000" w:rsidRPr="00322E0C" w:rsidP="00322E0C">
            <w:pPr>
              <w:pStyle w:val="BodyText"/>
            </w:pPr>
            <w:r w:rsidRPr="00322E0C">
              <w:t>4.2. Remove sterilised load immediately on completion of cycle.</w:t>
            </w:r>
          </w:p>
          <w:p w:rsidR="00000000" w:rsidRPr="00322E0C" w:rsidP="00322E0C">
            <w:pPr>
              <w:pStyle w:val="BodyText"/>
            </w:pPr>
            <w:r w:rsidRPr="00322E0C">
              <w:t>4.3. Remove compromised items, dismantle for reprocessing and record d</w:t>
            </w:r>
            <w:r w:rsidRPr="00322E0C">
              <w:t>etails.</w:t>
            </w:r>
          </w:p>
          <w:p w:rsidR="00000000" w:rsidRPr="00322E0C" w:rsidP="00322E0C">
            <w:pPr>
              <w:pStyle w:val="BodyText"/>
            </w:pPr>
            <w:r w:rsidRPr="00322E0C">
              <w:t xml:space="preserve">4.4. Unload cooled load using appropriate handling techniques. </w:t>
            </w:r>
          </w:p>
          <w:p w:rsidR="00000000" w:rsidRPr="00322E0C" w:rsidP="00322E0C">
            <w:pPr>
              <w:pStyle w:val="BodyText"/>
            </w:pPr>
            <w:r w:rsidRPr="00322E0C">
              <w:t>4.5. Complete documentation of the sterilising cycle for parametric release.</w:t>
            </w:r>
          </w:p>
          <w:p w:rsidR="00000000" w:rsidRPr="00322E0C" w:rsidP="00322E0C">
            <w:pPr>
              <w:pStyle w:val="BodyText"/>
            </w:pPr>
            <w:r w:rsidRPr="00322E0C">
              <w:t>4.6. Check and document additional load release tests.</w:t>
            </w:r>
          </w:p>
          <w:p w:rsidR="00000000" w:rsidP="00322E0C">
            <w:pPr>
              <w:pStyle w:val="BodyText"/>
              <w:rPr>
                <w:lang w:val="en-NZ"/>
              </w:rPr>
            </w:pPr>
            <w:r w:rsidRPr="00322E0C">
              <w:t>4.7. If used, incubate and check results of biologic</w:t>
            </w:r>
            <w:r w:rsidRPr="00322E0C">
              <w:t>al indicators.</w:t>
            </w:r>
          </w:p>
        </w:tc>
      </w:tr>
      <w:tr w:rsidTr="00322E0C">
        <w:tblPrEx>
          <w:tblW w:w="0" w:type="auto"/>
          <w:tblLayout w:type="fixed"/>
          <w:tblCellMar>
            <w:left w:w="62" w:type="dxa"/>
            <w:right w:w="62" w:type="dxa"/>
          </w:tblCellMar>
          <w:tblLook w:val="0000"/>
        </w:tblPrEx>
        <w:trPr>
          <w:trHeight w:val="3058"/>
        </w:trPr>
        <w:tc>
          <w:tcPr>
            <w:tcW w:w="2880"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t>5. Comply with quality management requirements.</w:t>
            </w:r>
          </w:p>
        </w:tc>
        <w:tc>
          <w:tcPr>
            <w:tcW w:w="6083"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 xml:space="preserve">5.1. Adhere to operational monitoring and testing, performance qualification and maintenance of sterilisers and associated equipment. </w:t>
            </w:r>
          </w:p>
          <w:p w:rsidR="00000000" w:rsidRPr="00322E0C" w:rsidP="00322E0C">
            <w:pPr>
              <w:pStyle w:val="BodyText"/>
            </w:pPr>
            <w:r w:rsidRPr="00322E0C">
              <w:t>5.2. Comply with documentation requirements for sterilisi</w:t>
            </w:r>
            <w:r w:rsidRPr="00322E0C">
              <w:t>ng cycles, batch control and load release control.</w:t>
            </w:r>
          </w:p>
          <w:p w:rsidR="00000000" w:rsidRPr="00322E0C" w:rsidP="00322E0C">
            <w:pPr>
              <w:pStyle w:val="BodyText"/>
            </w:pPr>
            <w:r w:rsidRPr="00322E0C">
              <w:t>5.3. Report and document all steriliser faults/malfunction and load non-conformance/non-compliance.</w:t>
            </w:r>
          </w:p>
          <w:p w:rsidR="00000000" w:rsidRPr="00322E0C" w:rsidP="00322E0C">
            <w:pPr>
              <w:pStyle w:val="BodyText"/>
            </w:pPr>
            <w:r w:rsidRPr="00322E0C">
              <w:t>5.4. Store and archive documentation in accordance with organisation policies and procedures.</w:t>
            </w:r>
          </w:p>
        </w:tc>
      </w:tr>
    </w:tbl>
    <w:p w:rsidR="00000000" w:rsidRPr="00322E0C" w:rsidP="00322E0C">
      <w:pPr>
        <w:pStyle w:val="BodyText"/>
      </w:pPr>
    </w:p>
    <w:p w:rsidR="00000000" w:rsidRPr="00322E0C" w:rsidP="00322E0C">
      <w:pPr>
        <w:pStyle w:val="AllowPageBreak"/>
      </w:pPr>
    </w:p>
    <w:p w:rsidR="00000000" w:rsidRPr="00322E0C" w:rsidP="00322E0C">
      <w:pPr>
        <w:pStyle w:val="Heading1"/>
      </w:pPr>
      <w:bookmarkStart w:id="4" w:name="O_1210547"/>
      <w:bookmarkEnd w:id="4"/>
      <w:r w:rsidRPr="00322E0C">
        <w:t>Foundation Skills</w:t>
      </w:r>
    </w:p>
    <w:tbl>
      <w:tblPr>
        <w:tblW w:w="0" w:type="auto"/>
        <w:tblLayout w:type="fixed"/>
        <w:tblCellMar>
          <w:left w:w="62" w:type="dxa"/>
          <w:right w:w="62" w:type="dxa"/>
        </w:tblCellMar>
        <w:tblLook w:val="0000"/>
      </w:tblPr>
      <w:tblGrid>
        <w:gridCol w:w="8964"/>
      </w:tblGrid>
      <w:tr w:rsidTr="00322E0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22E0C">
            <w:pPr>
              <w:pStyle w:val="BodyText"/>
              <w:rPr>
                <w:lang w:val="en-NZ"/>
              </w:rPr>
            </w:pPr>
            <w:r w:rsidRPr="00322E0C">
              <w:rPr>
                <w:rStyle w:val="Emphasis"/>
              </w:rPr>
              <w:t xml:space="preserve">The Foundation Skills describe those required skills (language, literacy, numeracy and employment </w:t>
            </w:r>
            <w:r w:rsidRPr="00322E0C">
              <w:t xml:space="preserve">skills) that are essential </w:t>
            </w:r>
            <w:r w:rsidRPr="00322E0C">
              <w:rPr>
                <w:rStyle w:val="Emphasis"/>
              </w:rPr>
              <w:t>to performance.</w:t>
            </w:r>
          </w:p>
        </w:tc>
      </w:tr>
      <w:tr w:rsidTr="00322E0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22E0C" w:rsidP="00322E0C">
            <w:pPr>
              <w:pStyle w:val="BodyText"/>
            </w:pPr>
            <w:r w:rsidRPr="00322E0C">
              <w:t>Foundation skills essential to performance are explicit in the performance cri</w:t>
            </w:r>
            <w:r w:rsidRPr="00322E0C">
              <w:t>teria of this unit of competency.</w:t>
            </w:r>
          </w:p>
        </w:tc>
      </w:tr>
    </w:tbl>
    <w:p w:rsidR="00006136" w:rsidP="00322E0C">
      <w:pPr>
        <w:pStyle w:val="BodyText"/>
      </w:pPr>
    </w:p>
    <w:p w:rsidR="00006136" w:rsidP="00322E0C">
      <w:pPr>
        <w:pStyle w:val="BodyText"/>
      </w:pPr>
    </w:p>
    <w:p w:rsidR="00000000" w:rsidRPr="00322E0C" w:rsidP="00322E0C">
      <w:pPr>
        <w:pStyle w:val="Heading1"/>
      </w:pPr>
      <w:bookmarkStart w:id="5" w:name="O_1210546"/>
      <w:bookmarkEnd w:id="5"/>
      <w:r w:rsidRPr="00322E0C">
        <w:t>Unit Mapping Information</w:t>
      </w:r>
    </w:p>
    <w:p w:rsidR="00000000" w:rsidRPr="00322E0C" w:rsidP="00006136">
      <w:pPr>
        <w:pStyle w:val="BodyText"/>
      </w:pPr>
      <w:r w:rsidRPr="00322E0C">
        <w:t xml:space="preserve">This version was released in </w:t>
      </w:r>
      <w:r w:rsidRPr="00322E0C">
        <w:rPr>
          <w:rStyle w:val="Emphasis"/>
        </w:rPr>
        <w:t>HLT Health Training Package release 2.0</w:t>
      </w:r>
      <w:r w:rsidRPr="00322E0C">
        <w:t xml:space="preserve"> and meets the requirements of the 2012 Standards for Training Packages.</w:t>
      </w:r>
    </w:p>
    <w:p w:rsidR="00000000" w:rsidRPr="00322E0C" w:rsidP="00006136">
      <w:pPr>
        <w:pStyle w:val="BodyText"/>
      </w:pPr>
      <w:r w:rsidRPr="00322E0C">
        <w:t>Significant changes to the element</w:t>
      </w:r>
      <w:r w:rsidRPr="00322E0C">
        <w:t xml:space="preserve">s and performance criteria. New evidence requirements for assessment, including volume and frequency requirements. </w:t>
      </w:r>
    </w:p>
    <w:p w:rsidR="00000000" w:rsidRPr="00322E0C" w:rsidP="00006136">
      <w:pPr>
        <w:pStyle w:val="BodyText"/>
      </w:pPr>
      <w:r w:rsidRPr="00322E0C">
        <w:t>Significant change to knowledge evidence. Removed prerequisite.</w:t>
      </w:r>
    </w:p>
    <w:p w:rsidR="00000000" w:rsidRPr="00322E0C" w:rsidP="00322E0C">
      <w:pPr>
        <w:pStyle w:val="Heading1"/>
      </w:pPr>
      <w:bookmarkStart w:id="6" w:name="O_1210551"/>
      <w:bookmarkEnd w:id="6"/>
      <w:r w:rsidRPr="00322E0C">
        <w:t>Links</w:t>
      </w:r>
    </w:p>
    <w:p w:rsidR="00000000" w:rsidRPr="00322E0C" w:rsidP="00006136">
      <w:pPr>
        <w:pStyle w:val="BodyText"/>
      </w:pPr>
      <w:r w:rsidRPr="00322E0C">
        <w:t>Companion Volume implementation guides are found in</w:t>
      </w:r>
      <w:r w:rsidRPr="00322E0C">
        <w:t xml:space="preserve"> VETNet - </w:t>
      </w:r>
      <w:r>
        <w:fldChar w:fldCharType="begin"/>
      </w:r>
      <w:r>
        <w:instrText xml:space="preserve"> HYPERLINK "https://vetnet.gov.au/Pages/TrainingDocs.aspx?q=ced1390f-48d9-4ab0-bd50-b015e5485705" </w:instrText>
      </w:r>
      <w:r>
        <w:fldChar w:fldCharType="separate"/>
      </w:r>
      <w:r w:rsidRPr="00E13CA4">
        <w:rPr>
          <w:rStyle w:val="Hyperlink"/>
        </w:rPr>
        <w:t>https://vetnet.gov.au/Pages/TrainingDocs.aspx?q=ced1390f-48d9-4ab0-bd50-b015e5485705</w:t>
      </w:r>
      <w:r>
        <w:fldChar w:fldCharType="end"/>
      </w:r>
    </w:p>
    <w:p w:rsidR="00000000" w:rsidRPr="00322E0C" w:rsidP="00322E0C"/>
    <w:sectPr w:rsidSect="00322E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C" w:rsidRPr="00006136" w:rsidP="00006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6" w:rsidP="00322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136" w:rsidP="00322E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06136" w:rsidP="00322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E0C" w:rsidRPr="00006136" w:rsidP="000061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6" w:rsidRPr="002D2AF8" w:rsidP="00322E0C">
    <w:pPr>
      <w:pStyle w:val="Header"/>
      <w:framePr w:wrap="around"/>
    </w:pPr>
    <w:r>
      <w:fldChar w:fldCharType="begin"/>
    </w:r>
    <w:r>
      <w:instrText xml:space="preserve"> TITLE   \* MERGEFORMAT </w:instrText>
    </w:r>
    <w:r>
      <w:fldChar w:fldCharType="separate"/>
    </w:r>
    <w:r>
      <w:t>HLTSTE003 Sterilise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06136" w:rsidP="00322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E0C"/>
    <w:pPr>
      <w:spacing w:before="360" w:after="60"/>
      <w:outlineLvl w:val="0"/>
    </w:pPr>
    <w:rPr>
      <w:sz w:val="32"/>
    </w:rPr>
  </w:style>
  <w:style w:type="paragraph" w:styleId="Heading2">
    <w:name w:val="heading 2"/>
    <w:basedOn w:val="HeadingBase"/>
    <w:next w:val="BodyText"/>
    <w:link w:val="Heading2Char"/>
    <w:qFormat/>
    <w:rsid w:val="00322E0C"/>
    <w:pPr>
      <w:keepLines/>
      <w:spacing w:before="240" w:after="120"/>
      <w:outlineLvl w:val="1"/>
    </w:pPr>
    <w:rPr>
      <w:sz w:val="28"/>
      <w:szCs w:val="40"/>
    </w:rPr>
  </w:style>
  <w:style w:type="paragraph" w:styleId="Heading3">
    <w:name w:val="heading 3"/>
    <w:basedOn w:val="HeadingBase"/>
    <w:next w:val="BodyText"/>
    <w:link w:val="Heading3Char"/>
    <w:qFormat/>
    <w:rsid w:val="00322E0C"/>
    <w:pPr>
      <w:spacing w:before="180" w:after="120"/>
      <w:outlineLvl w:val="2"/>
    </w:pPr>
    <w:rPr>
      <w:spacing w:val="-10"/>
      <w:kern w:val="32"/>
    </w:rPr>
  </w:style>
  <w:style w:type="paragraph" w:styleId="Heading4">
    <w:name w:val="heading 4"/>
    <w:basedOn w:val="HeadingBase"/>
    <w:next w:val="BodyText"/>
    <w:link w:val="Heading4Char"/>
    <w:qFormat/>
    <w:rsid w:val="00322E0C"/>
    <w:pPr>
      <w:spacing w:before="160" w:after="120"/>
      <w:outlineLvl w:val="3"/>
    </w:pPr>
    <w:rPr>
      <w:sz w:val="22"/>
    </w:rPr>
  </w:style>
  <w:style w:type="paragraph" w:styleId="Heading5">
    <w:name w:val="heading 5"/>
    <w:basedOn w:val="HeadingBase"/>
    <w:next w:val="Normal"/>
    <w:link w:val="Heading5Char"/>
    <w:qFormat/>
    <w:rsid w:val="00322E0C"/>
    <w:pPr>
      <w:spacing w:before="80"/>
      <w:outlineLvl w:val="4"/>
    </w:pPr>
    <w:rPr>
      <w:color w:val="918585"/>
      <w:sz w:val="20"/>
    </w:rPr>
  </w:style>
  <w:style w:type="paragraph" w:styleId="Heading6">
    <w:name w:val="heading 6"/>
    <w:basedOn w:val="HeadingBase"/>
    <w:next w:val="Normal"/>
    <w:link w:val="Heading6Char"/>
    <w:qFormat/>
    <w:rsid w:val="00322E0C"/>
    <w:pPr>
      <w:spacing w:before="60"/>
      <w:outlineLvl w:val="5"/>
    </w:pPr>
    <w:rPr>
      <w:color w:val="918585"/>
      <w:sz w:val="20"/>
    </w:rPr>
  </w:style>
  <w:style w:type="paragraph" w:styleId="Heading7">
    <w:name w:val="heading 7"/>
    <w:basedOn w:val="Normal"/>
    <w:next w:val="Normal"/>
    <w:link w:val="Heading7Char"/>
    <w:qFormat/>
    <w:rsid w:val="00322E0C"/>
    <w:pPr>
      <w:ind w:left="720"/>
      <w:outlineLvl w:val="6"/>
    </w:pPr>
    <w:rPr>
      <w:i/>
    </w:rPr>
  </w:style>
  <w:style w:type="paragraph" w:styleId="Heading8">
    <w:name w:val="heading 8"/>
    <w:basedOn w:val="Normal"/>
    <w:next w:val="Normal"/>
    <w:link w:val="Heading8Char"/>
    <w:qFormat/>
    <w:rsid w:val="00322E0C"/>
    <w:pPr>
      <w:ind w:left="720"/>
      <w:outlineLvl w:val="7"/>
    </w:pPr>
    <w:rPr>
      <w:i/>
    </w:rPr>
  </w:style>
  <w:style w:type="paragraph" w:styleId="Heading9">
    <w:name w:val="heading 9"/>
    <w:basedOn w:val="Normal"/>
    <w:next w:val="Normal"/>
    <w:link w:val="Heading9Char"/>
    <w:qFormat/>
    <w:rsid w:val="00322E0C"/>
    <w:pPr>
      <w:ind w:left="720"/>
      <w:outlineLvl w:val="8"/>
    </w:pPr>
    <w:rPr>
      <w:i/>
    </w:rPr>
  </w:style>
  <w:style w:type="character" w:default="1" w:styleId="DefaultParagraphFont">
    <w:name w:val="Default Paragraph Font"/>
    <w:uiPriority w:val="1"/>
    <w:unhideWhenUsed/>
    <w:rsid w:val="00322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E0C"/>
  </w:style>
  <w:style w:type="character" w:customStyle="1" w:styleId="Heading1Char">
    <w:name w:val="Heading 1 Char"/>
    <w:basedOn w:val="DefaultParagraphFont"/>
    <w:link w:val="Heading1"/>
    <w:rsid w:val="00322E0C"/>
    <w:rPr>
      <w:rFonts w:ascii="Times New Roman" w:eastAsia="Times New Roman" w:hAnsi="Times New Roman" w:cs="Times New Roman"/>
      <w:b/>
      <w:sz w:val="32"/>
      <w:szCs w:val="20"/>
      <w:lang w:eastAsia="en-US"/>
    </w:rPr>
  </w:style>
  <w:style w:type="paragraph" w:styleId="BodyText">
    <w:name w:val="Body Text"/>
    <w:basedOn w:val="Normal"/>
    <w:link w:val="BodyTextChar"/>
    <w:rsid w:val="00322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E0C"/>
    <w:rPr>
      <w:rFonts w:ascii="Times New Roman" w:eastAsia="Times New Roman" w:hAnsi="Times New Roman" w:cs="Times New Roman"/>
      <w:sz w:val="24"/>
      <w:lang w:eastAsia="en-US"/>
    </w:rPr>
  </w:style>
  <w:style w:type="character" w:customStyle="1" w:styleId="SpecialBold">
    <w:name w:val="Special Bold"/>
    <w:basedOn w:val="DefaultParagraphFont"/>
    <w:rsid w:val="00322E0C"/>
    <w:rPr>
      <w:b/>
      <w:spacing w:val="0"/>
    </w:rPr>
  </w:style>
  <w:style w:type="character" w:styleId="Emphasis">
    <w:name w:val="Emphasis"/>
    <w:basedOn w:val="DefaultParagraphFont"/>
    <w:qFormat/>
    <w:rsid w:val="00322E0C"/>
    <w:rPr>
      <w:i/>
    </w:rPr>
  </w:style>
  <w:style w:type="paragraph" w:customStyle="1" w:styleId="SuperHeading">
    <w:name w:val="SuperHeading"/>
    <w:basedOn w:val="Normal"/>
    <w:rsid w:val="00322E0C"/>
    <w:pPr>
      <w:spacing w:before="240" w:after="120"/>
      <w:outlineLvl w:val="0"/>
    </w:pPr>
    <w:rPr>
      <w:rFonts w:ascii="Times New Roman" w:hAnsi="Times New Roman"/>
      <w:b/>
      <w:sz w:val="32"/>
    </w:rPr>
  </w:style>
  <w:style w:type="paragraph" w:customStyle="1" w:styleId="AllowPageBreak">
    <w:name w:val="AllowPageBreak"/>
    <w:rsid w:val="00322E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2E0C"/>
    <w:rPr>
      <w:b/>
    </w:rPr>
  </w:style>
  <w:style w:type="character" w:customStyle="1" w:styleId="Heading2Char">
    <w:name w:val="Heading 2 Char"/>
    <w:basedOn w:val="DefaultParagraphFont"/>
    <w:link w:val="Heading2"/>
    <w:rsid w:val="00322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E0C"/>
    <w:rPr>
      <w:rFonts w:ascii="Courier New" w:eastAsia="Times New Roman" w:hAnsi="Courier New" w:cs="Times New Roman"/>
      <w:i/>
      <w:szCs w:val="20"/>
      <w:lang w:eastAsia="en-US"/>
    </w:rPr>
  </w:style>
  <w:style w:type="paragraph" w:customStyle="1" w:styleId="HeadingBase">
    <w:name w:val="Heading Base"/>
    <w:rsid w:val="00322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E0C"/>
    <w:pPr>
      <w:tabs>
        <w:tab w:val="right" w:leader="dot" w:pos="9072"/>
      </w:tabs>
      <w:ind w:left="567"/>
    </w:pPr>
    <w:rPr>
      <w:szCs w:val="22"/>
    </w:rPr>
  </w:style>
  <w:style w:type="paragraph" w:customStyle="1" w:styleId="TOCBase">
    <w:name w:val="TOC Base"/>
    <w:rsid w:val="00322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E0C"/>
    <w:pPr>
      <w:tabs>
        <w:tab w:val="right" w:leader="dot" w:pos="9072"/>
      </w:tabs>
      <w:spacing w:before="40" w:after="40"/>
      <w:ind w:left="284"/>
    </w:pPr>
    <w:rPr>
      <w:rFonts w:ascii="Times New Roman" w:hAnsi="Times New Roman"/>
    </w:rPr>
  </w:style>
  <w:style w:type="paragraph" w:styleId="TOC1">
    <w:name w:val="toc 1"/>
    <w:basedOn w:val="TOCBase"/>
    <w:next w:val="Normal"/>
    <w:rsid w:val="00322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E0C"/>
    <w:rPr>
      <w:rFonts w:ascii="Times New Roman" w:eastAsia="Times New Roman" w:hAnsi="Times New Roman" w:cs="Times New Roman"/>
      <w:sz w:val="16"/>
      <w:lang w:eastAsia="en-US"/>
    </w:rPr>
  </w:style>
  <w:style w:type="paragraph" w:styleId="Title">
    <w:name w:val="Title"/>
    <w:basedOn w:val="HeadingBase"/>
    <w:link w:val="TitleChar"/>
    <w:qFormat/>
    <w:rsid w:val="00322E0C"/>
    <w:pPr>
      <w:spacing w:before="5040"/>
      <w:jc w:val="center"/>
    </w:pPr>
    <w:rPr>
      <w:sz w:val="48"/>
      <w:szCs w:val="72"/>
      <w:lang w:val="en-US"/>
    </w:rPr>
  </w:style>
  <w:style w:type="character" w:customStyle="1" w:styleId="TitleChar">
    <w:name w:val="Title Char"/>
    <w:basedOn w:val="DefaultParagraphFont"/>
    <w:link w:val="Title"/>
    <w:rsid w:val="00322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E0C"/>
    <w:pPr>
      <w:tabs>
        <w:tab w:val="left" w:pos="3600"/>
        <w:tab w:val="left" w:pos="3958"/>
      </w:tabs>
    </w:pPr>
  </w:style>
  <w:style w:type="paragraph" w:styleId="List">
    <w:name w:val="List"/>
    <w:basedOn w:val="BodyText"/>
    <w:next w:val="BodyText"/>
    <w:rsid w:val="00322E0C"/>
    <w:pPr>
      <w:tabs>
        <w:tab w:val="left" w:pos="340"/>
      </w:tabs>
      <w:spacing w:before="60" w:after="60"/>
      <w:ind w:left="340" w:hanging="340"/>
    </w:pPr>
  </w:style>
  <w:style w:type="paragraph" w:styleId="ListBullet">
    <w:name w:val="List Bullet"/>
    <w:basedOn w:val="List"/>
    <w:rsid w:val="00322E0C"/>
    <w:pPr>
      <w:numPr>
        <w:numId w:val="10"/>
      </w:numPr>
      <w:tabs>
        <w:tab w:val="clear" w:pos="340"/>
      </w:tabs>
      <w:spacing w:before="40" w:after="40"/>
    </w:pPr>
  </w:style>
  <w:style w:type="paragraph" w:customStyle="1" w:styleId="Note">
    <w:name w:val="Note"/>
    <w:basedOn w:val="BodyText"/>
    <w:rsid w:val="00322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E0C"/>
    <w:pPr>
      <w:framePr w:wrap="auto" w:hAnchor="text" w:y="6049"/>
    </w:pPr>
    <w:rPr>
      <w:color w:val="000000"/>
      <w:sz w:val="40"/>
    </w:rPr>
  </w:style>
  <w:style w:type="paragraph" w:customStyle="1" w:styleId="TOCTitle">
    <w:name w:val="TOCTitle"/>
    <w:basedOn w:val="Heading1"/>
    <w:rsid w:val="00322E0C"/>
    <w:pPr>
      <w:spacing w:after="240"/>
      <w:jc w:val="center"/>
      <w:outlineLvl w:val="9"/>
    </w:pPr>
    <w:rPr>
      <w:caps/>
    </w:rPr>
  </w:style>
  <w:style w:type="paragraph" w:customStyle="1" w:styleId="Version">
    <w:name w:val="Version"/>
    <w:rsid w:val="00322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E0C"/>
    <w:pPr>
      <w:numPr>
        <w:numId w:val="11"/>
      </w:numPr>
      <w:tabs>
        <w:tab w:val="clear" w:pos="680"/>
      </w:tabs>
    </w:pPr>
  </w:style>
  <w:style w:type="paragraph" w:styleId="Index1">
    <w:name w:val="index 1"/>
    <w:basedOn w:val="Normal"/>
    <w:next w:val="Normal"/>
    <w:semiHidden/>
    <w:rsid w:val="00322E0C"/>
    <w:pPr>
      <w:keepNext w:val="0"/>
      <w:tabs>
        <w:tab w:val="right" w:pos="4176"/>
      </w:tabs>
      <w:ind w:left="198" w:hanging="198"/>
    </w:pPr>
    <w:rPr>
      <w:rFonts w:ascii="Garamond" w:hAnsi="Garamond"/>
    </w:rPr>
  </w:style>
  <w:style w:type="paragraph" w:styleId="IndexHeading">
    <w:name w:val="index heading"/>
    <w:basedOn w:val="Normal"/>
    <w:next w:val="Index1"/>
    <w:semiHidden/>
    <w:rsid w:val="00322E0C"/>
    <w:pPr>
      <w:spacing w:before="120" w:after="120"/>
    </w:pPr>
    <w:rPr>
      <w:rFonts w:ascii="Arial" w:hAnsi="Arial"/>
      <w:b/>
      <w:color w:val="918585"/>
      <w:sz w:val="24"/>
    </w:rPr>
  </w:style>
  <w:style w:type="paragraph" w:styleId="Header">
    <w:name w:val="header"/>
    <w:basedOn w:val="Normal"/>
    <w:link w:val="HeaderChar"/>
    <w:rsid w:val="00322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E0C"/>
    <w:rPr>
      <w:rFonts w:ascii="Times New Roman" w:eastAsia="Times New Roman" w:hAnsi="Times New Roman" w:cs="Times New Roman"/>
      <w:sz w:val="16"/>
      <w:szCs w:val="20"/>
      <w:lang w:val="en-GB" w:eastAsia="en-US"/>
    </w:rPr>
  </w:style>
  <w:style w:type="paragraph" w:customStyle="1" w:styleId="Chapter">
    <w:name w:val="Chapter"/>
    <w:basedOn w:val="Normal"/>
    <w:rsid w:val="00322E0C"/>
    <w:pPr>
      <w:spacing w:before="240"/>
    </w:pPr>
    <w:rPr>
      <w:rFonts w:ascii="Times New Roman" w:hAnsi="Times New Roman"/>
      <w:smallCaps/>
      <w:spacing w:val="80"/>
      <w:sz w:val="28"/>
    </w:rPr>
  </w:style>
  <w:style w:type="paragraph" w:customStyle="1" w:styleId="InChapter">
    <w:name w:val="InChapter"/>
    <w:basedOn w:val="Heading3"/>
    <w:rsid w:val="00322E0C"/>
    <w:pPr>
      <w:spacing w:after="240"/>
      <w:outlineLvl w:val="9"/>
    </w:pPr>
    <w:rPr>
      <w:noProof/>
    </w:rPr>
  </w:style>
  <w:style w:type="paragraph" w:styleId="Index2">
    <w:name w:val="index 2"/>
    <w:basedOn w:val="Normal"/>
    <w:next w:val="Normal"/>
    <w:semiHidden/>
    <w:rsid w:val="00322E0C"/>
    <w:pPr>
      <w:tabs>
        <w:tab w:val="right" w:pos="4176"/>
      </w:tabs>
      <w:ind w:left="568" w:hanging="284"/>
    </w:pPr>
    <w:rPr>
      <w:rFonts w:ascii="Garamond" w:hAnsi="Garamond"/>
    </w:rPr>
  </w:style>
  <w:style w:type="paragraph" w:customStyle="1" w:styleId="Byline">
    <w:name w:val="Byline"/>
    <w:rsid w:val="00322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E0C"/>
    <w:pPr>
      <w:tabs>
        <w:tab w:val="clear" w:pos="3600"/>
        <w:tab w:val="clear" w:pos="3958"/>
      </w:tabs>
      <w:jc w:val="right"/>
    </w:pPr>
  </w:style>
  <w:style w:type="paragraph" w:styleId="Caption">
    <w:name w:val="caption"/>
    <w:basedOn w:val="BodyText"/>
    <w:next w:val="Normal"/>
    <w:qFormat/>
    <w:rsid w:val="00322E0C"/>
    <w:pPr>
      <w:framePr w:w="2268" w:hSpace="181" w:vSpace="181" w:wrap="around" w:vAnchor="text" w:hAnchor="page" w:x="1135" w:y="285" w:anchorLock="1"/>
    </w:pPr>
    <w:rPr>
      <w:i/>
    </w:rPr>
  </w:style>
  <w:style w:type="paragraph" w:customStyle="1" w:styleId="MiniTOCTitle">
    <w:name w:val="MiniTOCTitle"/>
    <w:basedOn w:val="Heading4"/>
    <w:rsid w:val="00322E0C"/>
    <w:pPr>
      <w:spacing w:before="240"/>
      <w:outlineLvl w:val="9"/>
    </w:pPr>
    <w:rPr>
      <w:noProof/>
      <w:sz w:val="24"/>
    </w:rPr>
  </w:style>
  <w:style w:type="paragraph" w:customStyle="1" w:styleId="MiniTOCItem">
    <w:name w:val="MiniTOCItem"/>
    <w:basedOn w:val="ListBullet"/>
    <w:rsid w:val="00322E0C"/>
    <w:pPr>
      <w:numPr>
        <w:numId w:val="0"/>
      </w:numPr>
      <w:tabs>
        <w:tab w:val="right" w:leader="dot" w:pos="6521"/>
      </w:tabs>
      <w:spacing w:before="0" w:after="0"/>
    </w:pPr>
  </w:style>
  <w:style w:type="paragraph" w:customStyle="1" w:styleId="TOFTitle">
    <w:name w:val="TOFTitle"/>
    <w:basedOn w:val="TOCTitle"/>
    <w:rsid w:val="00322E0C"/>
  </w:style>
  <w:style w:type="paragraph" w:styleId="TableofFigures">
    <w:name w:val="table of figures"/>
    <w:basedOn w:val="Normal"/>
    <w:next w:val="Normal"/>
    <w:semiHidden/>
    <w:rsid w:val="00322E0C"/>
    <w:pPr>
      <w:tabs>
        <w:tab w:val="right" w:leader="dot" w:pos="9072"/>
      </w:tabs>
      <w:ind w:left="970" w:hanging="403"/>
    </w:pPr>
    <w:rPr>
      <w:rFonts w:ascii="Times New Roman" w:hAnsi="Times New Roman"/>
      <w:b/>
    </w:rPr>
  </w:style>
  <w:style w:type="paragraph" w:styleId="ListNumber">
    <w:name w:val="List Number"/>
    <w:basedOn w:val="List"/>
    <w:rsid w:val="00322E0C"/>
    <w:pPr>
      <w:numPr>
        <w:numId w:val="13"/>
      </w:numPr>
      <w:tabs>
        <w:tab w:val="clear" w:pos="340"/>
      </w:tabs>
    </w:pPr>
  </w:style>
  <w:style w:type="character" w:customStyle="1" w:styleId="WingdingSymbols">
    <w:name w:val="Wingding Symbols"/>
    <w:rsid w:val="00322E0C"/>
    <w:rPr>
      <w:rFonts w:ascii="Wingdings" w:hAnsi="Wingdings"/>
    </w:rPr>
  </w:style>
  <w:style w:type="paragraph" w:customStyle="1" w:styleId="TableHeading">
    <w:name w:val="Table Heading"/>
    <w:basedOn w:val="HeadingBase"/>
    <w:rsid w:val="00322E0C"/>
    <w:pPr>
      <w:keepLines/>
      <w:pBdr>
        <w:bottom w:val="single" w:sz="6" w:space="1" w:color="918585"/>
      </w:pBdr>
      <w:spacing w:before="240"/>
    </w:pPr>
  </w:style>
  <w:style w:type="character" w:customStyle="1" w:styleId="HotSpot">
    <w:name w:val="HotSpot"/>
    <w:rsid w:val="00322E0C"/>
    <w:rPr>
      <w:color w:val="0033CC"/>
      <w:u w:val="none"/>
    </w:rPr>
  </w:style>
  <w:style w:type="paragraph" w:customStyle="1" w:styleId="BodyTextRight">
    <w:name w:val="Body Text Right"/>
    <w:basedOn w:val="BodyText"/>
    <w:rsid w:val="00322E0C"/>
    <w:pPr>
      <w:spacing w:before="0" w:after="0"/>
      <w:jc w:val="right"/>
    </w:pPr>
  </w:style>
  <w:style w:type="paragraph" w:styleId="Index3">
    <w:name w:val="index 3"/>
    <w:basedOn w:val="ListNumber2"/>
    <w:next w:val="Normal"/>
    <w:semiHidden/>
    <w:rsid w:val="00322E0C"/>
    <w:pPr>
      <w:numPr>
        <w:numId w:val="0"/>
      </w:numPr>
      <w:tabs>
        <w:tab w:val="right" w:leader="dot" w:pos="4176"/>
      </w:tabs>
    </w:pPr>
  </w:style>
  <w:style w:type="paragraph" w:styleId="ListNumber2">
    <w:name w:val="List Number 2"/>
    <w:basedOn w:val="List2"/>
    <w:rsid w:val="00322E0C"/>
    <w:pPr>
      <w:numPr>
        <w:numId w:val="8"/>
      </w:numPr>
      <w:tabs>
        <w:tab w:val="clear" w:pos="1060"/>
      </w:tabs>
    </w:pPr>
  </w:style>
  <w:style w:type="paragraph" w:customStyle="1" w:styleId="MarginNote">
    <w:name w:val="Margin Note"/>
    <w:basedOn w:val="BodyText"/>
    <w:rsid w:val="00322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E0C"/>
    <w:rPr>
      <w:sz w:val="32"/>
    </w:rPr>
  </w:style>
  <w:style w:type="paragraph" w:customStyle="1" w:styleId="HeadingProcedure">
    <w:name w:val="Heading Procedure"/>
    <w:basedOn w:val="HeadingBase"/>
    <w:next w:val="Normal"/>
    <w:rsid w:val="00322E0C"/>
    <w:pPr>
      <w:tabs>
        <w:tab w:val="left" w:pos="0"/>
      </w:tabs>
      <w:spacing w:before="120" w:after="60"/>
    </w:pPr>
    <w:rPr>
      <w:i/>
      <w:color w:val="918585"/>
      <w:sz w:val="22"/>
    </w:rPr>
  </w:style>
  <w:style w:type="paragraph" w:customStyle="1" w:styleId="TableBodyText">
    <w:name w:val="Table Body Text"/>
    <w:basedOn w:val="BodyText"/>
    <w:rsid w:val="00322E0C"/>
    <w:pPr>
      <w:spacing w:before="60" w:after="60"/>
    </w:pPr>
  </w:style>
  <w:style w:type="paragraph" w:styleId="ListContinue">
    <w:name w:val="List Continue"/>
    <w:basedOn w:val="List"/>
    <w:rsid w:val="00322E0C"/>
    <w:pPr>
      <w:ind w:firstLine="0"/>
    </w:pPr>
  </w:style>
  <w:style w:type="paragraph" w:customStyle="1" w:styleId="ListNote">
    <w:name w:val="List Note"/>
    <w:basedOn w:val="List"/>
    <w:rsid w:val="00322E0C"/>
    <w:pPr>
      <w:pBdr>
        <w:top w:val="single" w:sz="6" w:space="2" w:color="918585"/>
        <w:bottom w:val="single" w:sz="6" w:space="2" w:color="918585"/>
      </w:pBdr>
      <w:tabs>
        <w:tab w:val="left" w:pos="1021"/>
      </w:tabs>
      <w:ind w:firstLine="0"/>
    </w:pPr>
  </w:style>
  <w:style w:type="paragraph" w:customStyle="1" w:styleId="Warning">
    <w:name w:val="Warning"/>
    <w:basedOn w:val="BodyText"/>
    <w:rsid w:val="00322E0C"/>
    <w:pPr>
      <w:shd w:val="clear" w:color="auto" w:fill="D9D9D9"/>
      <w:tabs>
        <w:tab w:val="left" w:pos="992"/>
      </w:tabs>
      <w:ind w:left="119" w:right="119"/>
    </w:pPr>
    <w:rPr>
      <w:sz w:val="20"/>
    </w:rPr>
  </w:style>
  <w:style w:type="paragraph" w:customStyle="1" w:styleId="MarginIcons">
    <w:name w:val="Margin Icons"/>
    <w:basedOn w:val="BodyText"/>
    <w:rsid w:val="00322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E0C"/>
    <w:rPr>
      <w:rFonts w:ascii="Courier New" w:hAnsi="Courier New"/>
    </w:rPr>
  </w:style>
  <w:style w:type="paragraph" w:customStyle="1" w:styleId="NoteBullet">
    <w:name w:val="Note Bullet"/>
    <w:basedOn w:val="Note"/>
    <w:rsid w:val="00322E0C"/>
    <w:pPr>
      <w:tabs>
        <w:tab w:val="clear" w:pos="680"/>
      </w:tabs>
      <w:spacing w:before="60" w:after="60"/>
    </w:pPr>
  </w:style>
  <w:style w:type="paragraph" w:customStyle="1" w:styleId="SubHeading2">
    <w:name w:val="SubHeading2"/>
    <w:basedOn w:val="HeadingBase"/>
    <w:rsid w:val="00322E0C"/>
    <w:pPr>
      <w:spacing w:before="240" w:after="60"/>
    </w:pPr>
    <w:rPr>
      <w:sz w:val="20"/>
    </w:rPr>
  </w:style>
  <w:style w:type="paragraph" w:customStyle="1" w:styleId="SubHeading1">
    <w:name w:val="SubHeading1"/>
    <w:basedOn w:val="HeadingBase"/>
    <w:rsid w:val="00322E0C"/>
    <w:pPr>
      <w:spacing w:before="240" w:after="60"/>
    </w:pPr>
    <w:rPr>
      <w:color w:val="918585"/>
      <w:sz w:val="22"/>
    </w:rPr>
  </w:style>
  <w:style w:type="paragraph" w:customStyle="1" w:styleId="SideHeading">
    <w:name w:val="Side Heading"/>
    <w:basedOn w:val="HeadingBase"/>
    <w:rsid w:val="00322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E0C"/>
    <w:pPr>
      <w:numPr>
        <w:numId w:val="9"/>
      </w:numPr>
    </w:pPr>
  </w:style>
  <w:style w:type="paragraph" w:styleId="PlainText">
    <w:name w:val="Plain Text"/>
    <w:basedOn w:val="Normal"/>
    <w:link w:val="PlainTextChar"/>
    <w:rsid w:val="00322E0C"/>
    <w:rPr>
      <w:sz w:val="20"/>
    </w:rPr>
  </w:style>
  <w:style w:type="character" w:customStyle="1" w:styleId="PlainTextChar">
    <w:name w:val="Plain Text Char"/>
    <w:basedOn w:val="DefaultParagraphFont"/>
    <w:link w:val="PlainText"/>
    <w:rsid w:val="00322E0C"/>
    <w:rPr>
      <w:rFonts w:ascii="Courier New" w:eastAsia="Times New Roman" w:hAnsi="Courier New" w:cs="Times New Roman"/>
      <w:sz w:val="20"/>
      <w:szCs w:val="20"/>
      <w:lang w:eastAsia="en-US"/>
    </w:rPr>
  </w:style>
  <w:style w:type="character" w:customStyle="1" w:styleId="MenuOption">
    <w:name w:val="Menu Option"/>
    <w:basedOn w:val="DefaultParagraphFont"/>
    <w:rsid w:val="00322E0C"/>
    <w:rPr>
      <w:b/>
      <w:smallCaps/>
    </w:rPr>
  </w:style>
  <w:style w:type="paragraph" w:customStyle="1" w:styleId="TableListNumber">
    <w:name w:val="Table List Number"/>
    <w:basedOn w:val="ListNumber"/>
    <w:rsid w:val="00322E0C"/>
    <w:pPr>
      <w:numPr>
        <w:numId w:val="0"/>
      </w:numPr>
    </w:pPr>
  </w:style>
  <w:style w:type="paragraph" w:styleId="TOC4">
    <w:name w:val="toc 4"/>
    <w:basedOn w:val="TOCBase"/>
    <w:next w:val="Normal"/>
    <w:semiHidden/>
    <w:rsid w:val="00322E0C"/>
    <w:pPr>
      <w:tabs>
        <w:tab w:val="right" w:leader="dot" w:pos="9071"/>
      </w:tabs>
      <w:ind w:left="1701"/>
    </w:pPr>
  </w:style>
  <w:style w:type="paragraph" w:customStyle="1" w:styleId="ListAlpha">
    <w:name w:val="List Alpha"/>
    <w:basedOn w:val="List"/>
    <w:rsid w:val="00322E0C"/>
    <w:pPr>
      <w:numPr>
        <w:numId w:val="7"/>
      </w:numPr>
    </w:pPr>
  </w:style>
  <w:style w:type="paragraph" w:customStyle="1" w:styleId="ListAlpha2">
    <w:name w:val="List Alpha 2"/>
    <w:basedOn w:val="List2"/>
    <w:rsid w:val="00322E0C"/>
    <w:pPr>
      <w:numPr>
        <w:numId w:val="6"/>
      </w:numPr>
    </w:pPr>
  </w:style>
  <w:style w:type="paragraph" w:styleId="List2">
    <w:name w:val="List 2"/>
    <w:basedOn w:val="BodyText"/>
    <w:rsid w:val="00322E0C"/>
    <w:pPr>
      <w:tabs>
        <w:tab w:val="left" w:pos="680"/>
      </w:tabs>
      <w:spacing w:before="60" w:after="60"/>
      <w:ind w:left="680" w:hanging="340"/>
    </w:pPr>
  </w:style>
  <w:style w:type="paragraph" w:styleId="List3">
    <w:name w:val="List 3"/>
    <w:basedOn w:val="BodyText"/>
    <w:rsid w:val="00322E0C"/>
    <w:pPr>
      <w:tabs>
        <w:tab w:val="left" w:pos="1021"/>
      </w:tabs>
      <w:spacing w:before="60" w:after="60"/>
      <w:ind w:left="1020" w:hanging="340"/>
    </w:pPr>
  </w:style>
  <w:style w:type="paragraph" w:styleId="List4">
    <w:name w:val="List 4"/>
    <w:basedOn w:val="BodyText"/>
    <w:rsid w:val="00322E0C"/>
    <w:pPr>
      <w:tabs>
        <w:tab w:val="left" w:pos="1361"/>
      </w:tabs>
      <w:spacing w:before="60" w:after="60"/>
      <w:ind w:left="1361" w:hanging="340"/>
    </w:pPr>
  </w:style>
  <w:style w:type="paragraph" w:styleId="List5">
    <w:name w:val="List 5"/>
    <w:basedOn w:val="BodyText"/>
    <w:rsid w:val="00322E0C"/>
    <w:pPr>
      <w:tabs>
        <w:tab w:val="left" w:pos="1701"/>
      </w:tabs>
      <w:spacing w:before="60" w:after="60"/>
      <w:ind w:left="1701" w:hanging="340"/>
    </w:pPr>
  </w:style>
  <w:style w:type="paragraph" w:styleId="ListBullet3">
    <w:name w:val="List Bullet 3"/>
    <w:basedOn w:val="List3"/>
    <w:rsid w:val="00322E0C"/>
    <w:pPr>
      <w:numPr>
        <w:numId w:val="12"/>
      </w:numPr>
      <w:tabs>
        <w:tab w:val="clear" w:pos="1021"/>
      </w:tabs>
      <w:ind w:left="1037" w:hanging="357"/>
    </w:pPr>
  </w:style>
  <w:style w:type="paragraph" w:styleId="ListBullet4">
    <w:name w:val="List Bullet 4"/>
    <w:basedOn w:val="List4"/>
    <w:rsid w:val="00322E0C"/>
    <w:pPr>
      <w:numPr>
        <w:numId w:val="1"/>
      </w:numPr>
      <w:tabs>
        <w:tab w:val="clear" w:pos="1361"/>
      </w:tabs>
    </w:pPr>
  </w:style>
  <w:style w:type="paragraph" w:styleId="ListBullet5">
    <w:name w:val="List Bullet 5"/>
    <w:basedOn w:val="List5"/>
    <w:rsid w:val="00322E0C"/>
    <w:pPr>
      <w:numPr>
        <w:numId w:val="2"/>
      </w:numPr>
    </w:pPr>
  </w:style>
  <w:style w:type="paragraph" w:styleId="ListContinue2">
    <w:name w:val="List Continue 2"/>
    <w:basedOn w:val="List2"/>
    <w:rsid w:val="00322E0C"/>
    <w:pPr>
      <w:ind w:firstLine="0"/>
    </w:pPr>
  </w:style>
  <w:style w:type="paragraph" w:styleId="ListContinue3">
    <w:name w:val="List Continue 3"/>
    <w:basedOn w:val="List3"/>
    <w:rsid w:val="00322E0C"/>
    <w:pPr>
      <w:ind w:left="1021" w:firstLine="0"/>
    </w:pPr>
  </w:style>
  <w:style w:type="paragraph" w:styleId="ListContinue4">
    <w:name w:val="List Continue 4"/>
    <w:basedOn w:val="List4"/>
    <w:rsid w:val="00322E0C"/>
    <w:pPr>
      <w:ind w:firstLine="0"/>
    </w:pPr>
  </w:style>
  <w:style w:type="paragraph" w:styleId="ListContinue5">
    <w:name w:val="List Continue 5"/>
    <w:basedOn w:val="List5"/>
    <w:rsid w:val="00322E0C"/>
    <w:pPr>
      <w:ind w:firstLine="0"/>
    </w:pPr>
  </w:style>
  <w:style w:type="paragraph" w:styleId="ListNumber3">
    <w:name w:val="List Number 3"/>
    <w:basedOn w:val="List3"/>
    <w:rsid w:val="00322E0C"/>
    <w:pPr>
      <w:numPr>
        <w:numId w:val="3"/>
      </w:numPr>
    </w:pPr>
  </w:style>
  <w:style w:type="paragraph" w:styleId="ListNumber4">
    <w:name w:val="List Number 4"/>
    <w:basedOn w:val="List4"/>
    <w:rsid w:val="00322E0C"/>
    <w:pPr>
      <w:numPr>
        <w:numId w:val="4"/>
      </w:numPr>
    </w:pPr>
  </w:style>
  <w:style w:type="paragraph" w:styleId="ListNumber5">
    <w:name w:val="List Number 5"/>
    <w:basedOn w:val="List5"/>
    <w:rsid w:val="00322E0C"/>
    <w:pPr>
      <w:numPr>
        <w:numId w:val="5"/>
      </w:numPr>
    </w:pPr>
  </w:style>
  <w:style w:type="paragraph" w:styleId="BlockText">
    <w:name w:val="Block Text"/>
    <w:basedOn w:val="Normal"/>
    <w:rsid w:val="00322E0C"/>
    <w:pPr>
      <w:spacing w:after="120"/>
      <w:ind w:left="1440" w:right="1440"/>
    </w:pPr>
  </w:style>
  <w:style w:type="character" w:customStyle="1" w:styleId="Subscript">
    <w:name w:val="Subscript"/>
    <w:basedOn w:val="DefaultParagraphFont"/>
    <w:rsid w:val="00322E0C"/>
    <w:rPr>
      <w:sz w:val="16"/>
      <w:vertAlign w:val="subscript"/>
    </w:rPr>
  </w:style>
  <w:style w:type="character" w:customStyle="1" w:styleId="Superscript">
    <w:name w:val="Superscript"/>
    <w:basedOn w:val="DefaultParagraphFont"/>
    <w:rsid w:val="00322E0C"/>
    <w:rPr>
      <w:sz w:val="16"/>
      <w:vertAlign w:val="superscript"/>
    </w:rPr>
  </w:style>
  <w:style w:type="character" w:customStyle="1" w:styleId="Symbols">
    <w:name w:val="Symbols"/>
    <w:basedOn w:val="DefaultParagraphFont"/>
    <w:rsid w:val="00322E0C"/>
    <w:rPr>
      <w:rFonts w:ascii="Symbol" w:hAnsi="Symbol"/>
    </w:rPr>
  </w:style>
  <w:style w:type="character" w:customStyle="1" w:styleId="MenuOptions">
    <w:name w:val="Menu Options"/>
    <w:basedOn w:val="DefaultParagraphFont"/>
    <w:rsid w:val="00322E0C"/>
    <w:rPr>
      <w:rFonts w:ascii="Arial Narrow" w:hAnsi="Arial Narrow"/>
      <w:smallCaps/>
    </w:rPr>
  </w:style>
  <w:style w:type="character" w:customStyle="1" w:styleId="Buttons">
    <w:name w:val="Buttons"/>
    <w:basedOn w:val="DefaultParagraphFont"/>
    <w:rsid w:val="00322E0C"/>
    <w:rPr>
      <w:b/>
    </w:rPr>
  </w:style>
  <w:style w:type="character" w:customStyle="1" w:styleId="Underlined">
    <w:name w:val="Underlined"/>
    <w:basedOn w:val="DefaultParagraphFont"/>
    <w:rsid w:val="00322E0C"/>
    <w:rPr>
      <w:u w:val="single"/>
    </w:rPr>
  </w:style>
  <w:style w:type="paragraph" w:customStyle="1" w:styleId="TableBodyTextRight">
    <w:name w:val="Table Body Text Right"/>
    <w:basedOn w:val="TableBodyText"/>
    <w:rsid w:val="00322E0C"/>
    <w:pPr>
      <w:widowControl w:val="0"/>
      <w:autoSpaceDE w:val="0"/>
      <w:autoSpaceDN w:val="0"/>
      <w:adjustRightInd w:val="0"/>
      <w:jc w:val="right"/>
    </w:pPr>
    <w:rPr>
      <w:rFonts w:cs="Arial"/>
      <w:szCs w:val="18"/>
    </w:rPr>
  </w:style>
  <w:style w:type="paragraph" w:customStyle="1" w:styleId="CopyrightText">
    <w:name w:val="Copyright Text"/>
    <w:basedOn w:val="BodyText"/>
    <w:rsid w:val="00322E0C"/>
    <w:rPr>
      <w:sz w:val="18"/>
    </w:rPr>
  </w:style>
  <w:style w:type="paragraph" w:customStyle="1" w:styleId="BodySmallRight">
    <w:name w:val="Body Small Right"/>
    <w:basedOn w:val="BodyTextRight"/>
    <w:rsid w:val="00322E0C"/>
    <w:rPr>
      <w:sz w:val="18"/>
      <w:szCs w:val="18"/>
    </w:rPr>
  </w:style>
  <w:style w:type="paragraph" w:customStyle="1" w:styleId="MarginEdition">
    <w:name w:val="Margin Edition"/>
    <w:basedOn w:val="MarginNote"/>
    <w:rsid w:val="00322E0C"/>
    <w:pPr>
      <w:spacing w:before="0" w:after="0"/>
    </w:pPr>
    <w:rPr>
      <w:rFonts w:ascii="Times New Roman" w:hAnsi="Times New Roman"/>
      <w:color w:val="999999"/>
    </w:rPr>
  </w:style>
  <w:style w:type="paragraph" w:customStyle="1" w:styleId="Spacer">
    <w:name w:val="Spacer"/>
    <w:basedOn w:val="Normal"/>
    <w:rsid w:val="00322E0C"/>
    <w:rPr>
      <w:sz w:val="2"/>
      <w:szCs w:val="2"/>
    </w:rPr>
  </w:style>
  <w:style w:type="character" w:customStyle="1" w:styleId="Small">
    <w:name w:val="Small"/>
    <w:basedOn w:val="DefaultParagraphFont"/>
    <w:rsid w:val="00322E0C"/>
    <w:rPr>
      <w:sz w:val="16"/>
    </w:rPr>
  </w:style>
  <w:style w:type="paragraph" w:customStyle="1" w:styleId="WideTable">
    <w:name w:val="Wide Table"/>
    <w:basedOn w:val="Normal"/>
    <w:rsid w:val="00322E0C"/>
    <w:pPr>
      <w:ind w:left="-1418"/>
    </w:pPr>
    <w:rPr>
      <w:sz w:val="2"/>
      <w:szCs w:val="2"/>
    </w:rPr>
  </w:style>
  <w:style w:type="character" w:styleId="PageNumber">
    <w:name w:val="page number"/>
    <w:basedOn w:val="DefaultParagraphFont"/>
    <w:rsid w:val="00322E0C"/>
  </w:style>
  <w:style w:type="paragraph" w:styleId="Quote">
    <w:name w:val="Quote"/>
    <w:basedOn w:val="Heading1"/>
    <w:link w:val="QuoteChar"/>
    <w:qFormat/>
    <w:rsid w:val="00322E0C"/>
    <w:rPr>
      <w:b w:val="0"/>
      <w:sz w:val="72"/>
      <w:szCs w:val="72"/>
      <w:lang w:val="en-NZ"/>
    </w:rPr>
  </w:style>
  <w:style w:type="character" w:customStyle="1" w:styleId="QuoteChar">
    <w:name w:val="Quote Char"/>
    <w:basedOn w:val="DefaultParagraphFont"/>
    <w:link w:val="Quote"/>
    <w:rsid w:val="00322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E0C"/>
    <w:pPr>
      <w:pageBreakBefore/>
    </w:pPr>
  </w:style>
  <w:style w:type="paragraph" w:customStyle="1" w:styleId="Border">
    <w:name w:val="Border"/>
    <w:basedOn w:val="Normal"/>
    <w:qFormat/>
    <w:rsid w:val="00322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E0C"/>
    <w:rPr>
      <w:b/>
      <w:bCs/>
      <w:i/>
      <w:iCs/>
      <w:color w:val="auto"/>
    </w:rPr>
  </w:style>
  <w:style w:type="paragraph" w:styleId="IntenseQuote">
    <w:name w:val="Intense Quote"/>
    <w:basedOn w:val="Normal"/>
    <w:next w:val="Normal"/>
    <w:link w:val="IntenseQuoteChar"/>
    <w:uiPriority w:val="30"/>
    <w:qFormat/>
    <w:rsid w:val="00322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E0C"/>
    <w:rPr>
      <w:smallCaps/>
      <w:color w:val="auto"/>
      <w:u w:val="single"/>
    </w:rPr>
  </w:style>
  <w:style w:type="character" w:styleId="IntenseReference">
    <w:name w:val="Intense Reference"/>
    <w:basedOn w:val="DefaultParagraphFont"/>
    <w:uiPriority w:val="32"/>
    <w:qFormat/>
    <w:rsid w:val="00322E0C"/>
    <w:rPr>
      <w:b/>
      <w:bCs/>
      <w:smallCaps/>
      <w:color w:val="auto"/>
      <w:spacing w:val="5"/>
      <w:u w:val="single"/>
    </w:rPr>
  </w:style>
  <w:style w:type="paragraph" w:customStyle="1" w:styleId="2ColumnHeading">
    <w:name w:val="2Column Heading"/>
    <w:basedOn w:val="BodyText"/>
    <w:qFormat/>
    <w:rsid w:val="00322E0C"/>
    <w:pPr>
      <w:spacing w:after="60"/>
      <w:ind w:left="-2268"/>
    </w:pPr>
    <w:rPr>
      <w:b/>
    </w:rPr>
  </w:style>
  <w:style w:type="paragraph" w:customStyle="1" w:styleId="Heading1TOC">
    <w:name w:val="Heading1 TOC"/>
    <w:basedOn w:val="Normal"/>
    <w:qFormat/>
    <w:rsid w:val="00322E0C"/>
    <w:pPr>
      <w:spacing w:before="240" w:after="120"/>
    </w:pPr>
    <w:rPr>
      <w:rFonts w:ascii="Times New Roman" w:hAnsi="Times New Roman"/>
      <w:b/>
      <w:sz w:val="32"/>
    </w:rPr>
  </w:style>
  <w:style w:type="paragraph" w:customStyle="1" w:styleId="Heading2TOC">
    <w:name w:val="Heading2 TOC"/>
    <w:basedOn w:val="Normal"/>
    <w:qFormat/>
    <w:rsid w:val="00322E0C"/>
    <w:pPr>
      <w:spacing w:before="240" w:after="60"/>
    </w:pPr>
    <w:rPr>
      <w:rFonts w:ascii="Times New Roman" w:hAnsi="Times New Roman"/>
      <w:b/>
      <w:sz w:val="28"/>
    </w:rPr>
  </w:style>
  <w:style w:type="character" w:customStyle="1" w:styleId="Underline">
    <w:name w:val="Underline"/>
    <w:basedOn w:val="DefaultParagraphFont"/>
    <w:qFormat/>
    <w:rsid w:val="00322E0C"/>
    <w:rPr>
      <w:u w:val="single"/>
    </w:rPr>
  </w:style>
  <w:style w:type="character" w:customStyle="1" w:styleId="BoldandItalics">
    <w:name w:val="Bold and Italics"/>
    <w:qFormat/>
    <w:rsid w:val="00322E0C"/>
    <w:rPr>
      <w:b/>
      <w:i/>
      <w:u w:val="none"/>
    </w:rPr>
  </w:style>
  <w:style w:type="paragraph" w:styleId="BalloonText">
    <w:name w:val="Balloon Text"/>
    <w:basedOn w:val="Normal"/>
    <w:link w:val="BalloonTextChar"/>
    <w:rsid w:val="00322E0C"/>
    <w:rPr>
      <w:rFonts w:ascii="Tahoma" w:hAnsi="Tahoma" w:cs="Tahoma"/>
      <w:sz w:val="16"/>
      <w:szCs w:val="16"/>
    </w:rPr>
  </w:style>
  <w:style w:type="character" w:customStyle="1" w:styleId="BalloonTextChar">
    <w:name w:val="Balloon Text Char"/>
    <w:basedOn w:val="DefaultParagraphFont"/>
    <w:link w:val="BalloonText"/>
    <w:rsid w:val="00322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E0C"/>
    <w:rPr>
      <w:b/>
      <w:color w:val="660033"/>
      <w:spacing w:val="0"/>
    </w:rPr>
  </w:style>
  <w:style w:type="paragraph" w:customStyle="1" w:styleId="Nameditemlist">
    <w:name w:val="Named item list"/>
    <w:basedOn w:val="BodyText"/>
    <w:qFormat/>
    <w:rsid w:val="00322E0C"/>
    <w:pPr>
      <w:tabs>
        <w:tab w:val="left" w:pos="2835"/>
      </w:tabs>
      <w:ind w:left="2835" w:hanging="2835"/>
    </w:pPr>
  </w:style>
  <w:style w:type="paragraph" w:customStyle="1" w:styleId="BodyTextnopadding">
    <w:name w:val="Body Text no padding"/>
    <w:basedOn w:val="BodyText"/>
    <w:qFormat/>
    <w:rsid w:val="00322E0C"/>
    <w:pPr>
      <w:spacing w:before="0" w:after="0"/>
    </w:pPr>
  </w:style>
  <w:style w:type="character" w:styleId="Hyperlink">
    <w:name w:val="Hyperlink"/>
    <w:basedOn w:val="DefaultParagraphFont"/>
    <w:uiPriority w:val="99"/>
    <w:unhideWhenUsed/>
    <w:rsid w:val="000061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4256</Characters>
  <Application>Microsoft Office Word</Application>
  <DocSecurity>0</DocSecurity>
  <Lines>121</Lines>
  <Paragraphs>68</Paragraphs>
  <ScaleCrop>false</ScaleCrop>
  <Company>Author-it Software Corporation Ltd.</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HLTSTE003 Sterilise loads</dc:title>
  <dc:subject>Approved</dc:subject>
  <dc:creator>SkillsIQ</dc:creator>
  <cp:keywords>Release: 2</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