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7CA" w:rsidP="004307CA">
      <w:pPr>
        <w:pStyle w:val="Title"/>
      </w:pPr>
      <w:r>
        <w:fldChar w:fldCharType="begin"/>
      </w:r>
      <w:r>
        <w:instrText xml:space="preserve"> TITLE   \* MERGEFORMAT </w:instrText>
      </w:r>
      <w:r>
        <w:fldChar w:fldCharType="separate"/>
      </w:r>
      <w:r>
        <w:t>Assessment Requirements for HLTSTE003 Sterilise loads</w:t>
      </w:r>
      <w:r>
        <w:fldChar w:fldCharType="end"/>
      </w:r>
    </w:p>
    <w:p w:rsidR="004307CA" w:rsidP="004307CA">
      <w:pPr>
        <w:pStyle w:val="Version"/>
        <w:sectPr w:rsidSect="001D07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0771" w:rsidP="001D0771">
      <w:pPr>
        <w:pStyle w:val="SuperHeading"/>
      </w:pPr>
      <w:r w:rsidRPr="001D0771">
        <w:t>Assessment Requirements for HLTSTE003 Sterilise loads</w:t>
      </w:r>
    </w:p>
    <w:p w:rsidR="00000000" w:rsidRPr="001D0771" w:rsidP="001D0771">
      <w:pPr>
        <w:pStyle w:val="Heading1"/>
      </w:pPr>
      <w:bookmarkStart w:id="1" w:name="O_1210544"/>
      <w:bookmarkEnd w:id="1"/>
      <w:r w:rsidRPr="001D0771">
        <w:t>Modification History</w:t>
      </w:r>
    </w:p>
    <w:tbl>
      <w:tblPr>
        <w:tblW w:w="0" w:type="auto"/>
        <w:tblLayout w:type="fixed"/>
        <w:tblCellMar>
          <w:left w:w="62" w:type="dxa"/>
          <w:right w:w="62" w:type="dxa"/>
        </w:tblCellMar>
        <w:tblLook w:val="0000"/>
      </w:tblPr>
      <w:tblGrid>
        <w:gridCol w:w="2250"/>
        <w:gridCol w:w="6884"/>
      </w:tblGrid>
      <w:tr w:rsidTr="004307CA">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1D0771" w:rsidP="001D0771">
            <w:pPr>
              <w:pStyle w:val="BodyText"/>
            </w:pPr>
            <w:r w:rsidRPr="001D0771">
              <w:rPr>
                <w:rStyle w:val="SpecialBold"/>
              </w:rPr>
              <w:t>Release</w:t>
            </w:r>
          </w:p>
        </w:tc>
        <w:tc>
          <w:tcPr>
            <w:tcW w:w="6884" w:type="dxa"/>
            <w:tcBorders>
              <w:top w:val="nil"/>
              <w:left w:val="nil"/>
              <w:bottom w:val="nil"/>
              <w:right w:val="nil"/>
            </w:tcBorders>
            <w:tcMar>
              <w:top w:w="0" w:type="dxa"/>
              <w:left w:w="62" w:type="dxa"/>
              <w:bottom w:w="0" w:type="dxa"/>
              <w:right w:w="62" w:type="dxa"/>
            </w:tcMar>
          </w:tcPr>
          <w:p w:rsidR="00000000" w:rsidP="001D0771">
            <w:pPr>
              <w:pStyle w:val="BodyText"/>
              <w:rPr>
                <w:lang w:val="en-NZ"/>
              </w:rPr>
            </w:pPr>
            <w:r w:rsidRPr="001D0771">
              <w:rPr>
                <w:rStyle w:val="SpecialBold"/>
              </w:rPr>
              <w:t>Comments</w:t>
            </w:r>
          </w:p>
        </w:tc>
      </w:tr>
      <w:tr w:rsidTr="004307CA">
        <w:tblPrEx>
          <w:tblW w:w="0" w:type="auto"/>
          <w:tblLayout w:type="fixed"/>
          <w:tblCellMar>
            <w:left w:w="62" w:type="dxa"/>
            <w:right w:w="62" w:type="dxa"/>
          </w:tblCellMar>
          <w:tblLook w:val="0000"/>
        </w:tblPrEx>
        <w:trPr>
          <w:trHeight w:val="615"/>
        </w:trPr>
        <w:tc>
          <w:tcPr>
            <w:tcW w:w="2250" w:type="dxa"/>
            <w:tcBorders>
              <w:top w:val="nil"/>
              <w:left w:val="nil"/>
              <w:bottom w:val="nil"/>
              <w:right w:val="nil"/>
            </w:tcBorders>
            <w:tcMar>
              <w:top w:w="0" w:type="dxa"/>
              <w:left w:w="62" w:type="dxa"/>
              <w:bottom w:w="0" w:type="dxa"/>
              <w:right w:w="62" w:type="dxa"/>
            </w:tcMar>
          </w:tcPr>
          <w:p w:rsidR="00000000" w:rsidP="001D0771">
            <w:pPr>
              <w:pStyle w:val="BodyText"/>
              <w:rPr>
                <w:lang w:val="en-NZ"/>
              </w:rPr>
            </w:pPr>
            <w:r w:rsidRPr="001D0771">
              <w:t>Release 2</w:t>
            </w:r>
          </w:p>
        </w:tc>
        <w:tc>
          <w:tcPr>
            <w:tcW w:w="6884" w:type="dxa"/>
            <w:tcBorders>
              <w:top w:val="nil"/>
              <w:left w:val="nil"/>
              <w:bottom w:val="nil"/>
              <w:right w:val="nil"/>
            </w:tcBorders>
            <w:tcMar>
              <w:top w:w="0" w:type="dxa"/>
              <w:left w:w="62" w:type="dxa"/>
              <w:bottom w:w="0" w:type="dxa"/>
              <w:right w:w="62" w:type="dxa"/>
            </w:tcMar>
          </w:tcPr>
          <w:p w:rsidR="00000000" w:rsidP="001D0771">
            <w:pPr>
              <w:pStyle w:val="BodyText"/>
              <w:rPr>
                <w:lang w:val="en-NZ"/>
              </w:rPr>
            </w:pPr>
            <w:r w:rsidRPr="001D0771">
              <w:t>Minor change. Correction of typographical error. Equivalent outcome.</w:t>
            </w:r>
          </w:p>
        </w:tc>
      </w:tr>
      <w:tr w:rsidTr="004307CA">
        <w:tblPrEx>
          <w:tblW w:w="0" w:type="auto"/>
          <w:tblLayout w:type="fixed"/>
          <w:tblCellMar>
            <w:left w:w="62" w:type="dxa"/>
            <w:right w:w="62" w:type="dxa"/>
          </w:tblCellMar>
          <w:tblLook w:val="0000"/>
        </w:tblPrEx>
        <w:trPr>
          <w:trHeight w:val="615"/>
        </w:trPr>
        <w:tc>
          <w:tcPr>
            <w:tcW w:w="2250" w:type="dxa"/>
            <w:tcBorders>
              <w:top w:val="nil"/>
              <w:left w:val="nil"/>
              <w:bottom w:val="nil"/>
              <w:right w:val="nil"/>
            </w:tcBorders>
            <w:tcMar>
              <w:top w:w="0" w:type="dxa"/>
              <w:left w:w="62" w:type="dxa"/>
              <w:bottom w:w="0" w:type="dxa"/>
              <w:right w:w="62" w:type="dxa"/>
            </w:tcMar>
          </w:tcPr>
          <w:p w:rsidR="00000000" w:rsidP="001D0771">
            <w:pPr>
              <w:pStyle w:val="BodyText"/>
              <w:rPr>
                <w:lang w:val="en-NZ"/>
              </w:rPr>
            </w:pPr>
            <w:r w:rsidRPr="001D0771">
              <w:t>Release 1</w:t>
            </w:r>
          </w:p>
        </w:tc>
        <w:tc>
          <w:tcPr>
            <w:tcW w:w="6884" w:type="dxa"/>
            <w:tcBorders>
              <w:top w:val="nil"/>
              <w:left w:val="nil"/>
              <w:bottom w:val="nil"/>
              <w:right w:val="nil"/>
            </w:tcBorders>
            <w:tcMar>
              <w:top w:w="0" w:type="dxa"/>
              <w:left w:w="62" w:type="dxa"/>
              <w:bottom w:w="0" w:type="dxa"/>
              <w:right w:w="62" w:type="dxa"/>
            </w:tcMar>
          </w:tcPr>
          <w:p w:rsidR="00000000" w:rsidRPr="001D0771" w:rsidP="001D0771">
            <w:pPr>
              <w:pStyle w:val="BodyText"/>
            </w:pPr>
            <w:r w:rsidRPr="001D0771">
              <w:t xml:space="preserve">This version was released in </w:t>
            </w:r>
            <w:r w:rsidRPr="001D0771">
              <w:rPr>
                <w:rStyle w:val="Emphasis"/>
              </w:rPr>
              <w:t>HLT Health Training Package release 2.0</w:t>
            </w:r>
            <w:r w:rsidRPr="001D0771">
              <w:t xml:space="preserve"> and meets the requirements of the 2012 S</w:t>
            </w:r>
            <w:r w:rsidRPr="001D0771">
              <w:t>tandards for Training Packages.</w:t>
            </w:r>
          </w:p>
          <w:p w:rsidR="00000000" w:rsidRPr="001D0771" w:rsidP="001D0771">
            <w:pPr>
              <w:pStyle w:val="BodyText"/>
            </w:pPr>
            <w:r w:rsidRPr="001D0771">
              <w:t>Significant changes to the elements and performance criteria. New evidence requirements for assessment, including volume and frequency requirements. Significant change to knowledge evidence. Removed prerequisite.</w:t>
            </w:r>
          </w:p>
        </w:tc>
      </w:tr>
    </w:tbl>
    <w:p w:rsidR="00000000" w:rsidRPr="001D0771" w:rsidP="001D0771">
      <w:pPr>
        <w:pStyle w:val="BodyText"/>
      </w:pPr>
    </w:p>
    <w:p w:rsidR="00000000" w:rsidRPr="001D0771" w:rsidP="001D0771">
      <w:pPr>
        <w:pStyle w:val="AllowPageBreak"/>
      </w:pPr>
    </w:p>
    <w:p w:rsidR="00000000" w:rsidRPr="001D0771" w:rsidP="001D0771">
      <w:pPr>
        <w:pStyle w:val="Heading1"/>
      </w:pPr>
      <w:bookmarkStart w:id="2" w:name="O_1210543"/>
      <w:bookmarkEnd w:id="2"/>
      <w:r w:rsidRPr="001D0771">
        <w:t>Performance Evidence</w:t>
      </w:r>
    </w:p>
    <w:p w:rsidR="00000000" w:rsidRPr="001D0771" w:rsidP="004307CA">
      <w:pPr>
        <w:pStyle w:val="BodyText"/>
      </w:pPr>
      <w:r w:rsidRPr="001D0771">
        <w:t>The candidate must show evidence of the ability to complete tasks outlined in elements and performance criteria of this unit, manage tasks and manage contingencies in the context of the job role. There must be evidence that t</w:t>
      </w:r>
      <w:r w:rsidRPr="001D0771">
        <w:t>he candidate has:</w:t>
      </w:r>
    </w:p>
    <w:p w:rsidR="00000000" w:rsidRPr="001D0771" w:rsidP="001D0771">
      <w:pPr>
        <w:pStyle w:val="ListBullet"/>
      </w:pPr>
      <w:r w:rsidRPr="001D0771">
        <w:t>followed established procedures, work processes and national standards to prepare, operate, load and unload sterilisers and release the sterilised loads on at least three occasions, including:</w:t>
      </w:r>
    </w:p>
    <w:p w:rsidR="00000000" w:rsidRPr="001D0771" w:rsidP="001D0771">
      <w:pPr>
        <w:pStyle w:val="ListBullet2"/>
      </w:pPr>
      <w:r w:rsidRPr="001D0771">
        <w:t>correctly interpreting test results</w:t>
      </w:r>
    </w:p>
    <w:p w:rsidR="00000000" w:rsidRPr="001D0771" w:rsidP="001D0771">
      <w:pPr>
        <w:pStyle w:val="ListBullet2"/>
      </w:pPr>
      <w:r w:rsidRPr="001D0771">
        <w:t>accurately completing all documentation for cycles, tests and load content, including specialised items</w:t>
      </w:r>
    </w:p>
    <w:p w:rsidR="00000000" w:rsidRPr="001D0771" w:rsidP="001D0771">
      <w:pPr>
        <w:pStyle w:val="ListBullet2"/>
      </w:pPr>
      <w:r w:rsidRPr="001D0771">
        <w:t>addressing relevant work health and safety, infection control and manual handling requirements</w:t>
      </w:r>
    </w:p>
    <w:p w:rsidR="00000000" w:rsidRPr="001D0771" w:rsidP="001D0771">
      <w:pPr>
        <w:pStyle w:val="ListBullet2"/>
      </w:pPr>
      <w:r w:rsidRPr="001D0771">
        <w:t>identifying and responding to routine problems within del</w:t>
      </w:r>
      <w:r w:rsidRPr="001D0771">
        <w:t>egated authority</w:t>
      </w:r>
    </w:p>
    <w:p w:rsidR="00000000" w:rsidRPr="001D0771" w:rsidP="001D0771">
      <w:pPr>
        <w:pStyle w:val="AllowPageBreak"/>
      </w:pPr>
    </w:p>
    <w:p w:rsidR="00000000" w:rsidRPr="001D0771" w:rsidP="001D0771">
      <w:pPr>
        <w:pStyle w:val="Heading1"/>
      </w:pPr>
      <w:bookmarkStart w:id="3" w:name="O_1210542"/>
      <w:bookmarkEnd w:id="3"/>
      <w:r w:rsidRPr="001D0771">
        <w:t>Knowledge Evidence</w:t>
      </w:r>
    </w:p>
    <w:p w:rsidR="00000000" w:rsidRPr="001D0771" w:rsidP="004307CA">
      <w:pPr>
        <w:pStyle w:val="BodyText"/>
      </w:pPr>
      <w:r w:rsidRPr="001D0771">
        <w:t>The candidate must be able to demonstrate essential knowledge required to effectively complete tasks outlined in elements and performance criteria of this unit, manage tasks and manage contingencies in</w:t>
      </w:r>
      <w:r w:rsidRPr="001D0771">
        <w:t xml:space="preserve"> the context of the work role. This includes knowledge of:</w:t>
      </w:r>
    </w:p>
    <w:p w:rsidR="00000000" w:rsidRPr="001D0771" w:rsidP="001D0771">
      <w:pPr>
        <w:pStyle w:val="ListBullet"/>
      </w:pPr>
      <w:r w:rsidRPr="001D0771">
        <w:t xml:space="preserve">terminology used in sterilising and methods of sterilisation used in Australia </w:t>
      </w:r>
    </w:p>
    <w:p w:rsidR="00000000" w:rsidRPr="001D0771" w:rsidP="001D0771">
      <w:pPr>
        <w:pStyle w:val="ListBullet"/>
      </w:pPr>
      <w:r w:rsidRPr="001D0771">
        <w:t>environmental conditions required for efficient functioning of a sterilisation area, including:</w:t>
      </w:r>
    </w:p>
    <w:p w:rsidR="00000000" w:rsidRPr="001D0771" w:rsidP="001D0771">
      <w:pPr>
        <w:pStyle w:val="ListBullet2"/>
      </w:pPr>
      <w:r w:rsidRPr="001D0771">
        <w:t>quarantine protocol</w:t>
      </w:r>
      <w:r w:rsidRPr="001D0771">
        <w:t>s</w:t>
      </w:r>
    </w:p>
    <w:p w:rsidR="00000000" w:rsidRPr="001D0771" w:rsidP="001D0771">
      <w:pPr>
        <w:pStyle w:val="ListBullet2"/>
      </w:pPr>
      <w:r w:rsidRPr="001D0771">
        <w:t>conditions and parameters for successful sterilisation</w:t>
      </w:r>
    </w:p>
    <w:p w:rsidR="00000000" w:rsidRPr="001D0771" w:rsidP="001D0771">
      <w:pPr>
        <w:pStyle w:val="ListBullet"/>
      </w:pPr>
      <w:r w:rsidRPr="001D0771">
        <w:t>cleaning protocols and special requirements for sterilisers, trolleys and carriages</w:t>
      </w:r>
    </w:p>
    <w:p w:rsidR="00000000" w:rsidRPr="001D0771" w:rsidP="001D0771">
      <w:pPr>
        <w:pStyle w:val="ListBullet"/>
      </w:pPr>
      <w:r w:rsidRPr="001D0771">
        <w:t>features of sterilisation process that influence sterilisation outcomes, including:</w:t>
      </w:r>
    </w:p>
    <w:p w:rsidR="00000000" w:rsidRPr="001D0771" w:rsidP="001D0771">
      <w:pPr>
        <w:pStyle w:val="ListBullet2"/>
      </w:pPr>
      <w:r w:rsidRPr="001D0771">
        <w:t>cycle stages and physical par</w:t>
      </w:r>
      <w:r w:rsidRPr="001D0771">
        <w:t>ameters that determine sterilisation outcomes</w:t>
      </w:r>
    </w:p>
    <w:p w:rsidR="00000000" w:rsidRPr="001D0771" w:rsidP="001D0771">
      <w:pPr>
        <w:pStyle w:val="ListBullet2"/>
      </w:pPr>
      <w:r w:rsidRPr="001D0771">
        <w:t xml:space="preserve">differences between methods of low temperature sterilisation processes including hydrogen peroxide and peracetic acid </w:t>
      </w:r>
    </w:p>
    <w:p w:rsidR="00000000" w:rsidRPr="001D0771" w:rsidP="001D0771">
      <w:pPr>
        <w:pStyle w:val="ListBullet2"/>
      </w:pPr>
      <w:r w:rsidRPr="001D0771">
        <w:t>the biocidal action of chemical sterilants and impact on sterilisation outcomes</w:t>
      </w:r>
    </w:p>
    <w:p w:rsidR="00000000" w:rsidRPr="001D0771" w:rsidP="001D0771">
      <w:pPr>
        <w:pStyle w:val="ListBullet2"/>
      </w:pPr>
      <w:r w:rsidRPr="001D0771">
        <w:t>monitoring equipment and procedures</w:t>
      </w:r>
    </w:p>
    <w:p w:rsidR="00000000" w:rsidRPr="001D0771" w:rsidP="001D0771">
      <w:pPr>
        <w:pStyle w:val="ListBullet"/>
      </w:pPr>
      <w:r w:rsidRPr="001D0771">
        <w:t>features of steam sterilisation that influence sterilisation outcomes, including:</w:t>
      </w:r>
    </w:p>
    <w:p w:rsidR="00000000" w:rsidRPr="001D0771" w:rsidP="001D0771">
      <w:pPr>
        <w:pStyle w:val="ListBullet2"/>
      </w:pPr>
      <w:r w:rsidRPr="001D0771">
        <w:t>cycle stages and physical parameters that influence sterilisation outcomes</w:t>
      </w:r>
    </w:p>
    <w:p w:rsidR="00000000" w:rsidRPr="001D0771" w:rsidP="001D0771">
      <w:pPr>
        <w:pStyle w:val="ListBullet2"/>
      </w:pPr>
      <w:r w:rsidRPr="001D0771">
        <w:t xml:space="preserve">principles of steam generation and steam quality that impact </w:t>
      </w:r>
      <w:r w:rsidRPr="001D0771">
        <w:t>on sterilisation outcomes</w:t>
      </w:r>
    </w:p>
    <w:p w:rsidR="00000000" w:rsidRPr="001D0771" w:rsidP="001D0771">
      <w:pPr>
        <w:pStyle w:val="ListBullet2"/>
      </w:pPr>
      <w:r w:rsidRPr="001D0771">
        <w:t>significant mechanical components of steam sterilisers</w:t>
      </w:r>
    </w:p>
    <w:p w:rsidR="00000000" w:rsidRPr="001D0771" w:rsidP="001D0771">
      <w:pPr>
        <w:pStyle w:val="ListBullet2"/>
      </w:pPr>
      <w:r w:rsidRPr="001D0771">
        <w:t>the biocidal action of steam under pressure and the impact on sterilisation outcomes</w:t>
      </w:r>
    </w:p>
    <w:p w:rsidR="00000000" w:rsidRPr="001D0771" w:rsidP="001D0771">
      <w:pPr>
        <w:pStyle w:val="ListBullet2"/>
      </w:pPr>
      <w:r w:rsidRPr="001D0771">
        <w:t>monitoring equipment and procedures</w:t>
      </w:r>
    </w:p>
    <w:p w:rsidR="00000000" w:rsidRPr="001D0771" w:rsidP="001D0771">
      <w:pPr>
        <w:pStyle w:val="ListBullet"/>
      </w:pPr>
      <w:r w:rsidRPr="001D0771">
        <w:t>performance testing:</w:t>
      </w:r>
    </w:p>
    <w:p w:rsidR="00000000" w:rsidRPr="001D0771" w:rsidP="001D0771">
      <w:pPr>
        <w:pStyle w:val="ListBullet2"/>
      </w:pPr>
      <w:r w:rsidRPr="001D0771">
        <w:t>air removal test</w:t>
      </w:r>
    </w:p>
    <w:p w:rsidR="00000000" w:rsidRPr="001D0771" w:rsidP="001D0771">
      <w:pPr>
        <w:pStyle w:val="ListBullet2"/>
      </w:pPr>
      <w:r w:rsidRPr="001D0771">
        <w:t>process challe</w:t>
      </w:r>
      <w:r w:rsidRPr="001D0771">
        <w:t>nge device</w:t>
      </w:r>
    </w:p>
    <w:p w:rsidR="00000000" w:rsidRPr="001D0771" w:rsidP="001D0771">
      <w:pPr>
        <w:pStyle w:val="ListBullet2"/>
      </w:pPr>
      <w:r w:rsidRPr="001D0771">
        <w:t>leak rate test</w:t>
      </w:r>
    </w:p>
    <w:p w:rsidR="00000000" w:rsidRPr="001D0771" w:rsidP="001D0771">
      <w:pPr>
        <w:pStyle w:val="ListBullet2"/>
      </w:pPr>
      <w:r w:rsidRPr="001D0771">
        <w:t xml:space="preserve">physical, chemical and biological monitoring devices </w:t>
      </w:r>
    </w:p>
    <w:p w:rsidR="00000000" w:rsidRPr="001D0771" w:rsidP="001D0771">
      <w:pPr>
        <w:pStyle w:val="ListBullet"/>
      </w:pPr>
      <w:r w:rsidRPr="001D0771">
        <w:t>requirements of quality assurance documentation, including release processes</w:t>
      </w:r>
    </w:p>
    <w:p w:rsidR="00000000" w:rsidRPr="001D0771" w:rsidP="001D0771">
      <w:pPr>
        <w:pStyle w:val="ListBullet"/>
      </w:pPr>
      <w:r w:rsidRPr="001D0771">
        <w:t>safe work practices in the sterilisation work area:</w:t>
      </w:r>
    </w:p>
    <w:p w:rsidR="00000000" w:rsidRPr="001D0771" w:rsidP="001D0771">
      <w:pPr>
        <w:pStyle w:val="ListBullet2"/>
      </w:pPr>
      <w:r w:rsidRPr="001D0771">
        <w:t>manual task risk factors a</w:t>
      </w:r>
      <w:r w:rsidRPr="001D0771">
        <w:t>nd how to control for them</w:t>
      </w:r>
    </w:p>
    <w:p w:rsidR="00000000" w:rsidRPr="001D0771" w:rsidP="001D0771">
      <w:pPr>
        <w:pStyle w:val="ListBullet2"/>
      </w:pPr>
      <w:r w:rsidRPr="001D0771">
        <w:t>infection control</w:t>
      </w:r>
    </w:p>
    <w:p w:rsidR="00000000" w:rsidRPr="001D0771" w:rsidP="001D0771">
      <w:pPr>
        <w:pStyle w:val="ListBullet2"/>
      </w:pPr>
      <w:r w:rsidRPr="001D0771">
        <w:t xml:space="preserve">personal hygiene </w:t>
      </w:r>
    </w:p>
    <w:p w:rsidR="00000000" w:rsidRPr="001D0771" w:rsidP="001D0771">
      <w:pPr>
        <w:pStyle w:val="AllowPageBreak"/>
      </w:pPr>
    </w:p>
    <w:p w:rsidR="00000000" w:rsidRPr="001D0771" w:rsidP="001D0771">
      <w:pPr>
        <w:pStyle w:val="Heading1"/>
      </w:pPr>
      <w:bookmarkStart w:id="4" w:name="O_1210541"/>
      <w:bookmarkEnd w:id="4"/>
      <w:r w:rsidRPr="001D0771">
        <w:t>Assessment Conditions</w:t>
      </w:r>
    </w:p>
    <w:p w:rsidR="00000000" w:rsidRPr="001D0771" w:rsidP="004307CA">
      <w:pPr>
        <w:pStyle w:val="BodyText"/>
      </w:pPr>
      <w:r w:rsidRPr="001D0771">
        <w:t>Skills must have been demonstrated in the workplace or in a simulated environment that reflects workplace conditions. The following conditions must be m</w:t>
      </w:r>
      <w:r w:rsidRPr="001D0771">
        <w:t xml:space="preserve">et for this unit: </w:t>
      </w:r>
    </w:p>
    <w:p w:rsidR="00000000" w:rsidRPr="001D0771" w:rsidP="001D0771">
      <w:pPr>
        <w:pStyle w:val="ListBullet"/>
      </w:pPr>
      <w:r w:rsidRPr="001D0771">
        <w:t xml:space="preserve">use of suitable facilities, equipment and resources, including: </w:t>
      </w:r>
    </w:p>
    <w:p w:rsidR="00000000" w:rsidRPr="001D0771" w:rsidP="001D0771">
      <w:pPr>
        <w:pStyle w:val="ListBullet2"/>
      </w:pPr>
      <w:r w:rsidRPr="001D0771">
        <w:t xml:space="preserve">steam sterilisers </w:t>
      </w:r>
    </w:p>
    <w:p w:rsidR="00000000" w:rsidRPr="001D0771" w:rsidP="001D0771">
      <w:pPr>
        <w:pStyle w:val="ListBullet2"/>
      </w:pPr>
      <w:r w:rsidRPr="001D0771">
        <w:t xml:space="preserve">reusable medical devices </w:t>
      </w:r>
    </w:p>
    <w:p w:rsidR="00000000" w:rsidRPr="001D0771" w:rsidP="001D0771">
      <w:pPr>
        <w:pStyle w:val="ListBullet2"/>
      </w:pPr>
      <w:r w:rsidRPr="001D0771">
        <w:t>personal protective equipment</w:t>
      </w:r>
    </w:p>
    <w:p w:rsidR="00000000" w:rsidRPr="001D0771" w:rsidP="001D0771">
      <w:pPr>
        <w:pStyle w:val="ListBullet2"/>
      </w:pPr>
      <w:r w:rsidRPr="001D0771">
        <w:t>quality assurance print outs and documentation</w:t>
      </w:r>
    </w:p>
    <w:p w:rsidR="00000000" w:rsidRPr="001D0771" w:rsidP="001D0771">
      <w:pPr>
        <w:pStyle w:val="ListBullet2"/>
      </w:pPr>
      <w:r w:rsidRPr="001D0771">
        <w:t>workplace procedures to be followed</w:t>
      </w:r>
    </w:p>
    <w:p w:rsidR="00000000" w:rsidRPr="001D0771" w:rsidP="001D0771">
      <w:pPr>
        <w:pStyle w:val="ListBullet"/>
      </w:pPr>
      <w:r w:rsidRPr="001D0771">
        <w:t>modelling o</w:t>
      </w:r>
      <w:r w:rsidRPr="001D0771">
        <w:t xml:space="preserve">f industry operating conditions, including: </w:t>
      </w:r>
    </w:p>
    <w:p w:rsidR="00000000" w:rsidRPr="001D0771" w:rsidP="001D0771">
      <w:pPr>
        <w:pStyle w:val="ListBullet2"/>
      </w:pPr>
      <w:r w:rsidRPr="001D0771">
        <w:t>speed and timing requirements for the sterilisation process</w:t>
      </w:r>
    </w:p>
    <w:p w:rsidR="00000000" w:rsidRPr="001D0771" w:rsidP="001D0771">
      <w:pPr>
        <w:pStyle w:val="ListBullet2"/>
      </w:pPr>
      <w:r w:rsidRPr="001D0771">
        <w:t>presence of situations requiring problem solving</w:t>
      </w:r>
    </w:p>
    <w:p w:rsidR="00000000" w:rsidRPr="001D0771" w:rsidP="001D0771">
      <w:pPr>
        <w:pStyle w:val="BodyText"/>
      </w:pPr>
    </w:p>
    <w:p w:rsidR="00000000" w:rsidRPr="001D0771" w:rsidP="004307CA">
      <w:pPr>
        <w:pStyle w:val="BodyText"/>
      </w:pPr>
      <w:r w:rsidRPr="001D0771">
        <w:t>Assessors must satisfy the Standards for Registered Training Organisations (RTOs) 2015/AQTF mandatory competency requirements for assessors.</w:t>
      </w:r>
    </w:p>
    <w:p w:rsidR="00000000" w:rsidRPr="001D0771" w:rsidP="001D0771">
      <w:pPr>
        <w:pStyle w:val="Heading1"/>
      </w:pPr>
      <w:bookmarkStart w:id="5" w:name="O_1210552"/>
      <w:bookmarkEnd w:id="5"/>
      <w:r w:rsidRPr="001D0771">
        <w:t>Links</w:t>
      </w:r>
    </w:p>
    <w:p w:rsidR="00000000" w:rsidRPr="001D0771" w:rsidP="004307CA">
      <w:pPr>
        <w:pStyle w:val="BodyText"/>
      </w:pPr>
      <w:r w:rsidRPr="001D077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45DF7">
        <w:rPr>
          <w:rStyle w:val="Hyperlink"/>
        </w:rPr>
        <w:t>https://vetnet.gov.au/Pages/TrainingDocs.aspx?q=ced1390f-48d9-4ab0-bd50-b015e5485705</w:t>
      </w:r>
      <w:r>
        <w:fldChar w:fldCharType="end"/>
      </w:r>
    </w:p>
    <w:p w:rsidR="00000000" w:rsidRPr="001D0771" w:rsidP="001D0771"/>
    <w:sectPr w:rsidSect="001D07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71" w:rsidRPr="004307CA" w:rsidP="00430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CA" w:rsidP="001D07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07CA" w:rsidP="001D077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307CA" w:rsidP="001D07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771" w:rsidRPr="004307CA" w:rsidP="004307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CA" w:rsidRPr="002D2AF8" w:rsidP="001D0771">
    <w:pPr>
      <w:pStyle w:val="Header"/>
      <w:framePr w:wrap="around"/>
    </w:pPr>
    <w:r>
      <w:fldChar w:fldCharType="begin"/>
    </w:r>
    <w:r>
      <w:instrText xml:space="preserve"> TITLE   \* MERGEFORMAT </w:instrText>
    </w:r>
    <w:r>
      <w:fldChar w:fldCharType="separate"/>
    </w:r>
    <w:r>
      <w:t>Assessment Requirements for HLTSTE003 Sterilise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307CA" w:rsidP="001D0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6B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4C3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009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771"/>
    <w:pPr>
      <w:spacing w:before="360" w:after="60"/>
      <w:outlineLvl w:val="0"/>
    </w:pPr>
    <w:rPr>
      <w:sz w:val="32"/>
    </w:rPr>
  </w:style>
  <w:style w:type="paragraph" w:styleId="Heading2">
    <w:name w:val="heading 2"/>
    <w:basedOn w:val="HeadingBase"/>
    <w:next w:val="BodyText"/>
    <w:link w:val="Heading2Char"/>
    <w:qFormat/>
    <w:rsid w:val="001D0771"/>
    <w:pPr>
      <w:keepLines/>
      <w:spacing w:before="240" w:after="120"/>
      <w:outlineLvl w:val="1"/>
    </w:pPr>
    <w:rPr>
      <w:sz w:val="28"/>
      <w:szCs w:val="40"/>
    </w:rPr>
  </w:style>
  <w:style w:type="paragraph" w:styleId="Heading3">
    <w:name w:val="heading 3"/>
    <w:basedOn w:val="HeadingBase"/>
    <w:next w:val="BodyText"/>
    <w:link w:val="Heading3Char"/>
    <w:qFormat/>
    <w:rsid w:val="001D0771"/>
    <w:pPr>
      <w:spacing w:before="180" w:after="120"/>
      <w:outlineLvl w:val="2"/>
    </w:pPr>
    <w:rPr>
      <w:spacing w:val="-10"/>
      <w:kern w:val="32"/>
    </w:rPr>
  </w:style>
  <w:style w:type="paragraph" w:styleId="Heading4">
    <w:name w:val="heading 4"/>
    <w:basedOn w:val="HeadingBase"/>
    <w:next w:val="BodyText"/>
    <w:link w:val="Heading4Char"/>
    <w:qFormat/>
    <w:rsid w:val="001D0771"/>
    <w:pPr>
      <w:spacing w:before="160" w:after="120"/>
      <w:outlineLvl w:val="3"/>
    </w:pPr>
    <w:rPr>
      <w:sz w:val="22"/>
    </w:rPr>
  </w:style>
  <w:style w:type="paragraph" w:styleId="Heading5">
    <w:name w:val="heading 5"/>
    <w:basedOn w:val="HeadingBase"/>
    <w:next w:val="Normal"/>
    <w:link w:val="Heading5Char"/>
    <w:qFormat/>
    <w:rsid w:val="001D0771"/>
    <w:pPr>
      <w:spacing w:before="80"/>
      <w:outlineLvl w:val="4"/>
    </w:pPr>
    <w:rPr>
      <w:color w:val="918585"/>
      <w:sz w:val="20"/>
    </w:rPr>
  </w:style>
  <w:style w:type="paragraph" w:styleId="Heading6">
    <w:name w:val="heading 6"/>
    <w:basedOn w:val="HeadingBase"/>
    <w:next w:val="Normal"/>
    <w:link w:val="Heading6Char"/>
    <w:qFormat/>
    <w:rsid w:val="001D0771"/>
    <w:pPr>
      <w:spacing w:before="60"/>
      <w:outlineLvl w:val="5"/>
    </w:pPr>
    <w:rPr>
      <w:color w:val="918585"/>
      <w:sz w:val="20"/>
    </w:rPr>
  </w:style>
  <w:style w:type="paragraph" w:styleId="Heading7">
    <w:name w:val="heading 7"/>
    <w:basedOn w:val="Normal"/>
    <w:next w:val="Normal"/>
    <w:link w:val="Heading7Char"/>
    <w:qFormat/>
    <w:rsid w:val="001D0771"/>
    <w:pPr>
      <w:ind w:left="720"/>
      <w:outlineLvl w:val="6"/>
    </w:pPr>
    <w:rPr>
      <w:i/>
    </w:rPr>
  </w:style>
  <w:style w:type="paragraph" w:styleId="Heading8">
    <w:name w:val="heading 8"/>
    <w:basedOn w:val="Normal"/>
    <w:next w:val="Normal"/>
    <w:link w:val="Heading8Char"/>
    <w:qFormat/>
    <w:rsid w:val="001D0771"/>
    <w:pPr>
      <w:ind w:left="720"/>
      <w:outlineLvl w:val="7"/>
    </w:pPr>
    <w:rPr>
      <w:i/>
    </w:rPr>
  </w:style>
  <w:style w:type="paragraph" w:styleId="Heading9">
    <w:name w:val="heading 9"/>
    <w:basedOn w:val="Normal"/>
    <w:next w:val="Normal"/>
    <w:link w:val="Heading9Char"/>
    <w:qFormat/>
    <w:rsid w:val="001D0771"/>
    <w:pPr>
      <w:ind w:left="720"/>
      <w:outlineLvl w:val="8"/>
    </w:pPr>
    <w:rPr>
      <w:i/>
    </w:rPr>
  </w:style>
  <w:style w:type="character" w:default="1" w:styleId="DefaultParagraphFont">
    <w:name w:val="Default Paragraph Font"/>
    <w:uiPriority w:val="1"/>
    <w:unhideWhenUsed/>
    <w:rsid w:val="001D0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771"/>
  </w:style>
  <w:style w:type="character" w:customStyle="1" w:styleId="Heading1Char">
    <w:name w:val="Heading 1 Char"/>
    <w:basedOn w:val="DefaultParagraphFont"/>
    <w:link w:val="Heading1"/>
    <w:rsid w:val="001D0771"/>
    <w:rPr>
      <w:rFonts w:ascii="Times New Roman" w:eastAsia="Times New Roman" w:hAnsi="Times New Roman" w:cs="Times New Roman"/>
      <w:b/>
      <w:sz w:val="32"/>
      <w:szCs w:val="20"/>
      <w:lang w:eastAsia="en-US"/>
    </w:rPr>
  </w:style>
  <w:style w:type="paragraph" w:styleId="BodyText">
    <w:name w:val="Body Text"/>
    <w:basedOn w:val="Normal"/>
    <w:link w:val="BodyTextChar"/>
    <w:rsid w:val="001D07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771"/>
    <w:rPr>
      <w:rFonts w:ascii="Times New Roman" w:eastAsia="Times New Roman" w:hAnsi="Times New Roman" w:cs="Times New Roman"/>
      <w:sz w:val="24"/>
      <w:lang w:eastAsia="en-US"/>
    </w:rPr>
  </w:style>
  <w:style w:type="paragraph" w:styleId="ListBullet">
    <w:name w:val="List Bullet"/>
    <w:basedOn w:val="List"/>
    <w:rsid w:val="001D0771"/>
    <w:pPr>
      <w:numPr>
        <w:numId w:val="12"/>
      </w:numPr>
      <w:tabs>
        <w:tab w:val="clear" w:pos="340"/>
      </w:tabs>
      <w:spacing w:before="40" w:after="40"/>
    </w:pPr>
  </w:style>
  <w:style w:type="character" w:customStyle="1" w:styleId="SpecialBold">
    <w:name w:val="Special Bold"/>
    <w:basedOn w:val="DefaultParagraphFont"/>
    <w:rsid w:val="001D0771"/>
    <w:rPr>
      <w:b/>
      <w:spacing w:val="0"/>
    </w:rPr>
  </w:style>
  <w:style w:type="paragraph" w:styleId="ListBullet2">
    <w:name w:val="List Bullet 2"/>
    <w:basedOn w:val="List2"/>
    <w:rsid w:val="001D0771"/>
    <w:pPr>
      <w:numPr>
        <w:numId w:val="13"/>
      </w:numPr>
      <w:tabs>
        <w:tab w:val="clear" w:pos="680"/>
      </w:tabs>
    </w:pPr>
  </w:style>
  <w:style w:type="character" w:styleId="Emphasis">
    <w:name w:val="Emphasis"/>
    <w:basedOn w:val="DefaultParagraphFont"/>
    <w:qFormat/>
    <w:rsid w:val="001D0771"/>
    <w:rPr>
      <w:i/>
    </w:rPr>
  </w:style>
  <w:style w:type="paragraph" w:customStyle="1" w:styleId="SuperHeading">
    <w:name w:val="SuperHeading"/>
    <w:basedOn w:val="Normal"/>
    <w:rsid w:val="001D0771"/>
    <w:pPr>
      <w:spacing w:before="240" w:after="120"/>
      <w:outlineLvl w:val="0"/>
    </w:pPr>
    <w:rPr>
      <w:rFonts w:ascii="Times New Roman" w:hAnsi="Times New Roman"/>
      <w:b/>
      <w:sz w:val="32"/>
    </w:rPr>
  </w:style>
  <w:style w:type="paragraph" w:customStyle="1" w:styleId="AllowPageBreak">
    <w:name w:val="AllowPageBreak"/>
    <w:rsid w:val="001D07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7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7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771"/>
    <w:rPr>
      <w:rFonts w:ascii="Courier New" w:eastAsia="Times New Roman" w:hAnsi="Courier New" w:cs="Times New Roman"/>
      <w:i/>
      <w:szCs w:val="20"/>
      <w:lang w:eastAsia="en-US"/>
    </w:rPr>
  </w:style>
  <w:style w:type="paragraph" w:customStyle="1" w:styleId="HeadingBase">
    <w:name w:val="Heading Base"/>
    <w:rsid w:val="001D0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771"/>
    <w:pPr>
      <w:tabs>
        <w:tab w:val="right" w:leader="dot" w:pos="9072"/>
      </w:tabs>
      <w:ind w:left="567"/>
    </w:pPr>
    <w:rPr>
      <w:szCs w:val="22"/>
    </w:rPr>
  </w:style>
  <w:style w:type="paragraph" w:customStyle="1" w:styleId="TOCBase">
    <w:name w:val="TOC Base"/>
    <w:rsid w:val="001D0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771"/>
    <w:pPr>
      <w:tabs>
        <w:tab w:val="right" w:leader="dot" w:pos="9072"/>
      </w:tabs>
      <w:spacing w:before="40" w:after="40"/>
      <w:ind w:left="284"/>
    </w:pPr>
    <w:rPr>
      <w:rFonts w:ascii="Times New Roman" w:hAnsi="Times New Roman"/>
    </w:rPr>
  </w:style>
  <w:style w:type="paragraph" w:styleId="TOC1">
    <w:name w:val="toc 1"/>
    <w:basedOn w:val="TOCBase"/>
    <w:next w:val="Normal"/>
    <w:rsid w:val="001D07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771"/>
    <w:rPr>
      <w:rFonts w:ascii="Times New Roman" w:eastAsia="Times New Roman" w:hAnsi="Times New Roman" w:cs="Times New Roman"/>
      <w:sz w:val="16"/>
      <w:lang w:eastAsia="en-US"/>
    </w:rPr>
  </w:style>
  <w:style w:type="paragraph" w:styleId="Title">
    <w:name w:val="Title"/>
    <w:basedOn w:val="HeadingBase"/>
    <w:link w:val="TitleChar"/>
    <w:qFormat/>
    <w:rsid w:val="001D0771"/>
    <w:pPr>
      <w:spacing w:before="5040"/>
      <w:jc w:val="center"/>
    </w:pPr>
    <w:rPr>
      <w:sz w:val="48"/>
      <w:szCs w:val="72"/>
      <w:lang w:val="en-US"/>
    </w:rPr>
  </w:style>
  <w:style w:type="character" w:customStyle="1" w:styleId="TitleChar">
    <w:name w:val="Title Char"/>
    <w:basedOn w:val="DefaultParagraphFont"/>
    <w:link w:val="Title"/>
    <w:rsid w:val="001D0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771"/>
    <w:pPr>
      <w:tabs>
        <w:tab w:val="left" w:pos="3600"/>
        <w:tab w:val="left" w:pos="3958"/>
      </w:tabs>
    </w:pPr>
  </w:style>
  <w:style w:type="paragraph" w:styleId="List">
    <w:name w:val="List"/>
    <w:basedOn w:val="BodyText"/>
    <w:next w:val="BodyText"/>
    <w:rsid w:val="001D0771"/>
    <w:pPr>
      <w:tabs>
        <w:tab w:val="left" w:pos="340"/>
      </w:tabs>
      <w:spacing w:before="60" w:after="60"/>
      <w:ind w:left="340" w:hanging="340"/>
    </w:pPr>
  </w:style>
  <w:style w:type="paragraph" w:customStyle="1" w:styleId="Note">
    <w:name w:val="Note"/>
    <w:basedOn w:val="BodyText"/>
    <w:rsid w:val="001D07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771"/>
    <w:pPr>
      <w:framePr w:wrap="auto" w:hAnchor="text" w:y="6049"/>
    </w:pPr>
    <w:rPr>
      <w:color w:val="000000"/>
      <w:sz w:val="40"/>
    </w:rPr>
  </w:style>
  <w:style w:type="paragraph" w:customStyle="1" w:styleId="TOCTitle">
    <w:name w:val="TOCTitle"/>
    <w:basedOn w:val="Heading1"/>
    <w:rsid w:val="001D0771"/>
    <w:pPr>
      <w:spacing w:after="240"/>
      <w:jc w:val="center"/>
      <w:outlineLvl w:val="9"/>
    </w:pPr>
    <w:rPr>
      <w:caps/>
    </w:rPr>
  </w:style>
  <w:style w:type="paragraph" w:customStyle="1" w:styleId="Version">
    <w:name w:val="Version"/>
    <w:rsid w:val="001D07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771"/>
    <w:pPr>
      <w:keepNext w:val="0"/>
      <w:tabs>
        <w:tab w:val="right" w:pos="4176"/>
      </w:tabs>
      <w:ind w:left="198" w:hanging="198"/>
    </w:pPr>
    <w:rPr>
      <w:rFonts w:ascii="Garamond" w:hAnsi="Garamond"/>
    </w:rPr>
  </w:style>
  <w:style w:type="paragraph" w:styleId="IndexHeading">
    <w:name w:val="index heading"/>
    <w:basedOn w:val="Normal"/>
    <w:next w:val="Index1"/>
    <w:semiHidden/>
    <w:rsid w:val="001D0771"/>
    <w:pPr>
      <w:spacing w:before="120" w:after="120"/>
    </w:pPr>
    <w:rPr>
      <w:rFonts w:ascii="Arial" w:hAnsi="Arial"/>
      <w:b/>
      <w:color w:val="918585"/>
      <w:sz w:val="24"/>
    </w:rPr>
  </w:style>
  <w:style w:type="paragraph" w:styleId="Header">
    <w:name w:val="header"/>
    <w:basedOn w:val="Normal"/>
    <w:link w:val="HeaderChar"/>
    <w:rsid w:val="001D0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771"/>
    <w:rPr>
      <w:rFonts w:ascii="Times New Roman" w:eastAsia="Times New Roman" w:hAnsi="Times New Roman" w:cs="Times New Roman"/>
      <w:sz w:val="16"/>
      <w:szCs w:val="20"/>
      <w:lang w:val="en-GB" w:eastAsia="en-US"/>
    </w:rPr>
  </w:style>
  <w:style w:type="paragraph" w:customStyle="1" w:styleId="Chapter">
    <w:name w:val="Chapter"/>
    <w:basedOn w:val="Normal"/>
    <w:rsid w:val="001D0771"/>
    <w:pPr>
      <w:spacing w:before="240"/>
    </w:pPr>
    <w:rPr>
      <w:rFonts w:ascii="Times New Roman" w:hAnsi="Times New Roman"/>
      <w:smallCaps/>
      <w:spacing w:val="80"/>
      <w:sz w:val="28"/>
    </w:rPr>
  </w:style>
  <w:style w:type="paragraph" w:customStyle="1" w:styleId="InChapter">
    <w:name w:val="InChapter"/>
    <w:basedOn w:val="Heading3"/>
    <w:rsid w:val="001D0771"/>
    <w:pPr>
      <w:spacing w:after="240"/>
      <w:outlineLvl w:val="9"/>
    </w:pPr>
    <w:rPr>
      <w:noProof/>
    </w:rPr>
  </w:style>
  <w:style w:type="paragraph" w:styleId="Index2">
    <w:name w:val="index 2"/>
    <w:basedOn w:val="Normal"/>
    <w:next w:val="Normal"/>
    <w:semiHidden/>
    <w:rsid w:val="001D0771"/>
    <w:pPr>
      <w:tabs>
        <w:tab w:val="right" w:pos="4176"/>
      </w:tabs>
      <w:ind w:left="568" w:hanging="284"/>
    </w:pPr>
    <w:rPr>
      <w:rFonts w:ascii="Garamond" w:hAnsi="Garamond"/>
    </w:rPr>
  </w:style>
  <w:style w:type="paragraph" w:customStyle="1" w:styleId="Byline">
    <w:name w:val="Byline"/>
    <w:rsid w:val="001D0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771"/>
    <w:pPr>
      <w:tabs>
        <w:tab w:val="clear" w:pos="3600"/>
        <w:tab w:val="clear" w:pos="3958"/>
      </w:tabs>
      <w:jc w:val="right"/>
    </w:pPr>
  </w:style>
  <w:style w:type="paragraph" w:styleId="Caption">
    <w:name w:val="caption"/>
    <w:basedOn w:val="BodyText"/>
    <w:next w:val="Normal"/>
    <w:qFormat/>
    <w:rsid w:val="001D0771"/>
    <w:pPr>
      <w:framePr w:w="2268" w:hSpace="181" w:vSpace="181" w:wrap="around" w:vAnchor="text" w:hAnchor="page" w:x="1135" w:y="285" w:anchorLock="1"/>
    </w:pPr>
    <w:rPr>
      <w:i/>
    </w:rPr>
  </w:style>
  <w:style w:type="paragraph" w:customStyle="1" w:styleId="MiniTOCTitle">
    <w:name w:val="MiniTOCTitle"/>
    <w:basedOn w:val="Heading4"/>
    <w:rsid w:val="001D0771"/>
    <w:pPr>
      <w:spacing w:before="240"/>
      <w:outlineLvl w:val="9"/>
    </w:pPr>
    <w:rPr>
      <w:noProof/>
      <w:sz w:val="24"/>
    </w:rPr>
  </w:style>
  <w:style w:type="paragraph" w:customStyle="1" w:styleId="MiniTOCItem">
    <w:name w:val="MiniTOCItem"/>
    <w:basedOn w:val="ListBullet"/>
    <w:rsid w:val="001D0771"/>
    <w:pPr>
      <w:numPr>
        <w:numId w:val="0"/>
      </w:numPr>
      <w:tabs>
        <w:tab w:val="right" w:leader="dot" w:pos="6521"/>
      </w:tabs>
      <w:spacing w:before="0" w:after="0"/>
    </w:pPr>
  </w:style>
  <w:style w:type="paragraph" w:customStyle="1" w:styleId="TOFTitle">
    <w:name w:val="TOFTitle"/>
    <w:basedOn w:val="TOCTitle"/>
    <w:rsid w:val="001D0771"/>
  </w:style>
  <w:style w:type="paragraph" w:styleId="TableofFigures">
    <w:name w:val="table of figures"/>
    <w:basedOn w:val="Normal"/>
    <w:next w:val="Normal"/>
    <w:semiHidden/>
    <w:rsid w:val="001D0771"/>
    <w:pPr>
      <w:tabs>
        <w:tab w:val="right" w:leader="dot" w:pos="9072"/>
      </w:tabs>
      <w:ind w:left="970" w:hanging="403"/>
    </w:pPr>
    <w:rPr>
      <w:rFonts w:ascii="Times New Roman" w:hAnsi="Times New Roman"/>
      <w:b/>
    </w:rPr>
  </w:style>
  <w:style w:type="paragraph" w:styleId="ListNumber">
    <w:name w:val="List Number"/>
    <w:basedOn w:val="List"/>
    <w:rsid w:val="001D0771"/>
    <w:pPr>
      <w:numPr>
        <w:numId w:val="15"/>
      </w:numPr>
      <w:tabs>
        <w:tab w:val="clear" w:pos="340"/>
      </w:tabs>
    </w:pPr>
  </w:style>
  <w:style w:type="character" w:customStyle="1" w:styleId="WingdingSymbols">
    <w:name w:val="Wingding Symbols"/>
    <w:rsid w:val="001D0771"/>
    <w:rPr>
      <w:rFonts w:ascii="Wingdings" w:hAnsi="Wingdings"/>
    </w:rPr>
  </w:style>
  <w:style w:type="paragraph" w:customStyle="1" w:styleId="TableHeading">
    <w:name w:val="Table Heading"/>
    <w:basedOn w:val="HeadingBase"/>
    <w:rsid w:val="001D0771"/>
    <w:pPr>
      <w:keepLines/>
      <w:pBdr>
        <w:bottom w:val="single" w:sz="6" w:space="1" w:color="918585"/>
      </w:pBdr>
      <w:spacing w:before="240"/>
    </w:pPr>
  </w:style>
  <w:style w:type="character" w:customStyle="1" w:styleId="HotSpot">
    <w:name w:val="HotSpot"/>
    <w:rsid w:val="001D0771"/>
    <w:rPr>
      <w:color w:val="0033CC"/>
      <w:u w:val="none"/>
    </w:rPr>
  </w:style>
  <w:style w:type="paragraph" w:customStyle="1" w:styleId="BodyTextRight">
    <w:name w:val="Body Text Right"/>
    <w:basedOn w:val="BodyText"/>
    <w:rsid w:val="001D0771"/>
    <w:pPr>
      <w:spacing w:before="0" w:after="0"/>
      <w:jc w:val="right"/>
    </w:pPr>
  </w:style>
  <w:style w:type="paragraph" w:styleId="Index3">
    <w:name w:val="index 3"/>
    <w:basedOn w:val="ListNumber2"/>
    <w:next w:val="Normal"/>
    <w:semiHidden/>
    <w:rsid w:val="001D0771"/>
    <w:pPr>
      <w:numPr>
        <w:numId w:val="0"/>
      </w:numPr>
      <w:tabs>
        <w:tab w:val="right" w:leader="dot" w:pos="4176"/>
      </w:tabs>
    </w:pPr>
  </w:style>
  <w:style w:type="paragraph" w:styleId="ListNumber2">
    <w:name w:val="List Number 2"/>
    <w:basedOn w:val="List2"/>
    <w:rsid w:val="001D0771"/>
    <w:pPr>
      <w:numPr>
        <w:numId w:val="10"/>
      </w:numPr>
      <w:tabs>
        <w:tab w:val="clear" w:pos="1060"/>
      </w:tabs>
    </w:pPr>
  </w:style>
  <w:style w:type="paragraph" w:customStyle="1" w:styleId="MarginNote">
    <w:name w:val="Margin Note"/>
    <w:basedOn w:val="BodyText"/>
    <w:rsid w:val="001D0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771"/>
    <w:rPr>
      <w:sz w:val="32"/>
    </w:rPr>
  </w:style>
  <w:style w:type="paragraph" w:customStyle="1" w:styleId="HeadingProcedure">
    <w:name w:val="Heading Procedure"/>
    <w:basedOn w:val="HeadingBase"/>
    <w:next w:val="Normal"/>
    <w:rsid w:val="001D0771"/>
    <w:pPr>
      <w:tabs>
        <w:tab w:val="left" w:pos="0"/>
      </w:tabs>
      <w:spacing w:before="120" w:after="60"/>
    </w:pPr>
    <w:rPr>
      <w:i/>
      <w:color w:val="918585"/>
      <w:sz w:val="22"/>
    </w:rPr>
  </w:style>
  <w:style w:type="paragraph" w:customStyle="1" w:styleId="TableBodyText">
    <w:name w:val="Table Body Text"/>
    <w:basedOn w:val="BodyText"/>
    <w:rsid w:val="001D0771"/>
    <w:pPr>
      <w:spacing w:before="60" w:after="60"/>
    </w:pPr>
  </w:style>
  <w:style w:type="paragraph" w:styleId="ListContinue">
    <w:name w:val="List Continue"/>
    <w:basedOn w:val="List"/>
    <w:rsid w:val="001D0771"/>
    <w:pPr>
      <w:ind w:firstLine="0"/>
    </w:pPr>
  </w:style>
  <w:style w:type="paragraph" w:customStyle="1" w:styleId="ListNote">
    <w:name w:val="List Note"/>
    <w:basedOn w:val="List"/>
    <w:rsid w:val="001D0771"/>
    <w:pPr>
      <w:pBdr>
        <w:top w:val="single" w:sz="6" w:space="2" w:color="918585"/>
        <w:bottom w:val="single" w:sz="6" w:space="2" w:color="918585"/>
      </w:pBdr>
      <w:tabs>
        <w:tab w:val="left" w:pos="1021"/>
      </w:tabs>
      <w:ind w:firstLine="0"/>
    </w:pPr>
  </w:style>
  <w:style w:type="paragraph" w:customStyle="1" w:styleId="Warning">
    <w:name w:val="Warning"/>
    <w:basedOn w:val="BodyText"/>
    <w:rsid w:val="001D0771"/>
    <w:pPr>
      <w:shd w:val="clear" w:color="auto" w:fill="D9D9D9"/>
      <w:tabs>
        <w:tab w:val="left" w:pos="992"/>
      </w:tabs>
      <w:ind w:left="119" w:right="119"/>
    </w:pPr>
    <w:rPr>
      <w:sz w:val="20"/>
    </w:rPr>
  </w:style>
  <w:style w:type="paragraph" w:customStyle="1" w:styleId="MarginIcons">
    <w:name w:val="Margin Icons"/>
    <w:basedOn w:val="BodyText"/>
    <w:rsid w:val="001D07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771"/>
    <w:rPr>
      <w:rFonts w:ascii="Courier New" w:hAnsi="Courier New"/>
    </w:rPr>
  </w:style>
  <w:style w:type="paragraph" w:customStyle="1" w:styleId="NoteBullet">
    <w:name w:val="Note Bullet"/>
    <w:basedOn w:val="Note"/>
    <w:rsid w:val="001D0771"/>
    <w:pPr>
      <w:tabs>
        <w:tab w:val="clear" w:pos="680"/>
      </w:tabs>
      <w:spacing w:before="60" w:after="60"/>
    </w:pPr>
  </w:style>
  <w:style w:type="paragraph" w:customStyle="1" w:styleId="SubHeading2">
    <w:name w:val="SubHeading2"/>
    <w:basedOn w:val="HeadingBase"/>
    <w:rsid w:val="001D0771"/>
    <w:pPr>
      <w:spacing w:before="240" w:after="60"/>
    </w:pPr>
    <w:rPr>
      <w:sz w:val="20"/>
    </w:rPr>
  </w:style>
  <w:style w:type="paragraph" w:customStyle="1" w:styleId="SubHeading1">
    <w:name w:val="SubHeading1"/>
    <w:basedOn w:val="HeadingBase"/>
    <w:rsid w:val="001D0771"/>
    <w:pPr>
      <w:spacing w:before="240" w:after="60"/>
    </w:pPr>
    <w:rPr>
      <w:color w:val="918585"/>
      <w:sz w:val="22"/>
    </w:rPr>
  </w:style>
  <w:style w:type="paragraph" w:customStyle="1" w:styleId="SideHeading">
    <w:name w:val="Side Heading"/>
    <w:basedOn w:val="HeadingBase"/>
    <w:rsid w:val="001D0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771"/>
    <w:pPr>
      <w:tabs>
        <w:tab w:val="num" w:pos="360"/>
      </w:tabs>
    </w:pPr>
  </w:style>
  <w:style w:type="paragraph" w:styleId="PlainText">
    <w:name w:val="Plain Text"/>
    <w:basedOn w:val="Normal"/>
    <w:link w:val="PlainTextChar"/>
    <w:rsid w:val="001D0771"/>
    <w:rPr>
      <w:sz w:val="20"/>
    </w:rPr>
  </w:style>
  <w:style w:type="character" w:customStyle="1" w:styleId="PlainTextChar">
    <w:name w:val="Plain Text Char"/>
    <w:basedOn w:val="DefaultParagraphFont"/>
    <w:link w:val="PlainText"/>
    <w:rsid w:val="001D0771"/>
    <w:rPr>
      <w:rFonts w:ascii="Courier New" w:eastAsia="Times New Roman" w:hAnsi="Courier New" w:cs="Times New Roman"/>
      <w:sz w:val="20"/>
      <w:szCs w:val="20"/>
      <w:lang w:eastAsia="en-US"/>
    </w:rPr>
  </w:style>
  <w:style w:type="character" w:customStyle="1" w:styleId="MenuOption">
    <w:name w:val="Menu Option"/>
    <w:basedOn w:val="DefaultParagraphFont"/>
    <w:rsid w:val="001D0771"/>
    <w:rPr>
      <w:b/>
      <w:smallCaps/>
    </w:rPr>
  </w:style>
  <w:style w:type="paragraph" w:customStyle="1" w:styleId="TableListNumber">
    <w:name w:val="Table List Number"/>
    <w:basedOn w:val="ListNumber"/>
    <w:rsid w:val="001D0771"/>
    <w:pPr>
      <w:numPr>
        <w:numId w:val="0"/>
      </w:numPr>
    </w:pPr>
  </w:style>
  <w:style w:type="paragraph" w:styleId="TOC4">
    <w:name w:val="toc 4"/>
    <w:basedOn w:val="TOCBase"/>
    <w:next w:val="Normal"/>
    <w:semiHidden/>
    <w:rsid w:val="001D0771"/>
    <w:pPr>
      <w:tabs>
        <w:tab w:val="right" w:leader="dot" w:pos="9071"/>
      </w:tabs>
      <w:ind w:left="1701"/>
    </w:pPr>
  </w:style>
  <w:style w:type="paragraph" w:customStyle="1" w:styleId="ListAlpha">
    <w:name w:val="List Alpha"/>
    <w:basedOn w:val="List"/>
    <w:rsid w:val="001D0771"/>
    <w:pPr>
      <w:numPr>
        <w:numId w:val="9"/>
      </w:numPr>
    </w:pPr>
  </w:style>
  <w:style w:type="paragraph" w:customStyle="1" w:styleId="ListAlpha2">
    <w:name w:val="List Alpha 2"/>
    <w:basedOn w:val="List2"/>
    <w:rsid w:val="001D0771"/>
    <w:pPr>
      <w:numPr>
        <w:numId w:val="8"/>
      </w:numPr>
    </w:pPr>
  </w:style>
  <w:style w:type="paragraph" w:styleId="List2">
    <w:name w:val="List 2"/>
    <w:basedOn w:val="BodyText"/>
    <w:rsid w:val="001D0771"/>
    <w:pPr>
      <w:tabs>
        <w:tab w:val="left" w:pos="680"/>
      </w:tabs>
      <w:spacing w:before="60" w:after="60"/>
      <w:ind w:left="680" w:hanging="340"/>
    </w:pPr>
  </w:style>
  <w:style w:type="paragraph" w:styleId="List3">
    <w:name w:val="List 3"/>
    <w:basedOn w:val="BodyText"/>
    <w:rsid w:val="001D0771"/>
    <w:pPr>
      <w:tabs>
        <w:tab w:val="left" w:pos="1021"/>
      </w:tabs>
      <w:spacing w:before="60" w:after="60"/>
      <w:ind w:left="1020" w:hanging="340"/>
    </w:pPr>
  </w:style>
  <w:style w:type="paragraph" w:styleId="List4">
    <w:name w:val="List 4"/>
    <w:basedOn w:val="BodyText"/>
    <w:rsid w:val="001D0771"/>
    <w:pPr>
      <w:tabs>
        <w:tab w:val="left" w:pos="1361"/>
      </w:tabs>
      <w:spacing w:before="60" w:after="60"/>
      <w:ind w:left="1361" w:hanging="340"/>
    </w:pPr>
  </w:style>
  <w:style w:type="paragraph" w:styleId="List5">
    <w:name w:val="List 5"/>
    <w:basedOn w:val="BodyText"/>
    <w:rsid w:val="001D0771"/>
    <w:pPr>
      <w:tabs>
        <w:tab w:val="left" w:pos="1701"/>
      </w:tabs>
      <w:spacing w:before="60" w:after="60"/>
      <w:ind w:left="1701" w:hanging="340"/>
    </w:pPr>
  </w:style>
  <w:style w:type="paragraph" w:styleId="ListBullet3">
    <w:name w:val="List Bullet 3"/>
    <w:basedOn w:val="List3"/>
    <w:rsid w:val="001D0771"/>
    <w:pPr>
      <w:numPr>
        <w:numId w:val="14"/>
      </w:numPr>
      <w:tabs>
        <w:tab w:val="clear" w:pos="1021"/>
      </w:tabs>
      <w:ind w:left="1037" w:hanging="357"/>
    </w:pPr>
  </w:style>
  <w:style w:type="paragraph" w:styleId="ListBullet4">
    <w:name w:val="List Bullet 4"/>
    <w:basedOn w:val="List4"/>
    <w:rsid w:val="001D0771"/>
    <w:pPr>
      <w:numPr>
        <w:numId w:val="3"/>
      </w:numPr>
      <w:tabs>
        <w:tab w:val="clear" w:pos="1361"/>
      </w:tabs>
    </w:pPr>
  </w:style>
  <w:style w:type="paragraph" w:styleId="ListBullet5">
    <w:name w:val="List Bullet 5"/>
    <w:basedOn w:val="List5"/>
    <w:rsid w:val="001D0771"/>
    <w:pPr>
      <w:numPr>
        <w:numId w:val="4"/>
      </w:numPr>
    </w:pPr>
  </w:style>
  <w:style w:type="paragraph" w:styleId="ListContinue2">
    <w:name w:val="List Continue 2"/>
    <w:basedOn w:val="List2"/>
    <w:rsid w:val="001D0771"/>
    <w:pPr>
      <w:ind w:firstLine="0"/>
    </w:pPr>
  </w:style>
  <w:style w:type="paragraph" w:styleId="ListContinue3">
    <w:name w:val="List Continue 3"/>
    <w:basedOn w:val="List3"/>
    <w:rsid w:val="001D0771"/>
    <w:pPr>
      <w:ind w:left="1021" w:firstLine="0"/>
    </w:pPr>
  </w:style>
  <w:style w:type="paragraph" w:styleId="ListContinue4">
    <w:name w:val="List Continue 4"/>
    <w:basedOn w:val="List4"/>
    <w:rsid w:val="001D0771"/>
    <w:pPr>
      <w:ind w:firstLine="0"/>
    </w:pPr>
  </w:style>
  <w:style w:type="paragraph" w:styleId="ListContinue5">
    <w:name w:val="List Continue 5"/>
    <w:basedOn w:val="List5"/>
    <w:rsid w:val="001D0771"/>
    <w:pPr>
      <w:ind w:firstLine="0"/>
    </w:pPr>
  </w:style>
  <w:style w:type="paragraph" w:styleId="ListNumber3">
    <w:name w:val="List Number 3"/>
    <w:basedOn w:val="List3"/>
    <w:rsid w:val="001D0771"/>
    <w:pPr>
      <w:numPr>
        <w:numId w:val="5"/>
      </w:numPr>
    </w:pPr>
  </w:style>
  <w:style w:type="paragraph" w:styleId="ListNumber4">
    <w:name w:val="List Number 4"/>
    <w:basedOn w:val="List4"/>
    <w:rsid w:val="001D0771"/>
    <w:pPr>
      <w:numPr>
        <w:numId w:val="6"/>
      </w:numPr>
    </w:pPr>
  </w:style>
  <w:style w:type="paragraph" w:styleId="ListNumber5">
    <w:name w:val="List Number 5"/>
    <w:basedOn w:val="List5"/>
    <w:rsid w:val="001D0771"/>
    <w:pPr>
      <w:numPr>
        <w:numId w:val="7"/>
      </w:numPr>
    </w:pPr>
  </w:style>
  <w:style w:type="paragraph" w:styleId="BlockText">
    <w:name w:val="Block Text"/>
    <w:basedOn w:val="Normal"/>
    <w:rsid w:val="001D0771"/>
    <w:pPr>
      <w:spacing w:after="120"/>
      <w:ind w:left="1440" w:right="1440"/>
    </w:pPr>
  </w:style>
  <w:style w:type="character" w:customStyle="1" w:styleId="Subscript">
    <w:name w:val="Subscript"/>
    <w:basedOn w:val="DefaultParagraphFont"/>
    <w:rsid w:val="001D0771"/>
    <w:rPr>
      <w:sz w:val="16"/>
      <w:vertAlign w:val="subscript"/>
    </w:rPr>
  </w:style>
  <w:style w:type="character" w:customStyle="1" w:styleId="Superscript">
    <w:name w:val="Superscript"/>
    <w:basedOn w:val="DefaultParagraphFont"/>
    <w:rsid w:val="001D0771"/>
    <w:rPr>
      <w:sz w:val="16"/>
      <w:vertAlign w:val="superscript"/>
    </w:rPr>
  </w:style>
  <w:style w:type="character" w:customStyle="1" w:styleId="Symbols">
    <w:name w:val="Symbols"/>
    <w:basedOn w:val="DefaultParagraphFont"/>
    <w:rsid w:val="001D0771"/>
    <w:rPr>
      <w:rFonts w:ascii="Symbol" w:hAnsi="Symbol"/>
    </w:rPr>
  </w:style>
  <w:style w:type="character" w:customStyle="1" w:styleId="MenuOptions">
    <w:name w:val="Menu Options"/>
    <w:basedOn w:val="DefaultParagraphFont"/>
    <w:rsid w:val="001D0771"/>
    <w:rPr>
      <w:rFonts w:ascii="Arial Narrow" w:hAnsi="Arial Narrow"/>
      <w:smallCaps/>
    </w:rPr>
  </w:style>
  <w:style w:type="character" w:customStyle="1" w:styleId="Buttons">
    <w:name w:val="Buttons"/>
    <w:basedOn w:val="DefaultParagraphFont"/>
    <w:rsid w:val="001D0771"/>
    <w:rPr>
      <w:b/>
    </w:rPr>
  </w:style>
  <w:style w:type="character" w:customStyle="1" w:styleId="Underlined">
    <w:name w:val="Underlined"/>
    <w:basedOn w:val="DefaultParagraphFont"/>
    <w:rsid w:val="001D0771"/>
    <w:rPr>
      <w:u w:val="single"/>
    </w:rPr>
  </w:style>
  <w:style w:type="paragraph" w:customStyle="1" w:styleId="TableBodyTextRight">
    <w:name w:val="Table Body Text Right"/>
    <w:basedOn w:val="TableBodyText"/>
    <w:rsid w:val="001D0771"/>
    <w:pPr>
      <w:widowControl w:val="0"/>
      <w:autoSpaceDE w:val="0"/>
      <w:autoSpaceDN w:val="0"/>
      <w:adjustRightInd w:val="0"/>
      <w:jc w:val="right"/>
    </w:pPr>
    <w:rPr>
      <w:rFonts w:cs="Arial"/>
      <w:szCs w:val="18"/>
    </w:rPr>
  </w:style>
  <w:style w:type="paragraph" w:customStyle="1" w:styleId="CopyrightText">
    <w:name w:val="Copyright Text"/>
    <w:basedOn w:val="BodyText"/>
    <w:rsid w:val="001D0771"/>
    <w:rPr>
      <w:sz w:val="18"/>
    </w:rPr>
  </w:style>
  <w:style w:type="paragraph" w:customStyle="1" w:styleId="BodySmallRight">
    <w:name w:val="Body Small Right"/>
    <w:basedOn w:val="BodyTextRight"/>
    <w:rsid w:val="001D0771"/>
    <w:rPr>
      <w:sz w:val="18"/>
      <w:szCs w:val="18"/>
    </w:rPr>
  </w:style>
  <w:style w:type="paragraph" w:customStyle="1" w:styleId="MarginEdition">
    <w:name w:val="Margin Edition"/>
    <w:basedOn w:val="MarginNote"/>
    <w:rsid w:val="001D0771"/>
    <w:pPr>
      <w:spacing w:before="0" w:after="0"/>
    </w:pPr>
    <w:rPr>
      <w:rFonts w:ascii="Times New Roman" w:hAnsi="Times New Roman"/>
      <w:color w:val="999999"/>
    </w:rPr>
  </w:style>
  <w:style w:type="paragraph" w:customStyle="1" w:styleId="Spacer">
    <w:name w:val="Spacer"/>
    <w:basedOn w:val="Normal"/>
    <w:rsid w:val="001D0771"/>
    <w:rPr>
      <w:sz w:val="2"/>
      <w:szCs w:val="2"/>
    </w:rPr>
  </w:style>
  <w:style w:type="character" w:customStyle="1" w:styleId="Small">
    <w:name w:val="Small"/>
    <w:basedOn w:val="DefaultParagraphFont"/>
    <w:rsid w:val="001D0771"/>
    <w:rPr>
      <w:sz w:val="16"/>
    </w:rPr>
  </w:style>
  <w:style w:type="paragraph" w:customStyle="1" w:styleId="WideTable">
    <w:name w:val="Wide Table"/>
    <w:basedOn w:val="Normal"/>
    <w:rsid w:val="001D0771"/>
    <w:pPr>
      <w:ind w:left="-1418"/>
    </w:pPr>
    <w:rPr>
      <w:sz w:val="2"/>
      <w:szCs w:val="2"/>
    </w:rPr>
  </w:style>
  <w:style w:type="character" w:styleId="PageNumber">
    <w:name w:val="page number"/>
    <w:basedOn w:val="DefaultParagraphFont"/>
    <w:rsid w:val="001D0771"/>
  </w:style>
  <w:style w:type="paragraph" w:styleId="Quote">
    <w:name w:val="Quote"/>
    <w:basedOn w:val="Heading1"/>
    <w:link w:val="QuoteChar"/>
    <w:qFormat/>
    <w:rsid w:val="001D0771"/>
    <w:rPr>
      <w:b w:val="0"/>
      <w:sz w:val="72"/>
      <w:szCs w:val="72"/>
      <w:lang w:val="en-NZ"/>
    </w:rPr>
  </w:style>
  <w:style w:type="character" w:customStyle="1" w:styleId="QuoteChar">
    <w:name w:val="Quote Char"/>
    <w:basedOn w:val="DefaultParagraphFont"/>
    <w:link w:val="Quote"/>
    <w:rsid w:val="001D0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771"/>
    <w:pPr>
      <w:pageBreakBefore/>
    </w:pPr>
  </w:style>
  <w:style w:type="paragraph" w:customStyle="1" w:styleId="Border">
    <w:name w:val="Border"/>
    <w:basedOn w:val="Normal"/>
    <w:qFormat/>
    <w:rsid w:val="001D0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771"/>
    <w:rPr>
      <w:b/>
      <w:bCs/>
      <w:i/>
      <w:iCs/>
      <w:color w:val="auto"/>
    </w:rPr>
  </w:style>
  <w:style w:type="paragraph" w:styleId="IntenseQuote">
    <w:name w:val="Intense Quote"/>
    <w:basedOn w:val="Normal"/>
    <w:next w:val="Normal"/>
    <w:link w:val="IntenseQuoteChar"/>
    <w:uiPriority w:val="30"/>
    <w:qFormat/>
    <w:rsid w:val="001D0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771"/>
    <w:rPr>
      <w:smallCaps/>
      <w:color w:val="auto"/>
      <w:u w:val="single"/>
    </w:rPr>
  </w:style>
  <w:style w:type="character" w:styleId="IntenseReference">
    <w:name w:val="Intense Reference"/>
    <w:basedOn w:val="DefaultParagraphFont"/>
    <w:uiPriority w:val="32"/>
    <w:qFormat/>
    <w:rsid w:val="001D0771"/>
    <w:rPr>
      <w:b/>
      <w:bCs/>
      <w:smallCaps/>
      <w:color w:val="auto"/>
      <w:spacing w:val="5"/>
      <w:u w:val="single"/>
    </w:rPr>
  </w:style>
  <w:style w:type="paragraph" w:customStyle="1" w:styleId="2ColumnHeading">
    <w:name w:val="2Column Heading"/>
    <w:basedOn w:val="BodyText"/>
    <w:qFormat/>
    <w:rsid w:val="001D0771"/>
    <w:pPr>
      <w:spacing w:after="60"/>
      <w:ind w:left="-2268"/>
    </w:pPr>
    <w:rPr>
      <w:b/>
    </w:rPr>
  </w:style>
  <w:style w:type="paragraph" w:customStyle="1" w:styleId="Heading1TOC">
    <w:name w:val="Heading1 TOC"/>
    <w:basedOn w:val="Normal"/>
    <w:qFormat/>
    <w:rsid w:val="001D0771"/>
    <w:pPr>
      <w:spacing w:before="240" w:after="120"/>
    </w:pPr>
    <w:rPr>
      <w:rFonts w:ascii="Times New Roman" w:hAnsi="Times New Roman"/>
      <w:b/>
      <w:sz w:val="32"/>
    </w:rPr>
  </w:style>
  <w:style w:type="paragraph" w:customStyle="1" w:styleId="Heading2TOC">
    <w:name w:val="Heading2 TOC"/>
    <w:basedOn w:val="Normal"/>
    <w:qFormat/>
    <w:rsid w:val="001D0771"/>
    <w:pPr>
      <w:spacing w:before="240" w:after="60"/>
    </w:pPr>
    <w:rPr>
      <w:rFonts w:ascii="Times New Roman" w:hAnsi="Times New Roman"/>
      <w:b/>
      <w:sz w:val="28"/>
    </w:rPr>
  </w:style>
  <w:style w:type="character" w:customStyle="1" w:styleId="Underline">
    <w:name w:val="Underline"/>
    <w:basedOn w:val="DefaultParagraphFont"/>
    <w:qFormat/>
    <w:rsid w:val="001D0771"/>
    <w:rPr>
      <w:u w:val="single"/>
    </w:rPr>
  </w:style>
  <w:style w:type="character" w:customStyle="1" w:styleId="BoldandItalics">
    <w:name w:val="Bold and Italics"/>
    <w:qFormat/>
    <w:rsid w:val="001D0771"/>
    <w:rPr>
      <w:b/>
      <w:i/>
      <w:u w:val="none"/>
    </w:rPr>
  </w:style>
  <w:style w:type="paragraph" w:styleId="BalloonText">
    <w:name w:val="Balloon Text"/>
    <w:basedOn w:val="Normal"/>
    <w:link w:val="BalloonTextChar"/>
    <w:rsid w:val="001D0771"/>
    <w:rPr>
      <w:rFonts w:ascii="Tahoma" w:hAnsi="Tahoma" w:cs="Tahoma"/>
      <w:sz w:val="16"/>
      <w:szCs w:val="16"/>
    </w:rPr>
  </w:style>
  <w:style w:type="character" w:customStyle="1" w:styleId="BalloonTextChar">
    <w:name w:val="Balloon Text Char"/>
    <w:basedOn w:val="DefaultParagraphFont"/>
    <w:link w:val="BalloonText"/>
    <w:rsid w:val="001D0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7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771"/>
    <w:rPr>
      <w:b/>
      <w:color w:val="660033"/>
      <w:spacing w:val="0"/>
    </w:rPr>
  </w:style>
  <w:style w:type="paragraph" w:customStyle="1" w:styleId="Nameditemlist">
    <w:name w:val="Named item list"/>
    <w:basedOn w:val="BodyText"/>
    <w:qFormat/>
    <w:rsid w:val="001D0771"/>
    <w:pPr>
      <w:tabs>
        <w:tab w:val="left" w:pos="2835"/>
      </w:tabs>
      <w:ind w:left="2835" w:hanging="2835"/>
    </w:pPr>
  </w:style>
  <w:style w:type="paragraph" w:customStyle="1" w:styleId="BodyTextnopadding">
    <w:name w:val="Body Text no padding"/>
    <w:basedOn w:val="BodyText"/>
    <w:qFormat/>
    <w:rsid w:val="001D0771"/>
    <w:pPr>
      <w:spacing w:before="0" w:after="0"/>
    </w:pPr>
  </w:style>
  <w:style w:type="paragraph" w:customStyle="1" w:styleId="BodyTextBold">
    <w:name w:val="Body Text Bold"/>
    <w:basedOn w:val="BodyText"/>
    <w:qFormat/>
    <w:rsid w:val="001D0771"/>
    <w:rPr>
      <w:b/>
    </w:rPr>
  </w:style>
  <w:style w:type="character" w:styleId="Hyperlink">
    <w:name w:val="Hyperlink"/>
    <w:basedOn w:val="DefaultParagraphFont"/>
    <w:uiPriority w:val="99"/>
    <w:unhideWhenUsed/>
    <w:rsid w:val="004307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3666</Characters>
  <Application>Microsoft Office Word</Application>
  <DocSecurity>0</DocSecurity>
  <Lines>89</Lines>
  <Paragraphs>71</Paragraphs>
  <ScaleCrop>false</ScaleCrop>
  <Company>Author-it Software Corporation Ltd.</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HLTSTE003 Sterilise loads</dc:title>
  <dc:subject>Approved</dc:subject>
  <dc:creator>SkillsIQ</dc:creator>
  <cp:keywords>Release: 2</cp:keywords>
  <dc:description>Review Date: 12 April 2008</dc:description>
  <cp:lastModifiedBy>HSD_TPCMSd.prod</cp:lastModifiedBy>
  <cp:revision>3</cp:revision>
  <dcterms:created xsi:type="dcterms:W3CDTF">2023-07-02T01:35:00Z</dcterms:created>
  <dcterms:modified xsi:type="dcterms:W3CDTF">2023-07-02T01:35:00Z</dcterms:modified>
</cp:coreProperties>
</file>