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863" w:rsidP="0048086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HLTSHU001 Work within a framework of traditional oriental medicine</w:t>
      </w:r>
      <w:r>
        <w:fldChar w:fldCharType="end"/>
      </w:r>
    </w:p>
    <w:p w:rsidR="00480863" w:rsidP="00480863">
      <w:pPr>
        <w:pStyle w:val="Version"/>
        <w:sectPr w:rsidSect="007C0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242" w:rsidP="007C0242">
      <w:pPr>
        <w:pStyle w:val="SuperHeading"/>
      </w:pPr>
      <w:r w:rsidRPr="007C0242">
        <w:t>HLTSHU001 Work within a framework of traditional oriental medicine</w:t>
      </w:r>
    </w:p>
    <w:p w:rsidR="00000000" w:rsidRPr="007C0242" w:rsidP="007C0242">
      <w:pPr>
        <w:pStyle w:val="Heading1"/>
      </w:pPr>
      <w:bookmarkStart w:id="1" w:name="O_657422"/>
      <w:bookmarkEnd w:id="1"/>
      <w:r w:rsidRPr="007C02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C0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42" w:rsidP="007C0242">
            <w:pPr>
              <w:pStyle w:val="BodyText"/>
            </w:pPr>
            <w:r w:rsidRPr="007C024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42">
            <w:pPr>
              <w:pStyle w:val="BodyText"/>
              <w:rPr>
                <w:lang w:val="en-NZ"/>
              </w:rPr>
            </w:pPr>
            <w:r w:rsidRPr="007C0242">
              <w:rPr>
                <w:rStyle w:val="SpecialBold"/>
              </w:rPr>
              <w:t>Comments</w:t>
            </w:r>
          </w:p>
        </w:tc>
      </w:tr>
      <w:tr w:rsidTr="007C0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42">
            <w:pPr>
              <w:pStyle w:val="BodyText"/>
              <w:rPr>
                <w:lang w:val="en-NZ"/>
              </w:rPr>
            </w:pPr>
            <w:r w:rsidRPr="007C024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42" w:rsidP="007C0242">
            <w:pPr>
              <w:pStyle w:val="BodyText"/>
            </w:pPr>
            <w:r w:rsidRPr="007C0242">
              <w:t xml:space="preserve">This version was released in </w:t>
            </w:r>
            <w:r w:rsidRPr="007C0242">
              <w:rPr>
                <w:rStyle w:val="Emphasis"/>
              </w:rPr>
              <w:t>HLT Health Training Package release 2.0</w:t>
            </w:r>
            <w:r w:rsidRPr="007C0242">
              <w:t xml:space="preserve"> and meets the requirements of the 2012 Standards for Training Packages.</w:t>
            </w:r>
          </w:p>
          <w:p w:rsidR="00000000" w:rsidRPr="007C0242" w:rsidP="007C0242">
            <w:pPr>
              <w:pStyle w:val="BodyText"/>
            </w:pPr>
            <w:r w:rsidRPr="007C0242">
              <w:t>New unit.</w:t>
            </w:r>
          </w:p>
        </w:tc>
      </w:tr>
    </w:tbl>
    <w:p w:rsidR="00480863" w:rsidP="007C0242">
      <w:pPr>
        <w:pStyle w:val="BodyText"/>
      </w:pPr>
    </w:p>
    <w:p w:rsidR="00480863" w:rsidP="007C0242">
      <w:pPr>
        <w:pStyle w:val="BodyText"/>
      </w:pPr>
    </w:p>
    <w:p w:rsidR="00000000" w:rsidRPr="007C0242" w:rsidP="007C0242">
      <w:pPr>
        <w:pStyle w:val="Heading1"/>
      </w:pPr>
      <w:bookmarkStart w:id="2" w:name="O_657423"/>
      <w:bookmarkEnd w:id="2"/>
      <w:r w:rsidRPr="007C0242">
        <w:t>Application</w:t>
      </w:r>
    </w:p>
    <w:p w:rsidR="00000000" w:rsidRPr="007C0242" w:rsidP="00480863">
      <w:pPr>
        <w:pStyle w:val="BodyText"/>
      </w:pPr>
      <w:r w:rsidRPr="007C0242">
        <w:t>This unit describes the skills and knowledge required to establish the foundations of traditional oriental medicine and then to integrate its</w:t>
      </w:r>
      <w:r w:rsidRPr="007C0242">
        <w:t xml:space="preserve"> philosophies and principles into practice. </w:t>
      </w:r>
    </w:p>
    <w:p w:rsidR="00000000" w:rsidRPr="007C0242" w:rsidP="00480863">
      <w:pPr>
        <w:pStyle w:val="BodyText"/>
      </w:pPr>
      <w:r w:rsidRPr="007C0242">
        <w:t>This unit applies to any complementary health practitioner whose practice is based on the oriental medicine framework.</w:t>
      </w:r>
    </w:p>
    <w:p w:rsidR="00000000" w:rsidRPr="00480863" w:rsidP="00480863">
      <w:pPr>
        <w:pStyle w:val="BodyText"/>
        <w:rPr>
          <w:i/>
        </w:rPr>
      </w:pPr>
      <w:r w:rsidRPr="00480863">
        <w:rPr>
          <w:rStyle w:val="Emphasis"/>
        </w:rPr>
        <w:t>The skills in this unit must be applied in accordance with Commonwealth and State/Territor</w:t>
      </w:r>
      <w:r w:rsidRPr="00480863">
        <w:rPr>
          <w:rStyle w:val="Emphasis"/>
        </w:rPr>
        <w:t>y legislation, Australian/New Zealand standards and industry codes of practice</w:t>
      </w:r>
      <w:r w:rsidRPr="00480863">
        <w:rPr>
          <w:i/>
        </w:rPr>
        <w:t>.</w:t>
      </w:r>
    </w:p>
    <w:p w:rsidR="00000000" w:rsidRPr="007C0242" w:rsidP="007C0242">
      <w:pPr>
        <w:pStyle w:val="Heading1"/>
      </w:pPr>
      <w:bookmarkStart w:id="3" w:name="O_657427"/>
      <w:bookmarkEnd w:id="3"/>
      <w:r w:rsidRPr="007C02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C0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42" w:rsidP="007C0242">
            <w:pPr>
              <w:pStyle w:val="BodyText"/>
            </w:pPr>
            <w:r w:rsidRPr="007C024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42">
            <w:pPr>
              <w:pStyle w:val="BodyText"/>
              <w:rPr>
                <w:lang w:val="en-NZ"/>
              </w:rPr>
            </w:pPr>
            <w:r w:rsidRPr="007C0242">
              <w:rPr>
                <w:rStyle w:val="SpecialBold"/>
              </w:rPr>
              <w:t>PERFORMANCE CRITERIA</w:t>
            </w:r>
          </w:p>
        </w:tc>
      </w:tr>
      <w:tr w:rsidTr="007C0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42" w:rsidP="007C0242">
            <w:pPr>
              <w:pStyle w:val="BodyText"/>
            </w:pPr>
            <w:r w:rsidRPr="007C024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42">
            <w:pPr>
              <w:pStyle w:val="BodyText"/>
              <w:rPr>
                <w:lang w:val="en-NZ"/>
              </w:rPr>
            </w:pPr>
            <w:r w:rsidRPr="007C02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0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42">
            <w:pPr>
              <w:pStyle w:val="BodyText"/>
              <w:rPr>
                <w:lang w:val="en-NZ"/>
              </w:rPr>
            </w:pPr>
            <w:r w:rsidRPr="007C0242">
              <w:t xml:space="preserve">1. Establish foundations of traditional oriental medicine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42" w:rsidP="007C0242">
            <w:pPr>
              <w:pStyle w:val="BodyText"/>
            </w:pPr>
            <w:r w:rsidRPr="007C0242">
              <w:t>1.1 Identify, access and interpret information on the central philosophies of traditional oriental m</w:t>
            </w:r>
            <w:r w:rsidRPr="007C0242">
              <w:t>edicine</w:t>
            </w:r>
          </w:p>
          <w:p w:rsidR="00000000" w:rsidRPr="007C0242" w:rsidP="007C0242">
            <w:pPr>
              <w:pStyle w:val="BodyText"/>
            </w:pPr>
            <w:r w:rsidRPr="007C0242">
              <w:t>1.2 Evaluate the traditional oriental medicine system of treatment and its application to current health issues</w:t>
            </w:r>
          </w:p>
          <w:p w:rsidR="00000000" w:rsidP="007C0242">
            <w:pPr>
              <w:pStyle w:val="BodyText"/>
              <w:rPr>
                <w:lang w:val="en-NZ"/>
              </w:rPr>
            </w:pPr>
            <w:r w:rsidRPr="007C0242">
              <w:t>1.3 Assess and determine how traditional oriental medicine is used within different complementary health modalities and within broader h</w:t>
            </w:r>
            <w:r w:rsidRPr="007C0242">
              <w:t xml:space="preserve">ealth practice </w:t>
            </w:r>
          </w:p>
        </w:tc>
      </w:tr>
      <w:tr w:rsidTr="007C0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42">
            <w:pPr>
              <w:pStyle w:val="BodyText"/>
              <w:rPr>
                <w:lang w:val="en-NZ"/>
              </w:rPr>
            </w:pPr>
          </w:p>
        </w:tc>
      </w:tr>
      <w:tr w:rsidTr="007C0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42">
            <w:pPr>
              <w:pStyle w:val="BodyText"/>
              <w:rPr>
                <w:lang w:val="en-NZ"/>
              </w:rPr>
            </w:pPr>
            <w:r w:rsidRPr="007C0242">
              <w:t>2. Integrate philosophy of traditional oriental medicine into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42" w:rsidP="007C0242">
            <w:pPr>
              <w:pStyle w:val="BodyText"/>
            </w:pPr>
            <w:r w:rsidRPr="007C0242">
              <w:t>2.1 Evaluate the ways in which the traditional oriental medicine framework can enhance own practice</w:t>
            </w:r>
          </w:p>
          <w:p w:rsidR="00000000" w:rsidRPr="007C0242" w:rsidP="007C0242">
            <w:pPr>
              <w:pStyle w:val="BodyText"/>
            </w:pPr>
            <w:r w:rsidRPr="007C0242">
              <w:t>2.2 Investigate detailed aspects of client assessment and treatme</w:t>
            </w:r>
            <w:r w:rsidRPr="007C0242">
              <w:t>nt approach in traditional oriental medicine</w:t>
            </w:r>
          </w:p>
          <w:p w:rsidR="00000000" w:rsidP="007C0242">
            <w:pPr>
              <w:pStyle w:val="BodyText"/>
              <w:rPr>
                <w:lang w:val="en-NZ"/>
              </w:rPr>
            </w:pPr>
            <w:r w:rsidRPr="007C0242">
              <w:t>2.3 Develop and adjust own practice approaches to reflect traditional oriental medicine framework</w:t>
            </w:r>
          </w:p>
        </w:tc>
      </w:tr>
      <w:tr w:rsidTr="007C0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42">
            <w:pPr>
              <w:pStyle w:val="BodyText"/>
              <w:rPr>
                <w:lang w:val="en-NZ"/>
              </w:rPr>
            </w:pPr>
          </w:p>
        </w:tc>
      </w:tr>
      <w:tr w:rsidTr="007C0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42">
            <w:pPr>
              <w:pStyle w:val="BodyText"/>
              <w:rPr>
                <w:lang w:val="en-NZ"/>
              </w:rPr>
            </w:pPr>
            <w:r w:rsidRPr="007C0242">
              <w:t>3. Extend and expand own skills and knowledge in traditional oriental medicine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42" w:rsidP="007C0242">
            <w:pPr>
              <w:pStyle w:val="BodyText"/>
            </w:pPr>
            <w:r w:rsidRPr="007C0242">
              <w:t>3.1 Pro-actively identify and respond to opportunities to expand own knowledge of traditional oriental medicine</w:t>
            </w:r>
          </w:p>
          <w:p w:rsidR="00000000" w:rsidRPr="007C0242" w:rsidP="007C0242">
            <w:pPr>
              <w:pStyle w:val="BodyText"/>
            </w:pPr>
            <w:r w:rsidRPr="007C0242">
              <w:t xml:space="preserve">3.2 Pro-actively engage and collaborate with peers </w:t>
            </w:r>
          </w:p>
        </w:tc>
      </w:tr>
    </w:tbl>
    <w:p w:rsidR="00000000" w:rsidRPr="007C0242" w:rsidP="007C0242">
      <w:pPr>
        <w:pStyle w:val="BodyText"/>
      </w:pPr>
    </w:p>
    <w:p w:rsidR="00000000" w:rsidRPr="007C0242" w:rsidP="007C0242">
      <w:pPr>
        <w:pStyle w:val="AllowPageBreak"/>
      </w:pPr>
    </w:p>
    <w:p w:rsidR="00000000" w:rsidRPr="007C0242" w:rsidP="007C0242">
      <w:pPr>
        <w:pStyle w:val="Heading1"/>
      </w:pPr>
      <w:bookmarkStart w:id="4" w:name="O_657428"/>
      <w:bookmarkEnd w:id="4"/>
      <w:r w:rsidRPr="007C0242">
        <w:t>Foundation Skills</w:t>
      </w:r>
    </w:p>
    <w:p w:rsidR="00480863" w:rsidRPr="00480863" w:rsidP="00480863">
      <w:pPr>
        <w:pStyle w:val="BodyText"/>
        <w:rPr>
          <w:i/>
        </w:rPr>
      </w:pPr>
      <w:r w:rsidRPr="00480863">
        <w:rPr>
          <w:rStyle w:val="Emphasis"/>
        </w:rPr>
        <w:t>The Foundation Skills describe those required skills (l</w:t>
      </w:r>
      <w:r w:rsidRPr="00480863">
        <w:rPr>
          <w:rStyle w:val="Emphasis"/>
        </w:rPr>
        <w:t>anguage, literacy, numeracy and employment skills) that are essential to performance.</w:t>
      </w:r>
    </w:p>
    <w:p w:rsidR="00000000" w:rsidRPr="007C0242" w:rsidP="00480863">
      <w:pPr>
        <w:pStyle w:val="BodyText"/>
      </w:pPr>
      <w:r w:rsidRPr="007C0242">
        <w:t>Foundation skills essential to performance are explicit in the performance criteria of this unit of competency.</w:t>
      </w:r>
    </w:p>
    <w:p w:rsidR="00000000" w:rsidRPr="007C0242" w:rsidP="007C0242">
      <w:pPr>
        <w:pStyle w:val="Heading1"/>
      </w:pPr>
      <w:bookmarkStart w:id="5" w:name="O_657430"/>
      <w:bookmarkEnd w:id="5"/>
      <w:r w:rsidRPr="007C0242">
        <w:t>Unit Mapping Information</w:t>
      </w:r>
    </w:p>
    <w:p w:rsidR="00000000" w:rsidRPr="007C0242" w:rsidP="00480863">
      <w:pPr>
        <w:pStyle w:val="BodyText"/>
      </w:pPr>
      <w:r w:rsidRPr="007C0242">
        <w:t xml:space="preserve">No equivalent </w:t>
      </w:r>
      <w:r w:rsidRPr="007C0242">
        <w:t>unit.</w:t>
      </w:r>
    </w:p>
    <w:p w:rsidR="00000000" w:rsidRPr="007C0242" w:rsidP="007C0242">
      <w:pPr>
        <w:pStyle w:val="Heading1"/>
      </w:pPr>
      <w:bookmarkStart w:id="6" w:name="O_657437"/>
      <w:bookmarkEnd w:id="6"/>
      <w:r w:rsidRPr="007C0242">
        <w:t>Links</w:t>
      </w:r>
    </w:p>
    <w:p w:rsidR="00000000" w:rsidRPr="007C0242" w:rsidP="00480863">
      <w:pPr>
        <w:pStyle w:val="BodyText"/>
      </w:pPr>
      <w:r w:rsidRPr="007C02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20AA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C0242" w:rsidP="007C0242"/>
    <w:sectPr w:rsidSect="007C02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42" w:rsidRPr="00480863" w:rsidP="0048086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86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8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242" w:rsidRPr="00480863" w:rsidP="004808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86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242"/>
  </w:style>
  <w:style w:type="character" w:customStyle="1" w:styleId="Heading1Char">
    <w:name w:val="Heading 1 Char"/>
    <w:basedOn w:val="DefaultParagraphFont"/>
    <w:link w:val="Heading1"/>
    <w:rsid w:val="007C0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2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2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0242"/>
    <w:rPr>
      <w:b/>
      <w:spacing w:val="0"/>
    </w:rPr>
  </w:style>
  <w:style w:type="character" w:styleId="Emphasis">
    <w:name w:val="Emphasis"/>
    <w:basedOn w:val="DefaultParagraphFont"/>
    <w:qFormat/>
    <w:rsid w:val="007C0242"/>
    <w:rPr>
      <w:i/>
    </w:rPr>
  </w:style>
  <w:style w:type="paragraph" w:customStyle="1" w:styleId="SuperHeading">
    <w:name w:val="SuperHeading"/>
    <w:basedOn w:val="Normal"/>
    <w:rsid w:val="007C0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0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2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2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02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0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0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02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0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2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0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242"/>
  </w:style>
  <w:style w:type="paragraph" w:styleId="TableofFigures">
    <w:name w:val="table of figures"/>
    <w:basedOn w:val="Normal"/>
    <w:next w:val="Normal"/>
    <w:semiHidden/>
    <w:rsid w:val="007C0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2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0242"/>
    <w:rPr>
      <w:rFonts w:ascii="Wingdings" w:hAnsi="Wingdings"/>
    </w:rPr>
  </w:style>
  <w:style w:type="paragraph" w:customStyle="1" w:styleId="TableHeading">
    <w:name w:val="Table Heading"/>
    <w:basedOn w:val="HeadingBase"/>
    <w:rsid w:val="007C02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242"/>
    <w:rPr>
      <w:color w:val="0033CC"/>
      <w:u w:val="none"/>
    </w:rPr>
  </w:style>
  <w:style w:type="paragraph" w:customStyle="1" w:styleId="BodyTextRight">
    <w:name w:val="Body Text Right"/>
    <w:basedOn w:val="BodyText"/>
    <w:rsid w:val="007C0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2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242"/>
    <w:rPr>
      <w:sz w:val="32"/>
    </w:rPr>
  </w:style>
  <w:style w:type="paragraph" w:customStyle="1" w:styleId="HeadingProcedure">
    <w:name w:val="Heading Procedure"/>
    <w:basedOn w:val="HeadingBase"/>
    <w:next w:val="Normal"/>
    <w:rsid w:val="007C0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242"/>
    <w:pPr>
      <w:spacing w:before="60" w:after="60"/>
    </w:pPr>
  </w:style>
  <w:style w:type="paragraph" w:styleId="ListContinue">
    <w:name w:val="List Continue"/>
    <w:basedOn w:val="List"/>
    <w:rsid w:val="007C0242"/>
    <w:pPr>
      <w:ind w:firstLine="0"/>
    </w:pPr>
  </w:style>
  <w:style w:type="paragraph" w:customStyle="1" w:styleId="ListNote">
    <w:name w:val="List Note"/>
    <w:basedOn w:val="List"/>
    <w:rsid w:val="007C0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242"/>
    <w:rPr>
      <w:rFonts w:ascii="Courier New" w:hAnsi="Courier New"/>
    </w:rPr>
  </w:style>
  <w:style w:type="paragraph" w:customStyle="1" w:styleId="NoteBullet">
    <w:name w:val="Note Bullet"/>
    <w:basedOn w:val="Note"/>
    <w:rsid w:val="007C0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2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0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242"/>
    <w:rPr>
      <w:b/>
      <w:smallCaps/>
    </w:rPr>
  </w:style>
  <w:style w:type="paragraph" w:customStyle="1" w:styleId="TableListNumber">
    <w:name w:val="Table List Number"/>
    <w:basedOn w:val="ListNumber"/>
    <w:rsid w:val="007C0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242"/>
    <w:pPr>
      <w:numPr>
        <w:numId w:val="7"/>
      </w:numPr>
    </w:pPr>
  </w:style>
  <w:style w:type="paragraph" w:customStyle="1" w:styleId="ListAlpha2">
    <w:name w:val="List Alpha 2"/>
    <w:basedOn w:val="List2"/>
    <w:rsid w:val="007C0242"/>
    <w:pPr>
      <w:numPr>
        <w:numId w:val="6"/>
      </w:numPr>
    </w:pPr>
  </w:style>
  <w:style w:type="paragraph" w:styleId="List2">
    <w:name w:val="List 2"/>
    <w:basedOn w:val="BodyText"/>
    <w:rsid w:val="007C0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2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2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2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0242"/>
    <w:pPr>
      <w:numPr>
        <w:numId w:val="2"/>
      </w:numPr>
    </w:pPr>
  </w:style>
  <w:style w:type="paragraph" w:styleId="ListContinue2">
    <w:name w:val="List Continue 2"/>
    <w:basedOn w:val="List2"/>
    <w:rsid w:val="007C0242"/>
    <w:pPr>
      <w:ind w:firstLine="0"/>
    </w:pPr>
  </w:style>
  <w:style w:type="paragraph" w:styleId="ListContinue3">
    <w:name w:val="List Continue 3"/>
    <w:basedOn w:val="List3"/>
    <w:rsid w:val="007C0242"/>
    <w:pPr>
      <w:ind w:left="1021" w:firstLine="0"/>
    </w:pPr>
  </w:style>
  <w:style w:type="paragraph" w:styleId="ListContinue4">
    <w:name w:val="List Continue 4"/>
    <w:basedOn w:val="List4"/>
    <w:rsid w:val="007C0242"/>
    <w:pPr>
      <w:ind w:firstLine="0"/>
    </w:pPr>
  </w:style>
  <w:style w:type="paragraph" w:styleId="ListContinue5">
    <w:name w:val="List Continue 5"/>
    <w:basedOn w:val="List5"/>
    <w:rsid w:val="007C0242"/>
    <w:pPr>
      <w:ind w:firstLine="0"/>
    </w:pPr>
  </w:style>
  <w:style w:type="paragraph" w:styleId="ListNumber3">
    <w:name w:val="List Number 3"/>
    <w:basedOn w:val="List3"/>
    <w:rsid w:val="007C0242"/>
    <w:pPr>
      <w:numPr>
        <w:numId w:val="3"/>
      </w:numPr>
    </w:pPr>
  </w:style>
  <w:style w:type="paragraph" w:styleId="ListNumber4">
    <w:name w:val="List Number 4"/>
    <w:basedOn w:val="List4"/>
    <w:rsid w:val="007C0242"/>
    <w:pPr>
      <w:numPr>
        <w:numId w:val="4"/>
      </w:numPr>
    </w:pPr>
  </w:style>
  <w:style w:type="paragraph" w:styleId="ListNumber5">
    <w:name w:val="List Number 5"/>
    <w:basedOn w:val="List5"/>
    <w:rsid w:val="007C0242"/>
    <w:pPr>
      <w:numPr>
        <w:numId w:val="5"/>
      </w:numPr>
    </w:pPr>
  </w:style>
  <w:style w:type="paragraph" w:styleId="BlockText">
    <w:name w:val="Block Text"/>
    <w:basedOn w:val="Normal"/>
    <w:rsid w:val="007C0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242"/>
    <w:rPr>
      <w:sz w:val="16"/>
      <w:vertAlign w:val="superscript"/>
    </w:rPr>
  </w:style>
  <w:style w:type="character" w:customStyle="1" w:styleId="Symbols">
    <w:name w:val="Symbols"/>
    <w:basedOn w:val="DefaultParagraphFont"/>
    <w:rsid w:val="007C0242"/>
    <w:rPr>
      <w:rFonts w:ascii="Symbol" w:hAnsi="Symbol"/>
    </w:rPr>
  </w:style>
  <w:style w:type="character" w:customStyle="1" w:styleId="MenuOptions">
    <w:name w:val="Menu Options"/>
    <w:basedOn w:val="DefaultParagraphFont"/>
    <w:rsid w:val="007C0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242"/>
    <w:rPr>
      <w:b/>
    </w:rPr>
  </w:style>
  <w:style w:type="character" w:customStyle="1" w:styleId="Underlined">
    <w:name w:val="Underlined"/>
    <w:basedOn w:val="DefaultParagraphFont"/>
    <w:rsid w:val="007C0242"/>
    <w:rPr>
      <w:u w:val="single"/>
    </w:rPr>
  </w:style>
  <w:style w:type="paragraph" w:customStyle="1" w:styleId="TableBodyTextRight">
    <w:name w:val="Table Body Text Right"/>
    <w:basedOn w:val="TableBodyText"/>
    <w:rsid w:val="007C0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242"/>
    <w:rPr>
      <w:sz w:val="18"/>
    </w:rPr>
  </w:style>
  <w:style w:type="paragraph" w:customStyle="1" w:styleId="BodySmallRight">
    <w:name w:val="Body Small Right"/>
    <w:basedOn w:val="BodyTextRight"/>
    <w:rsid w:val="007C0242"/>
    <w:rPr>
      <w:sz w:val="18"/>
      <w:szCs w:val="18"/>
    </w:rPr>
  </w:style>
  <w:style w:type="paragraph" w:customStyle="1" w:styleId="MarginEdition">
    <w:name w:val="Margin Edition"/>
    <w:basedOn w:val="MarginNote"/>
    <w:rsid w:val="007C0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242"/>
    <w:rPr>
      <w:sz w:val="2"/>
      <w:szCs w:val="2"/>
    </w:rPr>
  </w:style>
  <w:style w:type="character" w:customStyle="1" w:styleId="Small">
    <w:name w:val="Small"/>
    <w:basedOn w:val="DefaultParagraphFont"/>
    <w:rsid w:val="007C0242"/>
    <w:rPr>
      <w:sz w:val="16"/>
    </w:rPr>
  </w:style>
  <w:style w:type="paragraph" w:customStyle="1" w:styleId="WideTable">
    <w:name w:val="Wide Table"/>
    <w:basedOn w:val="Normal"/>
    <w:rsid w:val="007C0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242"/>
  </w:style>
  <w:style w:type="paragraph" w:styleId="Quote">
    <w:name w:val="Quote"/>
    <w:basedOn w:val="Heading1"/>
    <w:link w:val="QuoteChar"/>
    <w:qFormat/>
    <w:rsid w:val="007C0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242"/>
    <w:pPr>
      <w:pageBreakBefore/>
    </w:pPr>
  </w:style>
  <w:style w:type="paragraph" w:customStyle="1" w:styleId="Border">
    <w:name w:val="Border"/>
    <w:basedOn w:val="Normal"/>
    <w:qFormat/>
    <w:rsid w:val="007C0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242"/>
    <w:rPr>
      <w:u w:val="single"/>
    </w:rPr>
  </w:style>
  <w:style w:type="character" w:customStyle="1" w:styleId="BoldandItalics">
    <w:name w:val="Bold and Italics"/>
    <w:qFormat/>
    <w:rsid w:val="007C0242"/>
    <w:rPr>
      <w:b/>
      <w:i/>
      <w:u w:val="none"/>
    </w:rPr>
  </w:style>
  <w:style w:type="paragraph" w:styleId="BalloonText">
    <w:name w:val="Balloon Text"/>
    <w:basedOn w:val="Normal"/>
    <w:link w:val="BalloonTextChar"/>
    <w:rsid w:val="007C0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2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2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242"/>
    <w:pPr>
      <w:spacing w:before="0" w:after="0"/>
    </w:pPr>
  </w:style>
  <w:style w:type="paragraph" w:customStyle="1" w:styleId="BodyTextBold">
    <w:name w:val="Body Text Bold"/>
    <w:basedOn w:val="BodyText"/>
    <w:qFormat/>
    <w:rsid w:val="007C0242"/>
    <w:rPr>
      <w:b/>
    </w:rPr>
  </w:style>
  <w:style w:type="character" w:styleId="Hyperlink">
    <w:name w:val="Hyperlink"/>
    <w:basedOn w:val="DefaultParagraphFont"/>
    <w:uiPriority w:val="99"/>
    <w:unhideWhenUsed/>
    <w:rsid w:val="004808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2377</Characters>
  <Application>Microsoft Office Word</Application>
  <DocSecurity>0</DocSecurity>
  <Lines>84</Lines>
  <Paragraphs>44</Paragraphs>
  <ScaleCrop>false</ScaleCrop>
  <Company>Author-it Software Corporation Ltd.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HLTSHU001 Work within a framework of traditional oriental medicine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2023-07-02T01:39:00Z</dcterms:created>
  <dcterms:modified xsi:type="dcterms:W3CDTF">2023-07-02T01:39:00Z</dcterms:modified>
</cp:coreProperties>
</file>