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874" w:rsidP="00132874">
      <w:pPr>
        <w:pStyle w:val="Title"/>
      </w:pPr>
      <w:r>
        <w:fldChar w:fldCharType="begin"/>
      </w:r>
      <w:r>
        <w:instrText xml:space="preserve"> TITLE   \* MERGEFORMAT </w:instrText>
      </w:r>
      <w:r>
        <w:fldChar w:fldCharType="separate"/>
      </w:r>
      <w:r>
        <w:t>Assessment Requirements for HLTRNL004 Apply renal replacement therapy</w:t>
      </w:r>
      <w:r>
        <w:fldChar w:fldCharType="end"/>
      </w:r>
    </w:p>
    <w:p w:rsidR="00132874" w:rsidP="00132874">
      <w:pPr>
        <w:pStyle w:val="Version"/>
        <w:sectPr w:rsidSect="00C01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1506" w:rsidP="00C01506">
      <w:pPr>
        <w:pStyle w:val="SuperHeading"/>
      </w:pPr>
      <w:r w:rsidRPr="00C01506">
        <w:t>Assessment Requirements for HLTRNL004 Apply renal replacement therapy</w:t>
      </w:r>
    </w:p>
    <w:p w:rsidR="00000000" w:rsidRPr="00C01506" w:rsidP="00C01506">
      <w:pPr>
        <w:pStyle w:val="Heading1"/>
      </w:pPr>
      <w:bookmarkStart w:id="1" w:name="O_1200863"/>
      <w:bookmarkEnd w:id="1"/>
      <w:r w:rsidRPr="00C01506">
        <w:t>Modification History</w:t>
      </w:r>
    </w:p>
    <w:tbl>
      <w:tblPr>
        <w:tblW w:w="0" w:type="auto"/>
        <w:tblLayout w:type="fixed"/>
        <w:tblCellMar>
          <w:left w:w="62" w:type="dxa"/>
          <w:right w:w="62" w:type="dxa"/>
        </w:tblCellMar>
        <w:tblLook w:val="0000"/>
      </w:tblPr>
      <w:tblGrid>
        <w:gridCol w:w="3040"/>
        <w:gridCol w:w="6074"/>
      </w:tblGrid>
      <w:tr w:rsidTr="00C0150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01506" w:rsidP="00C01506">
            <w:pPr>
              <w:pStyle w:val="BodyText"/>
            </w:pPr>
            <w:r w:rsidRPr="00C0150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01506">
            <w:pPr>
              <w:pStyle w:val="BodyText"/>
              <w:rPr>
                <w:lang w:val="en-NZ"/>
              </w:rPr>
            </w:pPr>
            <w:r w:rsidRPr="00C01506">
              <w:rPr>
                <w:rStyle w:val="SpecialBold"/>
              </w:rPr>
              <w:t>Comments</w:t>
            </w:r>
          </w:p>
        </w:tc>
      </w:tr>
      <w:tr w:rsidTr="00C0150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01506">
            <w:pPr>
              <w:pStyle w:val="BodyText"/>
              <w:rPr>
                <w:lang w:val="en-NZ"/>
              </w:rPr>
            </w:pPr>
            <w:r w:rsidRPr="00C0150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01506" w:rsidP="00C01506">
            <w:pPr>
              <w:pStyle w:val="BodyText"/>
            </w:pPr>
            <w:r w:rsidRPr="00C01506">
              <w:t>Release 2 HLTRNL004 Apply renal replacement therapy supersedes and is equivalent to Release 1 HLTRNL004 Apply renal replacement therapy.</w:t>
            </w:r>
          </w:p>
          <w:p w:rsidR="00000000" w:rsidRPr="00C01506" w:rsidP="00C01506">
            <w:pPr>
              <w:pStyle w:val="BodyText"/>
            </w:pPr>
            <w:r w:rsidRPr="00C01506">
              <w:t>Updated:</w:t>
            </w:r>
          </w:p>
          <w:p w:rsidR="00000000" w:rsidP="00C01506">
            <w:pPr>
              <w:pStyle w:val="BodyText"/>
              <w:rPr>
                <w:lang w:val="en-NZ"/>
              </w:rPr>
            </w:pPr>
            <w:r w:rsidRPr="00C01506">
              <w:t>Mapping details and minor corrections.</w:t>
            </w:r>
          </w:p>
        </w:tc>
      </w:tr>
      <w:tr w:rsidTr="00C0150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01506">
            <w:pPr>
              <w:pStyle w:val="BodyText"/>
              <w:rPr>
                <w:lang w:val="en-NZ"/>
              </w:rPr>
            </w:pPr>
            <w:r w:rsidRPr="00C0150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01506" w:rsidP="00C01506">
            <w:pPr>
              <w:pStyle w:val="BodyText"/>
            </w:pPr>
            <w:r w:rsidRPr="00C01506">
              <w:t xml:space="preserve">HLTRNL004 Apply renal replacement therapy supersedes and is </w:t>
            </w:r>
            <w:r w:rsidRPr="00C01506">
              <w:t>not equivalent to HLTRNL002 Provide care and support to a person undergoing renal replacement therapy.</w:t>
            </w:r>
          </w:p>
        </w:tc>
      </w:tr>
    </w:tbl>
    <w:p w:rsidR="00000000" w:rsidRPr="00C01506" w:rsidP="00C01506">
      <w:pPr>
        <w:pStyle w:val="BodyText"/>
      </w:pPr>
    </w:p>
    <w:p w:rsidR="00000000" w:rsidRPr="00C01506" w:rsidP="00C01506">
      <w:pPr>
        <w:pStyle w:val="AllowPageBreak"/>
      </w:pPr>
    </w:p>
    <w:p w:rsidR="00000000" w:rsidRPr="00C01506" w:rsidP="00C01506">
      <w:pPr>
        <w:pStyle w:val="Heading1"/>
      </w:pPr>
      <w:bookmarkStart w:id="2" w:name="O_1200862"/>
      <w:bookmarkEnd w:id="2"/>
      <w:r w:rsidRPr="00C01506">
        <w:t>Performance Evidence</w:t>
      </w:r>
    </w:p>
    <w:p w:rsidR="00000000" w:rsidRPr="00C01506" w:rsidP="00132874">
      <w:pPr>
        <w:pStyle w:val="BodyText"/>
      </w:pPr>
      <w:r w:rsidRPr="00C01506">
        <w:t>Evidence of the ability to complete tasks outlined in elements and performance cr</w:t>
      </w:r>
      <w:r w:rsidRPr="00C01506">
        <w:t>iteria of this unit in the context of the job role, and:</w:t>
      </w:r>
    </w:p>
    <w:p w:rsidR="00000000" w:rsidRPr="00C01506" w:rsidP="00C01506">
      <w:pPr>
        <w:pStyle w:val="ListBullet"/>
      </w:pPr>
      <w:r w:rsidRPr="00C01506">
        <w:t>perform renal replacement therapy in the workplace on three different people, one of which must be using peritoneal dialysis and one of which must be using haemodialysis involving:</w:t>
      </w:r>
    </w:p>
    <w:p w:rsidR="00000000" w:rsidRPr="00C01506" w:rsidP="00C01506">
      <w:pPr>
        <w:pStyle w:val="ListBullet2"/>
      </w:pPr>
      <w:r w:rsidRPr="00C01506">
        <w:t>identifying sign</w:t>
      </w:r>
      <w:r w:rsidRPr="00C01506">
        <w:t>s of uraemia and electrolyte imbalance</w:t>
      </w:r>
    </w:p>
    <w:p w:rsidR="00000000" w:rsidRPr="00C01506" w:rsidP="00C01506">
      <w:pPr>
        <w:pStyle w:val="ListBullet2"/>
      </w:pPr>
      <w:r w:rsidRPr="00C01506">
        <w:t>identifying signs of fluid overload</w:t>
      </w:r>
    </w:p>
    <w:p w:rsidR="00000000" w:rsidRPr="00C01506" w:rsidP="00C01506">
      <w:pPr>
        <w:pStyle w:val="ListBullet2"/>
      </w:pPr>
      <w:r w:rsidRPr="00C01506">
        <w:t>identifying signs of dehydration</w:t>
      </w:r>
    </w:p>
    <w:p w:rsidR="00000000" w:rsidRPr="00C01506" w:rsidP="00C01506">
      <w:pPr>
        <w:pStyle w:val="ListBullet2"/>
      </w:pPr>
      <w:r w:rsidRPr="00C01506">
        <w:t>checking peritoneal dialysis exit site</w:t>
      </w:r>
    </w:p>
    <w:p w:rsidR="00000000" w:rsidRPr="00C01506" w:rsidP="00C01506">
      <w:pPr>
        <w:pStyle w:val="ListBullet2"/>
      </w:pPr>
      <w:r w:rsidRPr="00C01506">
        <w:t>assessing patency of vascular access including:</w:t>
      </w:r>
    </w:p>
    <w:p w:rsidR="00000000" w:rsidRPr="00C01506" w:rsidP="00C01506">
      <w:pPr>
        <w:pStyle w:val="ListBullet3"/>
      </w:pPr>
      <w:r w:rsidRPr="00C01506">
        <w:t>palpating fistula for thrill</w:t>
      </w:r>
    </w:p>
    <w:p w:rsidR="00000000" w:rsidRPr="00C01506" w:rsidP="00C01506">
      <w:pPr>
        <w:pStyle w:val="ListBullet3"/>
      </w:pPr>
      <w:r w:rsidRPr="00C01506">
        <w:t>auscultating fistula for bruit</w:t>
      </w:r>
    </w:p>
    <w:p w:rsidR="00000000" w:rsidRPr="00C01506" w:rsidP="00C01506">
      <w:pPr>
        <w:pStyle w:val="ListBullet3"/>
      </w:pPr>
      <w:r w:rsidRPr="00C01506">
        <w:t>checking for signs of infection</w:t>
      </w:r>
    </w:p>
    <w:p w:rsidR="00000000" w:rsidRPr="00C01506" w:rsidP="00C01506">
      <w:pPr>
        <w:pStyle w:val="ListBullet3"/>
      </w:pPr>
      <w:r w:rsidRPr="00C01506">
        <w:t>checking last needle sites</w:t>
      </w:r>
    </w:p>
    <w:p w:rsidR="00000000" w:rsidRPr="00C01506" w:rsidP="00132874">
      <w:pPr>
        <w:pStyle w:val="BodyText"/>
      </w:pPr>
      <w:r w:rsidRPr="00C01506">
        <w:t>The tasks must be undertaken in accordance with the Nursing and Midwifery Board of Australia (NMBA) professional practice standards, codes and guidelines.</w:t>
      </w:r>
    </w:p>
    <w:p w:rsidR="00000000" w:rsidRPr="00C01506" w:rsidP="00C01506">
      <w:pPr>
        <w:pStyle w:val="Heading1"/>
      </w:pPr>
      <w:bookmarkStart w:id="3" w:name="O_1200861"/>
      <w:bookmarkEnd w:id="3"/>
      <w:r w:rsidRPr="00C01506">
        <w:t>Knowledge Evidence</w:t>
      </w:r>
    </w:p>
    <w:p w:rsidR="00000000" w:rsidRPr="00C01506" w:rsidP="00132874">
      <w:pPr>
        <w:pStyle w:val="BodyText"/>
      </w:pPr>
      <w:r w:rsidRPr="00C01506">
        <w:t>Demo</w:t>
      </w:r>
      <w:r w:rsidRPr="00C01506">
        <w:t>nstrate knowledge required to complete the tasks outlined in elements and the performance criteria of this unit:</w:t>
      </w:r>
    </w:p>
    <w:p w:rsidR="00000000" w:rsidRPr="00C01506" w:rsidP="00C01506">
      <w:pPr>
        <w:pStyle w:val="ListBullet"/>
      </w:pPr>
      <w:r w:rsidRPr="00C01506">
        <w:t xml:space="preserve">techniques for assessing for blood clots in the line post haemodialysis </w:t>
      </w:r>
    </w:p>
    <w:p w:rsidR="00000000" w:rsidRPr="00C01506" w:rsidP="00C01506">
      <w:pPr>
        <w:pStyle w:val="ListBullet"/>
      </w:pPr>
      <w:r w:rsidRPr="00C01506">
        <w:t>techniques for adjusting next haemodialysis treatment parameters as p</w:t>
      </w:r>
      <w:r w:rsidRPr="00C01506">
        <w:t>er outcome of latest session</w:t>
      </w:r>
    </w:p>
    <w:p w:rsidR="00000000" w:rsidRPr="00C01506" w:rsidP="00C01506">
      <w:pPr>
        <w:pStyle w:val="ListBullet"/>
      </w:pPr>
      <w:r w:rsidRPr="00C01506">
        <w:t xml:space="preserve">use of clamps during haemodialysis </w:t>
      </w:r>
    </w:p>
    <w:p w:rsidR="00000000" w:rsidRPr="00C01506" w:rsidP="00C01506">
      <w:pPr>
        <w:pStyle w:val="ListBullet"/>
      </w:pPr>
      <w:r w:rsidRPr="00C01506">
        <w:t>indication for dialysis needle size</w:t>
      </w:r>
    </w:p>
    <w:p w:rsidR="00000000" w:rsidRPr="00C01506" w:rsidP="00C01506">
      <w:pPr>
        <w:pStyle w:val="ListBullet"/>
      </w:pPr>
      <w:r w:rsidRPr="00C01506">
        <w:t xml:space="preserve">indication for dialyser size </w:t>
      </w:r>
    </w:p>
    <w:p w:rsidR="00000000" w:rsidRPr="00C01506" w:rsidP="00C01506">
      <w:pPr>
        <w:pStyle w:val="ListBullet"/>
      </w:pPr>
      <w:r w:rsidRPr="00C01506">
        <w:t xml:space="preserve">indication for use of safety fistula catheters </w:t>
      </w:r>
    </w:p>
    <w:p w:rsidR="00000000" w:rsidRPr="00C01506" w:rsidP="00C01506">
      <w:pPr>
        <w:pStyle w:val="ListBullet"/>
      </w:pPr>
      <w:r w:rsidRPr="00C01506">
        <w:t>infection control principles of nursing care during renal replacement therapy</w:t>
      </w:r>
    </w:p>
    <w:p w:rsidR="00000000" w:rsidRPr="00C01506" w:rsidP="00C01506">
      <w:pPr>
        <w:pStyle w:val="ListBullet"/>
      </w:pPr>
      <w:r w:rsidRPr="00C01506">
        <w:t>standards and guidelines for renal care to improve the quality of care and outcomes for persons with kidney disease:</w:t>
      </w:r>
    </w:p>
    <w:p w:rsidR="00000000" w:rsidRPr="00C01506" w:rsidP="00C01506">
      <w:pPr>
        <w:pStyle w:val="ListBullet2"/>
      </w:pPr>
      <w:r w:rsidRPr="00C01506">
        <w:t xml:space="preserve">education </w:t>
      </w:r>
    </w:p>
    <w:p w:rsidR="00000000" w:rsidRPr="00C01506" w:rsidP="00C01506">
      <w:pPr>
        <w:pStyle w:val="ListBullet2"/>
      </w:pPr>
      <w:r w:rsidRPr="00C01506">
        <w:t>renal diet and nutrition</w:t>
      </w:r>
    </w:p>
    <w:p w:rsidR="00000000" w:rsidRPr="00C01506" w:rsidP="00C01506">
      <w:pPr>
        <w:pStyle w:val="ListBullet2"/>
      </w:pPr>
      <w:r w:rsidRPr="00C01506">
        <w:t>hygiene to minimise risk of fistula and access device infection</w:t>
      </w:r>
    </w:p>
    <w:p w:rsidR="00000000" w:rsidRPr="00C01506" w:rsidP="00C01506">
      <w:pPr>
        <w:pStyle w:val="ListBullet2"/>
      </w:pPr>
      <w:r w:rsidRPr="00C01506">
        <w:t>risk of skin infection</w:t>
      </w:r>
    </w:p>
    <w:p w:rsidR="00000000" w:rsidRPr="00C01506" w:rsidP="00C01506">
      <w:pPr>
        <w:pStyle w:val="ListBullet2"/>
      </w:pPr>
      <w:r w:rsidRPr="00C01506">
        <w:t xml:space="preserve">principles of </w:t>
      </w:r>
      <w:r w:rsidRPr="00C01506">
        <w:t>aseptic technique for practice</w:t>
      </w:r>
    </w:p>
    <w:p w:rsidR="00000000" w:rsidRPr="00C01506" w:rsidP="00C01506">
      <w:pPr>
        <w:pStyle w:val="ListBullet2"/>
      </w:pPr>
      <w:r w:rsidRPr="00C01506">
        <w:t>common dialysates and dialysers</w:t>
      </w:r>
    </w:p>
    <w:p w:rsidR="00000000" w:rsidRPr="00C01506" w:rsidP="00C01506">
      <w:pPr>
        <w:pStyle w:val="ListBullet"/>
      </w:pPr>
      <w:r w:rsidRPr="00C01506">
        <w:t xml:space="preserve">pathophysiology of renal impairment and routine diagnostic testing </w:t>
      </w:r>
    </w:p>
    <w:p w:rsidR="00000000" w:rsidRPr="00C01506" w:rsidP="00C01506">
      <w:pPr>
        <w:pStyle w:val="ListBullet"/>
      </w:pPr>
      <w:r w:rsidRPr="00C01506">
        <w:t>normal and abnormal biochemical and haematological markers for undergoing renal replacement therapy</w:t>
      </w:r>
    </w:p>
    <w:p w:rsidR="00000000" w:rsidRPr="00C01506" w:rsidP="00C01506">
      <w:pPr>
        <w:pStyle w:val="ListBullet"/>
      </w:pPr>
      <w:r w:rsidRPr="00C01506">
        <w:t>national immunisation pr</w:t>
      </w:r>
      <w:r w:rsidRPr="00C01506">
        <w:t>ogram recommendations for immunosuppressed people.</w:t>
      </w:r>
    </w:p>
    <w:p w:rsidR="00000000" w:rsidRPr="00C01506" w:rsidP="00C01506">
      <w:pPr>
        <w:pStyle w:val="ListBullet"/>
      </w:pPr>
      <w:r w:rsidRPr="00C01506">
        <w:t>types and principles of renal replacement therapies:</w:t>
      </w:r>
    </w:p>
    <w:p w:rsidR="00000000" w:rsidRPr="00C01506" w:rsidP="00C01506">
      <w:pPr>
        <w:pStyle w:val="ListBullet2"/>
      </w:pPr>
      <w:r w:rsidRPr="00C01506">
        <w:t xml:space="preserve">blood volume monitor (BVM) </w:t>
      </w:r>
    </w:p>
    <w:p w:rsidR="00000000" w:rsidRPr="00C01506" w:rsidP="00C01506">
      <w:pPr>
        <w:pStyle w:val="ListBullet2"/>
      </w:pPr>
      <w:r w:rsidRPr="00C01506">
        <w:t xml:space="preserve">haemodiafiltration (HDF) </w:t>
      </w:r>
    </w:p>
    <w:p w:rsidR="00000000" w:rsidRPr="00C01506" w:rsidP="00C01506">
      <w:pPr>
        <w:pStyle w:val="ListBullet2"/>
      </w:pPr>
      <w:r w:rsidRPr="00C01506">
        <w:t xml:space="preserve">heparin-free haemodialysis. </w:t>
      </w:r>
    </w:p>
    <w:p w:rsidR="00000000" w:rsidRPr="00C01506" w:rsidP="00C01506">
      <w:pPr>
        <w:pStyle w:val="ListBullet"/>
      </w:pPr>
      <w:r w:rsidRPr="00C01506">
        <w:t xml:space="preserve">haemodialysis machine cleaning and testing </w:t>
      </w:r>
    </w:p>
    <w:p w:rsidR="00000000" w:rsidRPr="00C01506" w:rsidP="00C01506">
      <w:pPr>
        <w:pStyle w:val="ListBullet"/>
      </w:pPr>
      <w:r w:rsidRPr="00C01506">
        <w:t>principles of haemodialysis and peritoneal dialysis</w:t>
      </w:r>
    </w:p>
    <w:p w:rsidR="00000000" w:rsidRPr="00C01506" w:rsidP="00C01506">
      <w:pPr>
        <w:pStyle w:val="ListBullet"/>
      </w:pPr>
      <w:r w:rsidRPr="00C01506">
        <w:t xml:space="preserve">medicines in common use to treat renal impairment </w:t>
      </w:r>
    </w:p>
    <w:p w:rsidR="00000000" w:rsidRPr="00C01506" w:rsidP="00C01506">
      <w:pPr>
        <w:pStyle w:val="ListBullet"/>
      </w:pPr>
      <w:r w:rsidRPr="00C01506">
        <w:t>impact of renal replacement therapy on quality of life and self-esteem including issues related to:</w:t>
      </w:r>
    </w:p>
    <w:p w:rsidR="00000000" w:rsidRPr="00C01506" w:rsidP="00C01506">
      <w:pPr>
        <w:pStyle w:val="ListBullet2"/>
      </w:pPr>
      <w:r w:rsidRPr="00C01506">
        <w:t xml:space="preserve">fluid and electrolytes </w:t>
      </w:r>
    </w:p>
    <w:p w:rsidR="00000000" w:rsidRPr="00C01506" w:rsidP="00C01506">
      <w:pPr>
        <w:pStyle w:val="ListBullet2"/>
      </w:pPr>
      <w:r w:rsidRPr="00C01506">
        <w:t>diet and nutritional</w:t>
      </w:r>
    </w:p>
    <w:p w:rsidR="00000000" w:rsidRPr="00C01506" w:rsidP="00C01506">
      <w:pPr>
        <w:pStyle w:val="ListBullet2"/>
      </w:pPr>
      <w:r w:rsidRPr="00C01506">
        <w:t>infecti</w:t>
      </w:r>
      <w:r w:rsidRPr="00C01506">
        <w:t>on control</w:t>
      </w:r>
    </w:p>
    <w:p w:rsidR="00000000" w:rsidRPr="00C01506" w:rsidP="00C01506">
      <w:pPr>
        <w:pStyle w:val="ListBullet2"/>
      </w:pPr>
      <w:r w:rsidRPr="00C01506">
        <w:t>renal transplant</w:t>
      </w:r>
    </w:p>
    <w:p w:rsidR="00000000" w:rsidRPr="00C01506" w:rsidP="00C01506">
      <w:pPr>
        <w:pStyle w:val="ListBullet"/>
      </w:pPr>
      <w:r w:rsidRPr="00C01506">
        <w:t>signs and symptoms of actual and potential problems of renal replacement therapy and responses:</w:t>
      </w:r>
    </w:p>
    <w:p w:rsidR="00000000" w:rsidRPr="00C01506" w:rsidP="00C01506">
      <w:pPr>
        <w:pStyle w:val="ListBullet2"/>
      </w:pPr>
      <w:r w:rsidRPr="00C01506">
        <w:t>hypertension</w:t>
      </w:r>
    </w:p>
    <w:p w:rsidR="00000000" w:rsidRPr="00C01506" w:rsidP="00C01506">
      <w:pPr>
        <w:pStyle w:val="ListBullet2"/>
      </w:pPr>
      <w:r w:rsidRPr="00C01506">
        <w:t>hypotension</w:t>
      </w:r>
    </w:p>
    <w:p w:rsidR="00000000" w:rsidRPr="00C01506" w:rsidP="00C01506">
      <w:pPr>
        <w:pStyle w:val="ListBullet2"/>
      </w:pPr>
      <w:r w:rsidRPr="00C01506">
        <w:t xml:space="preserve">hyperglycaemia </w:t>
      </w:r>
    </w:p>
    <w:p w:rsidR="00000000" w:rsidRPr="00C01506" w:rsidP="00C01506">
      <w:pPr>
        <w:pStyle w:val="ListBullet2"/>
      </w:pPr>
      <w:r w:rsidRPr="00C01506">
        <w:t>hypoglycaemia</w:t>
      </w:r>
    </w:p>
    <w:p w:rsidR="00000000" w:rsidRPr="00C01506" w:rsidP="00C01506">
      <w:pPr>
        <w:pStyle w:val="ListBullet2"/>
      </w:pPr>
      <w:r w:rsidRPr="00C01506">
        <w:t>hypovolaemia due to rapid and excess fluid and electrolyte removal</w:t>
      </w:r>
    </w:p>
    <w:p w:rsidR="00000000" w:rsidRPr="00C01506" w:rsidP="00C01506">
      <w:pPr>
        <w:pStyle w:val="ListBullet2"/>
      </w:pPr>
      <w:r w:rsidRPr="00C01506">
        <w:t xml:space="preserve">altered </w:t>
      </w:r>
      <w:r w:rsidRPr="00C01506">
        <w:t>nutritional status</w:t>
      </w:r>
    </w:p>
    <w:p w:rsidR="00000000" w:rsidRPr="00C01506" w:rsidP="00C01506">
      <w:pPr>
        <w:pStyle w:val="ListBullet2"/>
      </w:pPr>
      <w:r w:rsidRPr="00C01506">
        <w:t>haemolysis</w:t>
      </w:r>
    </w:p>
    <w:p w:rsidR="00000000" w:rsidRPr="00C01506" w:rsidP="00C01506">
      <w:pPr>
        <w:pStyle w:val="ListBullet2"/>
      </w:pPr>
      <w:r w:rsidRPr="00C01506">
        <w:t>vascular access</w:t>
      </w:r>
    </w:p>
    <w:p w:rsidR="00000000" w:rsidRPr="00C01506" w:rsidP="00C01506">
      <w:pPr>
        <w:pStyle w:val="ListBullet2"/>
      </w:pPr>
      <w:r w:rsidRPr="00C01506">
        <w:t>clotted and stenosed vascular access</w:t>
      </w:r>
    </w:p>
    <w:p w:rsidR="00000000" w:rsidRPr="00C01506" w:rsidP="00C01506">
      <w:pPr>
        <w:pStyle w:val="ListBullet2"/>
      </w:pPr>
      <w:r w:rsidRPr="00C01506">
        <w:t>prolonged bleeding</w:t>
      </w:r>
    </w:p>
    <w:p w:rsidR="00000000" w:rsidRPr="00C01506" w:rsidP="00C01506">
      <w:pPr>
        <w:pStyle w:val="ListBullet2"/>
      </w:pPr>
      <w:r w:rsidRPr="00C01506">
        <w:t>peritonitis</w:t>
      </w:r>
    </w:p>
    <w:p w:rsidR="00000000" w:rsidRPr="00C01506" w:rsidP="00C01506">
      <w:pPr>
        <w:pStyle w:val="ListBullet2"/>
      </w:pPr>
      <w:r w:rsidRPr="00C01506">
        <w:t>care of:</w:t>
      </w:r>
    </w:p>
    <w:p w:rsidR="00000000" w:rsidRPr="00C01506" w:rsidP="00C01506">
      <w:pPr>
        <w:pStyle w:val="ListBullet3"/>
      </w:pPr>
      <w:r w:rsidRPr="00C01506">
        <w:t>leakage from site, extravasation and bag</w:t>
      </w:r>
    </w:p>
    <w:p w:rsidR="00000000" w:rsidRPr="00C01506" w:rsidP="00C01506">
      <w:pPr>
        <w:pStyle w:val="ListBullet3"/>
      </w:pPr>
      <w:r w:rsidRPr="00C01506">
        <w:t>blocked catheter</w:t>
      </w:r>
    </w:p>
    <w:p w:rsidR="00000000" w:rsidRPr="00C01506" w:rsidP="00C01506">
      <w:pPr>
        <w:pStyle w:val="ListBullet3"/>
      </w:pPr>
      <w:r w:rsidRPr="00C01506">
        <w:t>catheter breaches including movement and cracking</w:t>
      </w:r>
    </w:p>
    <w:p w:rsidR="00000000" w:rsidRPr="00C01506" w:rsidP="00C01506">
      <w:pPr>
        <w:pStyle w:val="ListBullet3"/>
      </w:pPr>
      <w:r w:rsidRPr="00C01506">
        <w:t>fibrin plug</w:t>
      </w:r>
    </w:p>
    <w:p w:rsidR="00000000" w:rsidRPr="00C01506" w:rsidP="00C01506">
      <w:pPr>
        <w:pStyle w:val="ListBullet3"/>
      </w:pPr>
      <w:r w:rsidRPr="00C01506">
        <w:t>cuff extrusion</w:t>
      </w:r>
    </w:p>
    <w:p w:rsidR="00000000" w:rsidRPr="00C01506" w:rsidP="00C01506">
      <w:pPr>
        <w:pStyle w:val="ListBullet3"/>
      </w:pPr>
      <w:r w:rsidRPr="00C01506">
        <w:t xml:space="preserve">extravasation to surrounding tissue </w:t>
      </w:r>
    </w:p>
    <w:p w:rsidR="00000000" w:rsidRPr="00C01506" w:rsidP="00C01506">
      <w:pPr>
        <w:pStyle w:val="ListBullet3"/>
      </w:pPr>
      <w:r w:rsidRPr="00C01506">
        <w:t>contamination of catheter and Y line on bag during exchange process</w:t>
      </w:r>
    </w:p>
    <w:p w:rsidR="00000000" w:rsidRPr="00C01506" w:rsidP="00C01506">
      <w:pPr>
        <w:pStyle w:val="ListBullet3"/>
      </w:pPr>
      <w:r w:rsidRPr="00C01506">
        <w:t>Tenckhoff care</w:t>
      </w:r>
    </w:p>
    <w:p w:rsidR="00000000" w:rsidRPr="00C01506" w:rsidP="00C01506">
      <w:pPr>
        <w:pStyle w:val="ListBullet2"/>
      </w:pPr>
      <w:r w:rsidRPr="00C01506">
        <w:t>accidental break in sterile pathway</w:t>
      </w:r>
    </w:p>
    <w:p w:rsidR="00000000" w:rsidRPr="00C01506" w:rsidP="00C01506">
      <w:pPr>
        <w:pStyle w:val="ListBullet2"/>
      </w:pPr>
      <w:r w:rsidRPr="00C01506">
        <w:t>hernia</w:t>
      </w:r>
    </w:p>
    <w:p w:rsidR="00000000" w:rsidRPr="00C01506" w:rsidP="00C01506">
      <w:pPr>
        <w:pStyle w:val="ListBullet2"/>
      </w:pPr>
      <w:r w:rsidRPr="00C01506">
        <w:t>obesity</w:t>
      </w:r>
    </w:p>
    <w:p w:rsidR="00000000" w:rsidRPr="00C01506" w:rsidP="00C01506">
      <w:pPr>
        <w:pStyle w:val="ListBullet2"/>
      </w:pPr>
      <w:r w:rsidRPr="00C01506">
        <w:t>psychosocial issues</w:t>
      </w:r>
    </w:p>
    <w:p w:rsidR="00000000" w:rsidRPr="00C01506" w:rsidP="00C01506">
      <w:pPr>
        <w:pStyle w:val="ListBullet2"/>
      </w:pPr>
      <w:r w:rsidRPr="00C01506">
        <w:t>dietary management</w:t>
      </w:r>
    </w:p>
    <w:p w:rsidR="00000000" w:rsidRPr="00C01506" w:rsidP="00C01506">
      <w:pPr>
        <w:pStyle w:val="ListBullet"/>
      </w:pPr>
      <w:r w:rsidRPr="00C01506">
        <w:t>vascular access site inspection for:</w:t>
      </w:r>
    </w:p>
    <w:p w:rsidR="00000000" w:rsidRPr="00C01506" w:rsidP="00C01506">
      <w:pPr>
        <w:pStyle w:val="ListBullet2"/>
      </w:pPr>
      <w:r w:rsidRPr="00C01506">
        <w:t>decreased thrill</w:t>
      </w:r>
    </w:p>
    <w:p w:rsidR="00000000" w:rsidRPr="00C01506" w:rsidP="00C01506">
      <w:pPr>
        <w:pStyle w:val="ListBullet2"/>
      </w:pPr>
      <w:r w:rsidRPr="00C01506">
        <w:t>high pitched bruit</w:t>
      </w:r>
    </w:p>
    <w:p w:rsidR="00000000" w:rsidRPr="00C01506" w:rsidP="00C01506">
      <w:pPr>
        <w:pStyle w:val="ListBullet2"/>
      </w:pPr>
      <w:r w:rsidRPr="00C01506">
        <w:t>difficulty in needling fistula</w:t>
      </w:r>
    </w:p>
    <w:p w:rsidR="00000000" w:rsidRPr="00C01506" w:rsidP="00C01506">
      <w:pPr>
        <w:pStyle w:val="ListBullet2"/>
      </w:pPr>
      <w:r w:rsidRPr="00C01506">
        <w:t>abnormal arterial and venous pressure readings</w:t>
      </w:r>
    </w:p>
    <w:p w:rsidR="00000000" w:rsidRPr="00C01506" w:rsidP="00C01506">
      <w:pPr>
        <w:pStyle w:val="ListBullet2"/>
      </w:pPr>
      <w:r w:rsidRPr="00C01506">
        <w:t>pain, swelling, redness and trauma</w:t>
      </w:r>
    </w:p>
    <w:p w:rsidR="00000000" w:rsidRPr="00C01506" w:rsidP="00C01506">
      <w:pPr>
        <w:pStyle w:val="ListBullet2"/>
      </w:pPr>
      <w:r w:rsidRPr="00C01506">
        <w:t>false aneurysms</w:t>
      </w:r>
    </w:p>
    <w:p w:rsidR="00000000" w:rsidRPr="00C01506" w:rsidP="00C01506">
      <w:pPr>
        <w:pStyle w:val="ListBullet2"/>
      </w:pPr>
      <w:r w:rsidRPr="00C01506">
        <w:t>blood leak from cannulation site</w:t>
      </w:r>
    </w:p>
    <w:p w:rsidR="00000000" w:rsidRPr="00C01506" w:rsidP="00C01506">
      <w:pPr>
        <w:pStyle w:val="ListBullet"/>
      </w:pPr>
      <w:r w:rsidRPr="00C01506">
        <w:t>own role and responsibilities and those of other multidisciplinary health care team members.</w:t>
      </w:r>
    </w:p>
    <w:p w:rsidR="00000000" w:rsidRPr="00C01506" w:rsidP="00C01506">
      <w:pPr>
        <w:pStyle w:val="AllowPageBreak"/>
      </w:pPr>
    </w:p>
    <w:p w:rsidR="00000000" w:rsidRPr="00C01506" w:rsidP="00C01506">
      <w:pPr>
        <w:pStyle w:val="Heading1"/>
      </w:pPr>
      <w:bookmarkStart w:id="4" w:name="O_1200860"/>
      <w:bookmarkEnd w:id="4"/>
      <w:r w:rsidRPr="00C01506">
        <w:t>Assessment Conditions</w:t>
      </w:r>
    </w:p>
    <w:p w:rsidR="00000000" w:rsidRPr="00C01506" w:rsidP="00132874">
      <w:pPr>
        <w:pStyle w:val="BodyText"/>
      </w:pPr>
      <w:r w:rsidRPr="00C01506">
        <w:t>To be eligible to apply for registration as an enrolled nurse and to practice in Australia, each applicant must complete a</w:t>
      </w:r>
      <w:r w:rsidRPr="00C01506">
        <w:t xml:space="preserve"> Diploma of Nursing program accredited by the Australian Nursing and Midwifery Accreditation Council (ANMAC) and approved as ‘an approved program of study’ by the Nursing and Midwifery Board of Australia (NMBA) in accordance with the Enrolled Nurse Accredi</w:t>
      </w:r>
      <w:r w:rsidRPr="00C01506">
        <w:t xml:space="preserve">tation Standards. </w:t>
      </w:r>
    </w:p>
    <w:p w:rsidR="00000000" w:rsidRPr="00C01506" w:rsidP="00132874">
      <w:pPr>
        <w:pStyle w:val="BodyText"/>
      </w:pPr>
      <w:r w:rsidRPr="00C01506">
        <w:t xml:space="preserve">For more detail visit </w:t>
      </w:r>
      <w:r>
        <w:fldChar w:fldCharType="begin"/>
      </w:r>
      <w:r>
        <w:instrText xml:space="preserve"> HYPERLINK "https://www.ahpra.gov.au" </w:instrText>
      </w:r>
      <w:r>
        <w:fldChar w:fldCharType="separate"/>
      </w:r>
      <w:r w:rsidRPr="00FA0277">
        <w:rPr>
          <w:rStyle w:val="Hyperlink"/>
        </w:rPr>
        <w:t>https://www.ahpra.gov.au</w:t>
      </w:r>
      <w:r>
        <w:fldChar w:fldCharType="end"/>
      </w:r>
      <w:r w:rsidRPr="00C01506">
        <w:t xml:space="preserve">.  </w:t>
      </w:r>
    </w:p>
    <w:p w:rsidR="00000000" w:rsidRPr="00C01506" w:rsidP="00132874">
      <w:pPr>
        <w:pStyle w:val="BodyText"/>
      </w:pPr>
      <w:r w:rsidRPr="00C01506">
        <w:t>Skills must be demonstrated in the workplace or in a simulated environment as specified in the performance evidence that model industry operating conditions including access to real peopl</w:t>
      </w:r>
      <w:r w:rsidRPr="00C01506">
        <w:t>e for simulations and scenarios in enrolled nursing work.</w:t>
      </w:r>
    </w:p>
    <w:p w:rsidR="00000000" w:rsidRPr="00C01506" w:rsidP="00132874">
      <w:pPr>
        <w:pStyle w:val="BodyText"/>
      </w:pPr>
      <w:r w:rsidRPr="00C01506">
        <w:t>Assessors must satisfy the Standards for Registered Training Organisations’ requirements for assessors.</w:t>
      </w:r>
    </w:p>
    <w:p w:rsidR="00000000" w:rsidRPr="00C01506" w:rsidP="00132874">
      <w:pPr>
        <w:pStyle w:val="BodyText"/>
      </w:pPr>
      <w:r w:rsidRPr="00C01506">
        <w:t>Assessors must also hold current registration as a registered nurse with the Nursing and Midwi</w:t>
      </w:r>
      <w:r w:rsidRPr="00C01506">
        <w:t>fery Board of Australia (NMBA).</w:t>
      </w:r>
    </w:p>
    <w:p w:rsidR="00000000" w:rsidRPr="00C01506" w:rsidP="00C01506">
      <w:pPr>
        <w:pStyle w:val="Heading1"/>
      </w:pPr>
      <w:bookmarkStart w:id="5" w:name="O_1200874"/>
      <w:bookmarkEnd w:id="5"/>
      <w:r w:rsidRPr="00C01506">
        <w:t>Links</w:t>
      </w:r>
    </w:p>
    <w:p w:rsidR="00000000" w:rsidRPr="00C01506" w:rsidP="00132874">
      <w:pPr>
        <w:pStyle w:val="BodyText"/>
      </w:pPr>
      <w:r w:rsidRPr="00C0150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0277">
        <w:rPr>
          <w:rStyle w:val="Hyperlink"/>
        </w:rPr>
        <w:t>https://vetnet.gov.au/Pages/TrainingDocs.aspx?q=ced1390f-48d9-4ab0-bd50-b015e5485705</w:t>
      </w:r>
      <w:r>
        <w:fldChar w:fldCharType="end"/>
      </w:r>
    </w:p>
    <w:p w:rsidR="00000000" w:rsidRPr="00C01506" w:rsidP="00C01506"/>
    <w:sectPr w:rsidSect="00C01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06" w:rsidRPr="00132874" w:rsidP="00132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4" w:rsidP="00C01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2874" w:rsidP="00C015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32874" w:rsidP="00C01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506" w:rsidRPr="00132874" w:rsidP="00132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4" w:rsidRPr="002D2AF8" w:rsidP="00C01506">
    <w:pPr>
      <w:pStyle w:val="Header"/>
      <w:framePr w:wrap="around"/>
    </w:pPr>
    <w:r>
      <w:fldChar w:fldCharType="begin"/>
    </w:r>
    <w:r>
      <w:instrText xml:space="preserve"> TITLE   \* MERGEFORMAT </w:instrText>
    </w:r>
    <w:r>
      <w:fldChar w:fldCharType="separate"/>
    </w:r>
    <w:r>
      <w:t>Assessment Requirements for HLTRNL004 Apply renal replacement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32874" w:rsidP="00C01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82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CC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22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506"/>
    <w:pPr>
      <w:spacing w:before="360" w:after="60"/>
      <w:outlineLvl w:val="0"/>
    </w:pPr>
    <w:rPr>
      <w:sz w:val="32"/>
    </w:rPr>
  </w:style>
  <w:style w:type="paragraph" w:styleId="Heading2">
    <w:name w:val="heading 2"/>
    <w:basedOn w:val="HeadingBase"/>
    <w:next w:val="BodyText"/>
    <w:link w:val="Heading2Char"/>
    <w:qFormat/>
    <w:rsid w:val="00C01506"/>
    <w:pPr>
      <w:keepLines/>
      <w:spacing w:before="240" w:after="120"/>
      <w:outlineLvl w:val="1"/>
    </w:pPr>
    <w:rPr>
      <w:sz w:val="28"/>
      <w:szCs w:val="40"/>
    </w:rPr>
  </w:style>
  <w:style w:type="paragraph" w:styleId="Heading3">
    <w:name w:val="heading 3"/>
    <w:basedOn w:val="HeadingBase"/>
    <w:next w:val="BodyText"/>
    <w:link w:val="Heading3Char"/>
    <w:qFormat/>
    <w:rsid w:val="00C01506"/>
    <w:pPr>
      <w:spacing w:before="180" w:after="120"/>
      <w:outlineLvl w:val="2"/>
    </w:pPr>
    <w:rPr>
      <w:spacing w:val="-10"/>
      <w:kern w:val="32"/>
    </w:rPr>
  </w:style>
  <w:style w:type="paragraph" w:styleId="Heading4">
    <w:name w:val="heading 4"/>
    <w:basedOn w:val="HeadingBase"/>
    <w:next w:val="BodyText"/>
    <w:link w:val="Heading4Char"/>
    <w:qFormat/>
    <w:rsid w:val="00C01506"/>
    <w:pPr>
      <w:spacing w:before="160" w:after="120"/>
      <w:outlineLvl w:val="3"/>
    </w:pPr>
    <w:rPr>
      <w:sz w:val="22"/>
    </w:rPr>
  </w:style>
  <w:style w:type="paragraph" w:styleId="Heading5">
    <w:name w:val="heading 5"/>
    <w:basedOn w:val="HeadingBase"/>
    <w:next w:val="Normal"/>
    <w:link w:val="Heading5Char"/>
    <w:qFormat/>
    <w:rsid w:val="00C01506"/>
    <w:pPr>
      <w:spacing w:before="80"/>
      <w:outlineLvl w:val="4"/>
    </w:pPr>
    <w:rPr>
      <w:color w:val="918585"/>
      <w:sz w:val="20"/>
    </w:rPr>
  </w:style>
  <w:style w:type="paragraph" w:styleId="Heading6">
    <w:name w:val="heading 6"/>
    <w:basedOn w:val="HeadingBase"/>
    <w:next w:val="Normal"/>
    <w:link w:val="Heading6Char"/>
    <w:qFormat/>
    <w:rsid w:val="00C01506"/>
    <w:pPr>
      <w:spacing w:before="60"/>
      <w:outlineLvl w:val="5"/>
    </w:pPr>
    <w:rPr>
      <w:color w:val="918585"/>
      <w:sz w:val="20"/>
    </w:rPr>
  </w:style>
  <w:style w:type="paragraph" w:styleId="Heading7">
    <w:name w:val="heading 7"/>
    <w:basedOn w:val="Normal"/>
    <w:next w:val="Normal"/>
    <w:link w:val="Heading7Char"/>
    <w:qFormat/>
    <w:rsid w:val="00C01506"/>
    <w:pPr>
      <w:ind w:left="720"/>
      <w:outlineLvl w:val="6"/>
    </w:pPr>
    <w:rPr>
      <w:i/>
    </w:rPr>
  </w:style>
  <w:style w:type="paragraph" w:styleId="Heading8">
    <w:name w:val="heading 8"/>
    <w:basedOn w:val="Normal"/>
    <w:next w:val="Normal"/>
    <w:link w:val="Heading8Char"/>
    <w:qFormat/>
    <w:rsid w:val="00C01506"/>
    <w:pPr>
      <w:ind w:left="720"/>
      <w:outlineLvl w:val="7"/>
    </w:pPr>
    <w:rPr>
      <w:i/>
    </w:rPr>
  </w:style>
  <w:style w:type="paragraph" w:styleId="Heading9">
    <w:name w:val="heading 9"/>
    <w:basedOn w:val="Normal"/>
    <w:next w:val="Normal"/>
    <w:link w:val="Heading9Char"/>
    <w:qFormat/>
    <w:rsid w:val="00C01506"/>
    <w:pPr>
      <w:ind w:left="720"/>
      <w:outlineLvl w:val="8"/>
    </w:pPr>
    <w:rPr>
      <w:i/>
    </w:rPr>
  </w:style>
  <w:style w:type="character" w:default="1" w:styleId="DefaultParagraphFont">
    <w:name w:val="Default Paragraph Font"/>
    <w:uiPriority w:val="1"/>
    <w:unhideWhenUsed/>
    <w:rsid w:val="00C01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506"/>
  </w:style>
  <w:style w:type="character" w:customStyle="1" w:styleId="Heading1Char">
    <w:name w:val="Heading 1 Char"/>
    <w:basedOn w:val="DefaultParagraphFont"/>
    <w:link w:val="Heading1"/>
    <w:rsid w:val="00C01506"/>
    <w:rPr>
      <w:rFonts w:ascii="Times New Roman" w:eastAsia="Times New Roman" w:hAnsi="Times New Roman" w:cs="Times New Roman"/>
      <w:b/>
      <w:sz w:val="32"/>
      <w:szCs w:val="20"/>
      <w:lang w:eastAsia="en-US"/>
    </w:rPr>
  </w:style>
  <w:style w:type="paragraph" w:styleId="BodyText">
    <w:name w:val="Body Text"/>
    <w:basedOn w:val="Normal"/>
    <w:link w:val="BodyTextChar"/>
    <w:rsid w:val="00C01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506"/>
    <w:rPr>
      <w:rFonts w:ascii="Times New Roman" w:eastAsia="Times New Roman" w:hAnsi="Times New Roman" w:cs="Times New Roman"/>
      <w:sz w:val="24"/>
      <w:lang w:eastAsia="en-US"/>
    </w:rPr>
  </w:style>
  <w:style w:type="paragraph" w:styleId="ListBullet">
    <w:name w:val="List Bullet"/>
    <w:basedOn w:val="List"/>
    <w:rsid w:val="00C01506"/>
    <w:pPr>
      <w:numPr>
        <w:numId w:val="13"/>
      </w:numPr>
      <w:tabs>
        <w:tab w:val="clear" w:pos="340"/>
      </w:tabs>
      <w:spacing w:before="40" w:after="40"/>
    </w:pPr>
  </w:style>
  <w:style w:type="character" w:customStyle="1" w:styleId="SpecialBold">
    <w:name w:val="Special Bold"/>
    <w:basedOn w:val="DefaultParagraphFont"/>
    <w:rsid w:val="00C01506"/>
    <w:rPr>
      <w:b/>
      <w:spacing w:val="0"/>
    </w:rPr>
  </w:style>
  <w:style w:type="paragraph" w:styleId="ListBullet2">
    <w:name w:val="List Bullet 2"/>
    <w:basedOn w:val="List2"/>
    <w:rsid w:val="00C01506"/>
    <w:pPr>
      <w:numPr>
        <w:numId w:val="14"/>
      </w:numPr>
      <w:tabs>
        <w:tab w:val="clear" w:pos="680"/>
      </w:tabs>
    </w:pPr>
  </w:style>
  <w:style w:type="paragraph" w:customStyle="1" w:styleId="SuperHeading">
    <w:name w:val="SuperHeading"/>
    <w:basedOn w:val="Normal"/>
    <w:rsid w:val="00C01506"/>
    <w:pPr>
      <w:spacing w:before="240" w:after="120"/>
      <w:outlineLvl w:val="0"/>
    </w:pPr>
    <w:rPr>
      <w:rFonts w:ascii="Times New Roman" w:hAnsi="Times New Roman"/>
      <w:b/>
      <w:sz w:val="32"/>
    </w:rPr>
  </w:style>
  <w:style w:type="paragraph" w:customStyle="1" w:styleId="AllowPageBreak">
    <w:name w:val="AllowPageBreak"/>
    <w:rsid w:val="00C015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1506"/>
    <w:pPr>
      <w:numPr>
        <w:numId w:val="3"/>
      </w:numPr>
      <w:tabs>
        <w:tab w:val="clear" w:pos="1021"/>
      </w:tabs>
      <w:ind w:left="1037" w:hanging="357"/>
    </w:pPr>
  </w:style>
  <w:style w:type="character" w:customStyle="1" w:styleId="Heading2Char">
    <w:name w:val="Heading 2 Char"/>
    <w:basedOn w:val="DefaultParagraphFont"/>
    <w:link w:val="Heading2"/>
    <w:rsid w:val="00C01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506"/>
    <w:rPr>
      <w:rFonts w:ascii="Courier New" w:eastAsia="Times New Roman" w:hAnsi="Courier New" w:cs="Times New Roman"/>
      <w:i/>
      <w:szCs w:val="20"/>
      <w:lang w:eastAsia="en-US"/>
    </w:rPr>
  </w:style>
  <w:style w:type="paragraph" w:customStyle="1" w:styleId="HeadingBase">
    <w:name w:val="Heading Base"/>
    <w:rsid w:val="00C01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506"/>
    <w:pPr>
      <w:tabs>
        <w:tab w:val="right" w:leader="dot" w:pos="9072"/>
      </w:tabs>
      <w:ind w:left="567"/>
    </w:pPr>
    <w:rPr>
      <w:szCs w:val="22"/>
    </w:rPr>
  </w:style>
  <w:style w:type="paragraph" w:customStyle="1" w:styleId="TOCBase">
    <w:name w:val="TOC Base"/>
    <w:rsid w:val="00C01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506"/>
    <w:pPr>
      <w:tabs>
        <w:tab w:val="right" w:leader="dot" w:pos="9072"/>
      </w:tabs>
      <w:spacing w:before="40" w:after="40"/>
      <w:ind w:left="284"/>
    </w:pPr>
    <w:rPr>
      <w:rFonts w:ascii="Times New Roman" w:hAnsi="Times New Roman"/>
    </w:rPr>
  </w:style>
  <w:style w:type="paragraph" w:styleId="TOC1">
    <w:name w:val="toc 1"/>
    <w:basedOn w:val="TOCBase"/>
    <w:next w:val="Normal"/>
    <w:rsid w:val="00C01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506"/>
    <w:rPr>
      <w:rFonts w:ascii="Times New Roman" w:eastAsia="Times New Roman" w:hAnsi="Times New Roman" w:cs="Times New Roman"/>
      <w:sz w:val="16"/>
      <w:lang w:eastAsia="en-US"/>
    </w:rPr>
  </w:style>
  <w:style w:type="paragraph" w:styleId="Title">
    <w:name w:val="Title"/>
    <w:basedOn w:val="HeadingBase"/>
    <w:link w:val="TitleChar"/>
    <w:qFormat/>
    <w:rsid w:val="00C01506"/>
    <w:pPr>
      <w:spacing w:before="5040"/>
      <w:jc w:val="center"/>
    </w:pPr>
    <w:rPr>
      <w:sz w:val="48"/>
      <w:szCs w:val="72"/>
      <w:lang w:val="en-US"/>
    </w:rPr>
  </w:style>
  <w:style w:type="character" w:customStyle="1" w:styleId="TitleChar">
    <w:name w:val="Title Char"/>
    <w:basedOn w:val="DefaultParagraphFont"/>
    <w:link w:val="Title"/>
    <w:rsid w:val="00C01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506"/>
    <w:pPr>
      <w:tabs>
        <w:tab w:val="left" w:pos="3600"/>
        <w:tab w:val="left" w:pos="3958"/>
      </w:tabs>
    </w:pPr>
  </w:style>
  <w:style w:type="paragraph" w:styleId="List">
    <w:name w:val="List"/>
    <w:basedOn w:val="BodyText"/>
    <w:next w:val="BodyText"/>
    <w:rsid w:val="00C01506"/>
    <w:pPr>
      <w:tabs>
        <w:tab w:val="left" w:pos="340"/>
      </w:tabs>
      <w:spacing w:before="60" w:after="60"/>
      <w:ind w:left="340" w:hanging="340"/>
    </w:pPr>
  </w:style>
  <w:style w:type="paragraph" w:customStyle="1" w:styleId="Note">
    <w:name w:val="Note"/>
    <w:basedOn w:val="BodyText"/>
    <w:rsid w:val="00C01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506"/>
    <w:pPr>
      <w:framePr w:wrap="auto" w:hAnchor="text" w:y="6049"/>
    </w:pPr>
    <w:rPr>
      <w:color w:val="000000"/>
      <w:sz w:val="40"/>
    </w:rPr>
  </w:style>
  <w:style w:type="paragraph" w:customStyle="1" w:styleId="TOCTitle">
    <w:name w:val="TOCTitle"/>
    <w:basedOn w:val="Heading1"/>
    <w:rsid w:val="00C01506"/>
    <w:pPr>
      <w:spacing w:after="240"/>
      <w:jc w:val="center"/>
      <w:outlineLvl w:val="9"/>
    </w:pPr>
    <w:rPr>
      <w:caps/>
    </w:rPr>
  </w:style>
  <w:style w:type="paragraph" w:customStyle="1" w:styleId="Version">
    <w:name w:val="Version"/>
    <w:rsid w:val="00C01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506"/>
    <w:pPr>
      <w:keepNext w:val="0"/>
      <w:tabs>
        <w:tab w:val="right" w:pos="4176"/>
      </w:tabs>
      <w:ind w:left="198" w:hanging="198"/>
    </w:pPr>
    <w:rPr>
      <w:rFonts w:ascii="Garamond" w:hAnsi="Garamond"/>
    </w:rPr>
  </w:style>
  <w:style w:type="paragraph" w:styleId="IndexHeading">
    <w:name w:val="index heading"/>
    <w:basedOn w:val="Normal"/>
    <w:next w:val="Index1"/>
    <w:semiHidden/>
    <w:rsid w:val="00C01506"/>
    <w:pPr>
      <w:spacing w:before="120" w:after="120"/>
    </w:pPr>
    <w:rPr>
      <w:rFonts w:ascii="Arial" w:hAnsi="Arial"/>
      <w:b/>
      <w:color w:val="918585"/>
      <w:sz w:val="24"/>
    </w:rPr>
  </w:style>
  <w:style w:type="paragraph" w:styleId="Header">
    <w:name w:val="header"/>
    <w:basedOn w:val="Normal"/>
    <w:link w:val="HeaderChar"/>
    <w:rsid w:val="00C01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506"/>
    <w:rPr>
      <w:rFonts w:ascii="Times New Roman" w:eastAsia="Times New Roman" w:hAnsi="Times New Roman" w:cs="Times New Roman"/>
      <w:sz w:val="16"/>
      <w:szCs w:val="20"/>
      <w:lang w:val="en-GB" w:eastAsia="en-US"/>
    </w:rPr>
  </w:style>
  <w:style w:type="paragraph" w:customStyle="1" w:styleId="Chapter">
    <w:name w:val="Chapter"/>
    <w:basedOn w:val="Normal"/>
    <w:rsid w:val="00C01506"/>
    <w:pPr>
      <w:spacing w:before="240"/>
    </w:pPr>
    <w:rPr>
      <w:rFonts w:ascii="Times New Roman" w:hAnsi="Times New Roman"/>
      <w:smallCaps/>
      <w:spacing w:val="80"/>
      <w:sz w:val="28"/>
    </w:rPr>
  </w:style>
  <w:style w:type="paragraph" w:customStyle="1" w:styleId="InChapter">
    <w:name w:val="InChapter"/>
    <w:basedOn w:val="Heading3"/>
    <w:rsid w:val="00C01506"/>
    <w:pPr>
      <w:spacing w:after="240"/>
      <w:outlineLvl w:val="9"/>
    </w:pPr>
    <w:rPr>
      <w:noProof/>
    </w:rPr>
  </w:style>
  <w:style w:type="paragraph" w:styleId="Index2">
    <w:name w:val="index 2"/>
    <w:basedOn w:val="Normal"/>
    <w:next w:val="Normal"/>
    <w:semiHidden/>
    <w:rsid w:val="00C01506"/>
    <w:pPr>
      <w:tabs>
        <w:tab w:val="right" w:pos="4176"/>
      </w:tabs>
      <w:ind w:left="568" w:hanging="284"/>
    </w:pPr>
    <w:rPr>
      <w:rFonts w:ascii="Garamond" w:hAnsi="Garamond"/>
    </w:rPr>
  </w:style>
  <w:style w:type="paragraph" w:customStyle="1" w:styleId="Byline">
    <w:name w:val="Byline"/>
    <w:rsid w:val="00C01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506"/>
    <w:pPr>
      <w:tabs>
        <w:tab w:val="clear" w:pos="3600"/>
        <w:tab w:val="clear" w:pos="3958"/>
      </w:tabs>
      <w:jc w:val="right"/>
    </w:pPr>
  </w:style>
  <w:style w:type="character" w:styleId="Emphasis">
    <w:name w:val="Emphasis"/>
    <w:basedOn w:val="DefaultParagraphFont"/>
    <w:qFormat/>
    <w:rsid w:val="00C01506"/>
    <w:rPr>
      <w:i/>
    </w:rPr>
  </w:style>
  <w:style w:type="paragraph" w:styleId="Caption">
    <w:name w:val="caption"/>
    <w:basedOn w:val="BodyText"/>
    <w:next w:val="Normal"/>
    <w:qFormat/>
    <w:rsid w:val="00C01506"/>
    <w:pPr>
      <w:framePr w:w="2268" w:hSpace="181" w:vSpace="181" w:wrap="around" w:vAnchor="text" w:hAnchor="page" w:x="1135" w:y="285" w:anchorLock="1"/>
    </w:pPr>
    <w:rPr>
      <w:i/>
    </w:rPr>
  </w:style>
  <w:style w:type="paragraph" w:customStyle="1" w:styleId="MiniTOCTitle">
    <w:name w:val="MiniTOCTitle"/>
    <w:basedOn w:val="Heading4"/>
    <w:rsid w:val="00C01506"/>
    <w:pPr>
      <w:spacing w:before="240"/>
      <w:outlineLvl w:val="9"/>
    </w:pPr>
    <w:rPr>
      <w:noProof/>
      <w:sz w:val="24"/>
    </w:rPr>
  </w:style>
  <w:style w:type="paragraph" w:customStyle="1" w:styleId="MiniTOCItem">
    <w:name w:val="MiniTOCItem"/>
    <w:basedOn w:val="ListBullet"/>
    <w:rsid w:val="00C01506"/>
    <w:pPr>
      <w:numPr>
        <w:numId w:val="0"/>
      </w:numPr>
      <w:tabs>
        <w:tab w:val="right" w:leader="dot" w:pos="6521"/>
      </w:tabs>
      <w:spacing w:before="0" w:after="0"/>
    </w:pPr>
  </w:style>
  <w:style w:type="paragraph" w:customStyle="1" w:styleId="TOFTitle">
    <w:name w:val="TOFTitle"/>
    <w:basedOn w:val="TOCTitle"/>
    <w:rsid w:val="00C01506"/>
  </w:style>
  <w:style w:type="paragraph" w:styleId="TableofFigures">
    <w:name w:val="table of figures"/>
    <w:basedOn w:val="Normal"/>
    <w:next w:val="Normal"/>
    <w:semiHidden/>
    <w:rsid w:val="00C01506"/>
    <w:pPr>
      <w:tabs>
        <w:tab w:val="right" w:leader="dot" w:pos="9072"/>
      </w:tabs>
      <w:ind w:left="970" w:hanging="403"/>
    </w:pPr>
    <w:rPr>
      <w:rFonts w:ascii="Times New Roman" w:hAnsi="Times New Roman"/>
      <w:b/>
    </w:rPr>
  </w:style>
  <w:style w:type="paragraph" w:styleId="ListNumber">
    <w:name w:val="List Number"/>
    <w:basedOn w:val="List"/>
    <w:rsid w:val="00C01506"/>
    <w:pPr>
      <w:numPr>
        <w:numId w:val="16"/>
      </w:numPr>
      <w:tabs>
        <w:tab w:val="clear" w:pos="340"/>
      </w:tabs>
    </w:pPr>
  </w:style>
  <w:style w:type="character" w:customStyle="1" w:styleId="WingdingSymbols">
    <w:name w:val="Wingding Symbols"/>
    <w:rsid w:val="00C01506"/>
    <w:rPr>
      <w:rFonts w:ascii="Wingdings" w:hAnsi="Wingdings"/>
    </w:rPr>
  </w:style>
  <w:style w:type="paragraph" w:customStyle="1" w:styleId="TableHeading">
    <w:name w:val="Table Heading"/>
    <w:basedOn w:val="HeadingBase"/>
    <w:rsid w:val="00C01506"/>
    <w:pPr>
      <w:keepLines/>
      <w:pBdr>
        <w:bottom w:val="single" w:sz="6" w:space="1" w:color="918585"/>
      </w:pBdr>
      <w:spacing w:before="240"/>
    </w:pPr>
  </w:style>
  <w:style w:type="character" w:customStyle="1" w:styleId="HotSpot">
    <w:name w:val="HotSpot"/>
    <w:rsid w:val="00C01506"/>
    <w:rPr>
      <w:color w:val="0033CC"/>
      <w:u w:val="none"/>
    </w:rPr>
  </w:style>
  <w:style w:type="paragraph" w:customStyle="1" w:styleId="BodyTextRight">
    <w:name w:val="Body Text Right"/>
    <w:basedOn w:val="BodyText"/>
    <w:rsid w:val="00C01506"/>
    <w:pPr>
      <w:spacing w:before="0" w:after="0"/>
      <w:jc w:val="right"/>
    </w:pPr>
  </w:style>
  <w:style w:type="paragraph" w:styleId="Index3">
    <w:name w:val="index 3"/>
    <w:basedOn w:val="ListNumber2"/>
    <w:next w:val="Normal"/>
    <w:semiHidden/>
    <w:rsid w:val="00C01506"/>
    <w:pPr>
      <w:numPr>
        <w:numId w:val="0"/>
      </w:numPr>
      <w:tabs>
        <w:tab w:val="right" w:leader="dot" w:pos="4176"/>
      </w:tabs>
    </w:pPr>
  </w:style>
  <w:style w:type="paragraph" w:styleId="ListNumber2">
    <w:name w:val="List Number 2"/>
    <w:basedOn w:val="List2"/>
    <w:rsid w:val="00C01506"/>
    <w:pPr>
      <w:numPr>
        <w:numId w:val="11"/>
      </w:numPr>
      <w:tabs>
        <w:tab w:val="clear" w:pos="1060"/>
      </w:tabs>
    </w:pPr>
  </w:style>
  <w:style w:type="paragraph" w:customStyle="1" w:styleId="MarginNote">
    <w:name w:val="Margin Note"/>
    <w:basedOn w:val="BodyText"/>
    <w:rsid w:val="00C01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506"/>
    <w:rPr>
      <w:sz w:val="32"/>
    </w:rPr>
  </w:style>
  <w:style w:type="paragraph" w:customStyle="1" w:styleId="HeadingProcedure">
    <w:name w:val="Heading Procedure"/>
    <w:basedOn w:val="HeadingBase"/>
    <w:next w:val="Normal"/>
    <w:rsid w:val="00C01506"/>
    <w:pPr>
      <w:tabs>
        <w:tab w:val="left" w:pos="0"/>
      </w:tabs>
      <w:spacing w:before="120" w:after="60"/>
    </w:pPr>
    <w:rPr>
      <w:i/>
      <w:color w:val="918585"/>
      <w:sz w:val="22"/>
    </w:rPr>
  </w:style>
  <w:style w:type="paragraph" w:customStyle="1" w:styleId="TableBodyText">
    <w:name w:val="Table Body Text"/>
    <w:basedOn w:val="BodyText"/>
    <w:rsid w:val="00C01506"/>
    <w:pPr>
      <w:spacing w:before="60" w:after="60"/>
    </w:pPr>
  </w:style>
  <w:style w:type="paragraph" w:styleId="ListContinue">
    <w:name w:val="List Continue"/>
    <w:basedOn w:val="List"/>
    <w:rsid w:val="00C01506"/>
    <w:pPr>
      <w:ind w:firstLine="0"/>
    </w:pPr>
  </w:style>
  <w:style w:type="paragraph" w:customStyle="1" w:styleId="ListNote">
    <w:name w:val="List Note"/>
    <w:basedOn w:val="List"/>
    <w:rsid w:val="00C01506"/>
    <w:pPr>
      <w:pBdr>
        <w:top w:val="single" w:sz="6" w:space="2" w:color="918585"/>
        <w:bottom w:val="single" w:sz="6" w:space="2" w:color="918585"/>
      </w:pBdr>
      <w:tabs>
        <w:tab w:val="left" w:pos="1021"/>
      </w:tabs>
      <w:ind w:firstLine="0"/>
    </w:pPr>
  </w:style>
  <w:style w:type="paragraph" w:customStyle="1" w:styleId="Warning">
    <w:name w:val="Warning"/>
    <w:basedOn w:val="BodyText"/>
    <w:rsid w:val="00C01506"/>
    <w:pPr>
      <w:shd w:val="clear" w:color="auto" w:fill="D9D9D9"/>
      <w:tabs>
        <w:tab w:val="left" w:pos="992"/>
      </w:tabs>
      <w:ind w:left="119" w:right="119"/>
    </w:pPr>
    <w:rPr>
      <w:sz w:val="20"/>
    </w:rPr>
  </w:style>
  <w:style w:type="paragraph" w:customStyle="1" w:styleId="MarginIcons">
    <w:name w:val="Margin Icons"/>
    <w:basedOn w:val="BodyText"/>
    <w:rsid w:val="00C01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506"/>
    <w:rPr>
      <w:rFonts w:ascii="Courier New" w:hAnsi="Courier New"/>
    </w:rPr>
  </w:style>
  <w:style w:type="paragraph" w:customStyle="1" w:styleId="NoteBullet">
    <w:name w:val="Note Bullet"/>
    <w:basedOn w:val="Note"/>
    <w:rsid w:val="00C01506"/>
    <w:pPr>
      <w:tabs>
        <w:tab w:val="clear" w:pos="680"/>
      </w:tabs>
      <w:spacing w:before="60" w:after="60"/>
    </w:pPr>
  </w:style>
  <w:style w:type="paragraph" w:customStyle="1" w:styleId="SubHeading2">
    <w:name w:val="SubHeading2"/>
    <w:basedOn w:val="HeadingBase"/>
    <w:rsid w:val="00C01506"/>
    <w:pPr>
      <w:spacing w:before="240" w:after="60"/>
    </w:pPr>
    <w:rPr>
      <w:sz w:val="20"/>
    </w:rPr>
  </w:style>
  <w:style w:type="paragraph" w:customStyle="1" w:styleId="SubHeading1">
    <w:name w:val="SubHeading1"/>
    <w:basedOn w:val="HeadingBase"/>
    <w:rsid w:val="00C01506"/>
    <w:pPr>
      <w:spacing w:before="240" w:after="60"/>
    </w:pPr>
    <w:rPr>
      <w:color w:val="918585"/>
      <w:sz w:val="22"/>
    </w:rPr>
  </w:style>
  <w:style w:type="paragraph" w:customStyle="1" w:styleId="SideHeading">
    <w:name w:val="Side Heading"/>
    <w:basedOn w:val="HeadingBase"/>
    <w:rsid w:val="00C01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506"/>
    <w:pPr>
      <w:numPr>
        <w:numId w:val="12"/>
      </w:numPr>
    </w:pPr>
  </w:style>
  <w:style w:type="paragraph" w:styleId="PlainText">
    <w:name w:val="Plain Text"/>
    <w:basedOn w:val="Normal"/>
    <w:link w:val="PlainTextChar"/>
    <w:rsid w:val="00C01506"/>
    <w:rPr>
      <w:sz w:val="20"/>
    </w:rPr>
  </w:style>
  <w:style w:type="character" w:customStyle="1" w:styleId="PlainTextChar">
    <w:name w:val="Plain Text Char"/>
    <w:basedOn w:val="DefaultParagraphFont"/>
    <w:link w:val="PlainText"/>
    <w:rsid w:val="00C01506"/>
    <w:rPr>
      <w:rFonts w:ascii="Courier New" w:eastAsia="Times New Roman" w:hAnsi="Courier New" w:cs="Times New Roman"/>
      <w:sz w:val="20"/>
      <w:szCs w:val="20"/>
      <w:lang w:eastAsia="en-US"/>
    </w:rPr>
  </w:style>
  <w:style w:type="character" w:customStyle="1" w:styleId="MenuOption">
    <w:name w:val="Menu Option"/>
    <w:basedOn w:val="DefaultParagraphFont"/>
    <w:rsid w:val="00C01506"/>
    <w:rPr>
      <w:b/>
      <w:smallCaps/>
    </w:rPr>
  </w:style>
  <w:style w:type="paragraph" w:customStyle="1" w:styleId="TableListNumber">
    <w:name w:val="Table List Number"/>
    <w:basedOn w:val="ListNumber"/>
    <w:rsid w:val="00C01506"/>
    <w:pPr>
      <w:numPr>
        <w:numId w:val="0"/>
      </w:numPr>
    </w:pPr>
  </w:style>
  <w:style w:type="paragraph" w:styleId="TOC4">
    <w:name w:val="toc 4"/>
    <w:basedOn w:val="TOCBase"/>
    <w:next w:val="Normal"/>
    <w:semiHidden/>
    <w:rsid w:val="00C01506"/>
    <w:pPr>
      <w:tabs>
        <w:tab w:val="right" w:leader="dot" w:pos="9071"/>
      </w:tabs>
      <w:ind w:left="1701"/>
    </w:pPr>
  </w:style>
  <w:style w:type="paragraph" w:customStyle="1" w:styleId="ListAlpha">
    <w:name w:val="List Alpha"/>
    <w:basedOn w:val="List"/>
    <w:rsid w:val="00C01506"/>
    <w:pPr>
      <w:numPr>
        <w:numId w:val="10"/>
      </w:numPr>
    </w:pPr>
  </w:style>
  <w:style w:type="paragraph" w:customStyle="1" w:styleId="ListAlpha2">
    <w:name w:val="List Alpha 2"/>
    <w:basedOn w:val="List2"/>
    <w:rsid w:val="00C01506"/>
    <w:pPr>
      <w:numPr>
        <w:numId w:val="9"/>
      </w:numPr>
    </w:pPr>
  </w:style>
  <w:style w:type="paragraph" w:styleId="List2">
    <w:name w:val="List 2"/>
    <w:basedOn w:val="BodyText"/>
    <w:rsid w:val="00C01506"/>
    <w:pPr>
      <w:tabs>
        <w:tab w:val="left" w:pos="680"/>
      </w:tabs>
      <w:spacing w:before="60" w:after="60"/>
      <w:ind w:left="680" w:hanging="340"/>
    </w:pPr>
  </w:style>
  <w:style w:type="paragraph" w:styleId="List3">
    <w:name w:val="List 3"/>
    <w:basedOn w:val="BodyText"/>
    <w:rsid w:val="00C01506"/>
    <w:pPr>
      <w:tabs>
        <w:tab w:val="left" w:pos="1021"/>
      </w:tabs>
      <w:spacing w:before="60" w:after="60"/>
      <w:ind w:left="1020" w:hanging="340"/>
    </w:pPr>
  </w:style>
  <w:style w:type="paragraph" w:styleId="List4">
    <w:name w:val="List 4"/>
    <w:basedOn w:val="BodyText"/>
    <w:rsid w:val="00C01506"/>
    <w:pPr>
      <w:tabs>
        <w:tab w:val="left" w:pos="1361"/>
      </w:tabs>
      <w:spacing w:before="60" w:after="60"/>
      <w:ind w:left="1361" w:hanging="340"/>
    </w:pPr>
  </w:style>
  <w:style w:type="paragraph" w:styleId="List5">
    <w:name w:val="List 5"/>
    <w:basedOn w:val="BodyText"/>
    <w:rsid w:val="00C01506"/>
    <w:pPr>
      <w:tabs>
        <w:tab w:val="left" w:pos="1701"/>
      </w:tabs>
      <w:spacing w:before="60" w:after="60"/>
      <w:ind w:left="1701" w:hanging="340"/>
    </w:pPr>
  </w:style>
  <w:style w:type="paragraph" w:styleId="ListBullet4">
    <w:name w:val="List Bullet 4"/>
    <w:basedOn w:val="List4"/>
    <w:rsid w:val="00C01506"/>
    <w:pPr>
      <w:numPr>
        <w:numId w:val="4"/>
      </w:numPr>
      <w:tabs>
        <w:tab w:val="clear" w:pos="1361"/>
      </w:tabs>
    </w:pPr>
  </w:style>
  <w:style w:type="paragraph" w:styleId="ListBullet5">
    <w:name w:val="List Bullet 5"/>
    <w:basedOn w:val="List5"/>
    <w:rsid w:val="00C01506"/>
    <w:pPr>
      <w:numPr>
        <w:numId w:val="5"/>
      </w:numPr>
    </w:pPr>
  </w:style>
  <w:style w:type="paragraph" w:styleId="ListContinue2">
    <w:name w:val="List Continue 2"/>
    <w:basedOn w:val="List2"/>
    <w:rsid w:val="00C01506"/>
    <w:pPr>
      <w:ind w:firstLine="0"/>
    </w:pPr>
  </w:style>
  <w:style w:type="paragraph" w:styleId="ListContinue3">
    <w:name w:val="List Continue 3"/>
    <w:basedOn w:val="List3"/>
    <w:rsid w:val="00C01506"/>
    <w:pPr>
      <w:ind w:left="1021" w:firstLine="0"/>
    </w:pPr>
  </w:style>
  <w:style w:type="paragraph" w:styleId="ListContinue4">
    <w:name w:val="List Continue 4"/>
    <w:basedOn w:val="List4"/>
    <w:rsid w:val="00C01506"/>
    <w:pPr>
      <w:ind w:firstLine="0"/>
    </w:pPr>
  </w:style>
  <w:style w:type="paragraph" w:styleId="ListContinue5">
    <w:name w:val="List Continue 5"/>
    <w:basedOn w:val="List5"/>
    <w:rsid w:val="00C01506"/>
    <w:pPr>
      <w:ind w:firstLine="0"/>
    </w:pPr>
  </w:style>
  <w:style w:type="paragraph" w:styleId="ListNumber3">
    <w:name w:val="List Number 3"/>
    <w:basedOn w:val="List3"/>
    <w:rsid w:val="00C01506"/>
    <w:pPr>
      <w:numPr>
        <w:numId w:val="6"/>
      </w:numPr>
    </w:pPr>
  </w:style>
  <w:style w:type="paragraph" w:styleId="ListNumber4">
    <w:name w:val="List Number 4"/>
    <w:basedOn w:val="List4"/>
    <w:rsid w:val="00C01506"/>
    <w:pPr>
      <w:numPr>
        <w:numId w:val="7"/>
      </w:numPr>
    </w:pPr>
  </w:style>
  <w:style w:type="paragraph" w:styleId="ListNumber5">
    <w:name w:val="List Number 5"/>
    <w:basedOn w:val="List5"/>
    <w:rsid w:val="00C01506"/>
    <w:pPr>
      <w:numPr>
        <w:numId w:val="8"/>
      </w:numPr>
    </w:pPr>
  </w:style>
  <w:style w:type="paragraph" w:styleId="BlockText">
    <w:name w:val="Block Text"/>
    <w:basedOn w:val="Normal"/>
    <w:rsid w:val="00C01506"/>
    <w:pPr>
      <w:spacing w:after="120"/>
      <w:ind w:left="1440" w:right="1440"/>
    </w:pPr>
  </w:style>
  <w:style w:type="character" w:customStyle="1" w:styleId="Subscript">
    <w:name w:val="Subscript"/>
    <w:basedOn w:val="DefaultParagraphFont"/>
    <w:rsid w:val="00C01506"/>
    <w:rPr>
      <w:sz w:val="16"/>
      <w:vertAlign w:val="subscript"/>
    </w:rPr>
  </w:style>
  <w:style w:type="character" w:customStyle="1" w:styleId="Superscript">
    <w:name w:val="Superscript"/>
    <w:basedOn w:val="DefaultParagraphFont"/>
    <w:rsid w:val="00C01506"/>
    <w:rPr>
      <w:sz w:val="16"/>
      <w:vertAlign w:val="superscript"/>
    </w:rPr>
  </w:style>
  <w:style w:type="character" w:customStyle="1" w:styleId="Symbols">
    <w:name w:val="Symbols"/>
    <w:basedOn w:val="DefaultParagraphFont"/>
    <w:rsid w:val="00C01506"/>
    <w:rPr>
      <w:rFonts w:ascii="Symbol" w:hAnsi="Symbol"/>
    </w:rPr>
  </w:style>
  <w:style w:type="character" w:customStyle="1" w:styleId="MenuOptions">
    <w:name w:val="Menu Options"/>
    <w:basedOn w:val="DefaultParagraphFont"/>
    <w:rsid w:val="00C01506"/>
    <w:rPr>
      <w:rFonts w:ascii="Arial Narrow" w:hAnsi="Arial Narrow"/>
      <w:smallCaps/>
    </w:rPr>
  </w:style>
  <w:style w:type="character" w:customStyle="1" w:styleId="Buttons">
    <w:name w:val="Buttons"/>
    <w:basedOn w:val="DefaultParagraphFont"/>
    <w:rsid w:val="00C01506"/>
    <w:rPr>
      <w:b/>
    </w:rPr>
  </w:style>
  <w:style w:type="character" w:customStyle="1" w:styleId="Underlined">
    <w:name w:val="Underlined"/>
    <w:basedOn w:val="DefaultParagraphFont"/>
    <w:rsid w:val="00C01506"/>
    <w:rPr>
      <w:u w:val="single"/>
    </w:rPr>
  </w:style>
  <w:style w:type="paragraph" w:customStyle="1" w:styleId="TableBodyTextRight">
    <w:name w:val="Table Body Text Right"/>
    <w:basedOn w:val="TableBodyText"/>
    <w:rsid w:val="00C01506"/>
    <w:pPr>
      <w:widowControl w:val="0"/>
      <w:autoSpaceDE w:val="0"/>
      <w:autoSpaceDN w:val="0"/>
      <w:adjustRightInd w:val="0"/>
      <w:jc w:val="right"/>
    </w:pPr>
    <w:rPr>
      <w:rFonts w:cs="Arial"/>
      <w:szCs w:val="18"/>
    </w:rPr>
  </w:style>
  <w:style w:type="paragraph" w:customStyle="1" w:styleId="CopyrightText">
    <w:name w:val="Copyright Text"/>
    <w:basedOn w:val="BodyText"/>
    <w:rsid w:val="00C01506"/>
    <w:rPr>
      <w:sz w:val="18"/>
    </w:rPr>
  </w:style>
  <w:style w:type="paragraph" w:customStyle="1" w:styleId="BodySmallRight">
    <w:name w:val="Body Small Right"/>
    <w:basedOn w:val="BodyTextRight"/>
    <w:rsid w:val="00C01506"/>
    <w:rPr>
      <w:sz w:val="18"/>
      <w:szCs w:val="18"/>
    </w:rPr>
  </w:style>
  <w:style w:type="paragraph" w:customStyle="1" w:styleId="MarginEdition">
    <w:name w:val="Margin Edition"/>
    <w:basedOn w:val="MarginNote"/>
    <w:rsid w:val="00C01506"/>
    <w:pPr>
      <w:spacing w:before="0" w:after="0"/>
    </w:pPr>
    <w:rPr>
      <w:rFonts w:ascii="Times New Roman" w:hAnsi="Times New Roman"/>
      <w:color w:val="999999"/>
    </w:rPr>
  </w:style>
  <w:style w:type="paragraph" w:customStyle="1" w:styleId="Spacer">
    <w:name w:val="Spacer"/>
    <w:basedOn w:val="Normal"/>
    <w:rsid w:val="00C01506"/>
    <w:rPr>
      <w:sz w:val="2"/>
      <w:szCs w:val="2"/>
    </w:rPr>
  </w:style>
  <w:style w:type="character" w:customStyle="1" w:styleId="Small">
    <w:name w:val="Small"/>
    <w:basedOn w:val="DefaultParagraphFont"/>
    <w:rsid w:val="00C01506"/>
    <w:rPr>
      <w:sz w:val="16"/>
    </w:rPr>
  </w:style>
  <w:style w:type="paragraph" w:customStyle="1" w:styleId="WideTable">
    <w:name w:val="Wide Table"/>
    <w:basedOn w:val="Normal"/>
    <w:rsid w:val="00C01506"/>
    <w:pPr>
      <w:ind w:left="-1418"/>
    </w:pPr>
    <w:rPr>
      <w:sz w:val="2"/>
      <w:szCs w:val="2"/>
    </w:rPr>
  </w:style>
  <w:style w:type="character" w:styleId="PageNumber">
    <w:name w:val="page number"/>
    <w:basedOn w:val="DefaultParagraphFont"/>
    <w:rsid w:val="00C01506"/>
  </w:style>
  <w:style w:type="paragraph" w:styleId="Quote">
    <w:name w:val="Quote"/>
    <w:basedOn w:val="Heading1"/>
    <w:link w:val="QuoteChar"/>
    <w:qFormat/>
    <w:rsid w:val="00C01506"/>
    <w:rPr>
      <w:b w:val="0"/>
      <w:sz w:val="72"/>
      <w:szCs w:val="72"/>
      <w:lang w:val="en-NZ"/>
    </w:rPr>
  </w:style>
  <w:style w:type="character" w:customStyle="1" w:styleId="QuoteChar">
    <w:name w:val="Quote Char"/>
    <w:basedOn w:val="DefaultParagraphFont"/>
    <w:link w:val="Quote"/>
    <w:rsid w:val="00C01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506"/>
    <w:pPr>
      <w:pageBreakBefore/>
    </w:pPr>
  </w:style>
  <w:style w:type="paragraph" w:customStyle="1" w:styleId="Border">
    <w:name w:val="Border"/>
    <w:basedOn w:val="Normal"/>
    <w:qFormat/>
    <w:rsid w:val="00C01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506"/>
    <w:rPr>
      <w:b/>
      <w:bCs/>
      <w:i/>
      <w:iCs/>
      <w:color w:val="auto"/>
    </w:rPr>
  </w:style>
  <w:style w:type="paragraph" w:styleId="IntenseQuote">
    <w:name w:val="Intense Quote"/>
    <w:basedOn w:val="Normal"/>
    <w:next w:val="Normal"/>
    <w:link w:val="IntenseQuoteChar"/>
    <w:uiPriority w:val="30"/>
    <w:qFormat/>
    <w:rsid w:val="00C01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506"/>
    <w:rPr>
      <w:smallCaps/>
      <w:color w:val="auto"/>
      <w:u w:val="single"/>
    </w:rPr>
  </w:style>
  <w:style w:type="character" w:styleId="IntenseReference">
    <w:name w:val="Intense Reference"/>
    <w:basedOn w:val="DefaultParagraphFont"/>
    <w:uiPriority w:val="32"/>
    <w:qFormat/>
    <w:rsid w:val="00C01506"/>
    <w:rPr>
      <w:b/>
      <w:bCs/>
      <w:smallCaps/>
      <w:color w:val="auto"/>
      <w:spacing w:val="5"/>
      <w:u w:val="single"/>
    </w:rPr>
  </w:style>
  <w:style w:type="paragraph" w:customStyle="1" w:styleId="2ColumnHeading">
    <w:name w:val="2Column Heading"/>
    <w:basedOn w:val="BodyText"/>
    <w:qFormat/>
    <w:rsid w:val="00C01506"/>
    <w:pPr>
      <w:spacing w:after="60"/>
      <w:ind w:left="-2268"/>
    </w:pPr>
    <w:rPr>
      <w:b/>
    </w:rPr>
  </w:style>
  <w:style w:type="paragraph" w:customStyle="1" w:styleId="Heading1TOC">
    <w:name w:val="Heading1 TOC"/>
    <w:basedOn w:val="Normal"/>
    <w:qFormat/>
    <w:rsid w:val="00C01506"/>
    <w:pPr>
      <w:spacing w:before="240" w:after="120"/>
    </w:pPr>
    <w:rPr>
      <w:rFonts w:ascii="Times New Roman" w:hAnsi="Times New Roman"/>
      <w:b/>
      <w:sz w:val="32"/>
    </w:rPr>
  </w:style>
  <w:style w:type="paragraph" w:customStyle="1" w:styleId="Heading2TOC">
    <w:name w:val="Heading2 TOC"/>
    <w:basedOn w:val="Normal"/>
    <w:qFormat/>
    <w:rsid w:val="00C01506"/>
    <w:pPr>
      <w:spacing w:before="240" w:after="60"/>
    </w:pPr>
    <w:rPr>
      <w:rFonts w:ascii="Times New Roman" w:hAnsi="Times New Roman"/>
      <w:b/>
      <w:sz w:val="28"/>
    </w:rPr>
  </w:style>
  <w:style w:type="character" w:customStyle="1" w:styleId="Underline">
    <w:name w:val="Underline"/>
    <w:basedOn w:val="DefaultParagraphFont"/>
    <w:qFormat/>
    <w:rsid w:val="00C01506"/>
    <w:rPr>
      <w:u w:val="single"/>
    </w:rPr>
  </w:style>
  <w:style w:type="character" w:customStyle="1" w:styleId="BoldandItalics">
    <w:name w:val="Bold and Italics"/>
    <w:qFormat/>
    <w:rsid w:val="00C01506"/>
    <w:rPr>
      <w:b/>
      <w:i/>
      <w:u w:val="none"/>
    </w:rPr>
  </w:style>
  <w:style w:type="paragraph" w:styleId="BalloonText">
    <w:name w:val="Balloon Text"/>
    <w:basedOn w:val="Normal"/>
    <w:link w:val="BalloonTextChar"/>
    <w:rsid w:val="00C01506"/>
    <w:rPr>
      <w:rFonts w:ascii="Tahoma" w:hAnsi="Tahoma" w:cs="Tahoma"/>
      <w:sz w:val="16"/>
      <w:szCs w:val="16"/>
    </w:rPr>
  </w:style>
  <w:style w:type="character" w:customStyle="1" w:styleId="BalloonTextChar">
    <w:name w:val="Balloon Text Char"/>
    <w:basedOn w:val="DefaultParagraphFont"/>
    <w:link w:val="BalloonText"/>
    <w:rsid w:val="00C01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506"/>
    <w:rPr>
      <w:b/>
      <w:color w:val="660033"/>
      <w:spacing w:val="0"/>
    </w:rPr>
  </w:style>
  <w:style w:type="paragraph" w:customStyle="1" w:styleId="Nameditemlist">
    <w:name w:val="Named item list"/>
    <w:basedOn w:val="BodyText"/>
    <w:qFormat/>
    <w:rsid w:val="00C01506"/>
    <w:pPr>
      <w:tabs>
        <w:tab w:val="left" w:pos="2835"/>
      </w:tabs>
      <w:ind w:left="2835" w:hanging="2835"/>
    </w:pPr>
  </w:style>
  <w:style w:type="paragraph" w:customStyle="1" w:styleId="BodyTextnopadding">
    <w:name w:val="Body Text no padding"/>
    <w:basedOn w:val="BodyText"/>
    <w:qFormat/>
    <w:rsid w:val="00C01506"/>
    <w:pPr>
      <w:spacing w:before="0" w:after="0"/>
    </w:pPr>
  </w:style>
  <w:style w:type="paragraph" w:customStyle="1" w:styleId="BodyTextBold">
    <w:name w:val="Body Text Bold"/>
    <w:basedOn w:val="BodyText"/>
    <w:qFormat/>
    <w:rsid w:val="00C01506"/>
    <w:rPr>
      <w:b/>
    </w:rPr>
  </w:style>
  <w:style w:type="character" w:styleId="Hyperlink">
    <w:name w:val="Hyperlink"/>
    <w:basedOn w:val="DefaultParagraphFont"/>
    <w:uiPriority w:val="99"/>
    <w:unhideWhenUsed/>
    <w:rsid w:val="00132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4573</Characters>
  <Application>Microsoft Office Word</Application>
  <DocSecurity>0</DocSecurity>
  <Lines>138</Lines>
  <Paragraphs>117</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HLTRNL004 Apply renal replacement therapy</dc:title>
  <dc:subject>Approved</dc:subject>
  <dc:creator>SkillsIQ</dc:creator>
  <cp:keywords>Release: 2</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